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keepNext w:val="0"/>
              <w:keepLines w:val="0"/>
              <w:pageBreakBefore w:val="0"/>
              <w:widowControl w:val="0"/>
              <w:tabs>
                <w:tab w:val="left" w:pos="3960"/>
              </w:tabs>
              <w:kinsoku/>
              <w:wordWrap/>
              <w:overflowPunct/>
              <w:topLinePunct w:val="0"/>
              <w:autoSpaceDE/>
              <w:autoSpaceDN/>
              <w:bidi w:val="0"/>
              <w:adjustRightInd/>
              <w:snapToGrid/>
              <w:spacing w:line="540" w:lineRule="exact"/>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60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保满审环表字[2020]</w:t>
            </w:r>
            <w:r>
              <w:rPr>
                <w:rFonts w:hint="eastAsia" w:ascii="宋体" w:hAnsi="宋体"/>
                <w:kern w:val="0"/>
                <w:sz w:val="28"/>
                <w:szCs w:val="28"/>
                <w:lang w:val="en-US" w:eastAsia="zh-CN"/>
              </w:rPr>
              <w:t>47</w:t>
            </w:r>
            <w:r>
              <w:rPr>
                <w:rFonts w:hint="eastAsia" w:ascii="宋体" w:hAnsi="宋体"/>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600" w:lineRule="exact"/>
              <w:ind w:firstLine="560" w:firstLineChars="200"/>
              <w:textAlignment w:val="auto"/>
              <w:rPr>
                <w:rFonts w:hint="eastAsia" w:ascii="宋体" w:hAnsi="宋体"/>
                <w:kern w:val="0"/>
                <w:sz w:val="28"/>
                <w:szCs w:val="28"/>
              </w:rPr>
            </w:pPr>
            <w:r>
              <w:rPr>
                <w:rFonts w:hint="eastAsia" w:ascii="宋体" w:hAnsi="宋体"/>
                <w:kern w:val="0"/>
                <w:sz w:val="28"/>
                <w:szCs w:val="28"/>
              </w:rPr>
              <w:t>所报《</w:t>
            </w:r>
            <w:r>
              <w:rPr>
                <w:rFonts w:hint="eastAsia" w:ascii="宋体" w:hAnsi="宋体"/>
                <w:kern w:val="0"/>
                <w:sz w:val="28"/>
                <w:szCs w:val="28"/>
                <w:lang w:eastAsia="zh-CN"/>
              </w:rPr>
              <w:t>保定市广帆汽贸有限公司汽车销售及维修</w:t>
            </w:r>
            <w:r>
              <w:rPr>
                <w:rFonts w:hint="eastAsia" w:ascii="宋体" w:hAnsi="宋体"/>
                <w:kern w:val="0"/>
                <w:sz w:val="28"/>
                <w:szCs w:val="28"/>
              </w:rPr>
              <w:t>项目环境影响报告表》收悉，根据报告表结论，经局领导审核通过后，研究批复如下：</w:t>
            </w:r>
          </w:p>
          <w:p>
            <w:pPr>
              <w:keepNext w:val="0"/>
              <w:keepLines w:val="0"/>
              <w:pageBreakBefore w:val="0"/>
              <w:widowControl w:val="0"/>
              <w:tabs>
                <w:tab w:val="left" w:pos="3960"/>
              </w:tabs>
              <w:kinsoku/>
              <w:wordWrap/>
              <w:overflowPunct/>
              <w:topLinePunct w:val="0"/>
              <w:autoSpaceDE/>
              <w:autoSpaceDN/>
              <w:bidi w:val="0"/>
              <w:adjustRightInd/>
              <w:snapToGrid/>
              <w:spacing w:line="600" w:lineRule="exact"/>
              <w:ind w:left="105" w:leftChars="50" w:right="115" w:rightChars="55" w:firstLine="537" w:firstLineChars="192"/>
              <w:textAlignment w:val="auto"/>
              <w:rPr>
                <w:rFonts w:hint="eastAsia" w:ascii="宋体" w:hAnsi="宋体" w:eastAsia="宋体"/>
                <w:kern w:val="0"/>
                <w:sz w:val="28"/>
                <w:szCs w:val="28"/>
                <w:lang w:eastAsia="zh-CN"/>
              </w:rPr>
            </w:pPr>
            <w:r>
              <w:rPr>
                <w:rFonts w:hint="eastAsia" w:ascii="宋体" w:hAnsi="宋体"/>
                <w:kern w:val="0"/>
                <w:sz w:val="28"/>
                <w:szCs w:val="28"/>
              </w:rPr>
              <w:t>一、</w:t>
            </w:r>
            <w:r>
              <w:rPr>
                <w:rFonts w:ascii="宋体" w:hAnsi="宋体"/>
                <w:kern w:val="0"/>
                <w:sz w:val="28"/>
                <w:szCs w:val="28"/>
              </w:rPr>
              <w:t>项目位于</w:t>
            </w:r>
            <w:r>
              <w:rPr>
                <w:rFonts w:hint="eastAsia" w:ascii="宋体" w:hAnsi="宋体"/>
                <w:kern w:val="0"/>
                <w:sz w:val="28"/>
                <w:szCs w:val="28"/>
              </w:rPr>
              <w:t>保定市满城区</w:t>
            </w:r>
            <w:r>
              <w:rPr>
                <w:rFonts w:hint="eastAsia" w:ascii="宋体" w:hAnsi="宋体"/>
                <w:kern w:val="0"/>
                <w:sz w:val="28"/>
                <w:szCs w:val="28"/>
                <w:lang w:eastAsia="zh-CN"/>
              </w:rPr>
              <w:t>大册营镇方上村</w:t>
            </w:r>
            <w:r>
              <w:rPr>
                <w:rFonts w:hint="eastAsia" w:ascii="宋体" w:hAnsi="宋体"/>
                <w:kern w:val="0"/>
                <w:sz w:val="28"/>
                <w:szCs w:val="28"/>
              </w:rPr>
              <w:t>，</w:t>
            </w:r>
            <w:r>
              <w:rPr>
                <w:rFonts w:ascii="宋体" w:hAnsi="宋体"/>
                <w:kern w:val="0"/>
                <w:sz w:val="28"/>
                <w:szCs w:val="28"/>
              </w:rPr>
              <w:t>中心地理坐标</w:t>
            </w:r>
            <w:r>
              <w:rPr>
                <w:rFonts w:hint="eastAsia" w:ascii="宋体" w:hAnsi="宋体"/>
                <w:kern w:val="0"/>
                <w:sz w:val="28"/>
                <w:szCs w:val="28"/>
              </w:rPr>
              <w:t>为</w:t>
            </w:r>
            <w:r>
              <w:rPr>
                <w:rFonts w:ascii="宋体" w:hAnsi="宋体"/>
                <w:kern w:val="0"/>
                <w:sz w:val="28"/>
                <w:szCs w:val="28"/>
              </w:rPr>
              <w:t>北纬</w:t>
            </w:r>
            <w:r>
              <w:rPr>
                <w:rFonts w:hint="eastAsia" w:ascii="宋体" w:hAnsi="宋体"/>
                <w:kern w:val="0"/>
                <w:sz w:val="28"/>
                <w:szCs w:val="28"/>
              </w:rPr>
              <w:t>3</w:t>
            </w:r>
            <w:r>
              <w:rPr>
                <w:rFonts w:hint="eastAsia" w:ascii="宋体" w:hAnsi="宋体"/>
                <w:kern w:val="0"/>
                <w:sz w:val="28"/>
                <w:szCs w:val="28"/>
                <w:lang w:val="en-US" w:eastAsia="zh-CN"/>
              </w:rPr>
              <w:t>8.998744</w:t>
            </w:r>
            <w:r>
              <w:rPr>
                <w:rFonts w:ascii="宋体" w:hAnsi="宋体"/>
                <w:kern w:val="0"/>
                <w:sz w:val="28"/>
                <w:szCs w:val="28"/>
              </w:rPr>
              <w:t>°</w:t>
            </w:r>
            <w:r>
              <w:rPr>
                <w:rFonts w:hint="eastAsia" w:ascii="宋体" w:hAnsi="宋体"/>
                <w:kern w:val="0"/>
                <w:sz w:val="28"/>
                <w:szCs w:val="28"/>
              </w:rPr>
              <w:t>，</w:t>
            </w:r>
            <w:r>
              <w:rPr>
                <w:rFonts w:ascii="宋体" w:hAnsi="宋体"/>
                <w:kern w:val="0"/>
                <w:sz w:val="28"/>
                <w:szCs w:val="28"/>
              </w:rPr>
              <w:t>东经115</w:t>
            </w:r>
            <w:r>
              <w:rPr>
                <w:rFonts w:hint="eastAsia" w:ascii="宋体" w:hAnsi="宋体"/>
                <w:kern w:val="0"/>
                <w:sz w:val="28"/>
                <w:szCs w:val="28"/>
                <w:lang w:val="en-US" w:eastAsia="zh-CN"/>
              </w:rPr>
              <w:t>.355566</w:t>
            </w:r>
            <w:r>
              <w:rPr>
                <w:rFonts w:ascii="宋体" w:hAnsi="宋体"/>
                <w:kern w:val="0"/>
                <w:sz w:val="28"/>
                <w:szCs w:val="28"/>
              </w:rPr>
              <w:t>°</w:t>
            </w:r>
            <w:r>
              <w:rPr>
                <w:rFonts w:hint="eastAsia" w:ascii="宋体" w:hAnsi="宋体"/>
                <w:kern w:val="0"/>
                <w:sz w:val="28"/>
                <w:szCs w:val="28"/>
              </w:rPr>
              <w:t>。</w:t>
            </w:r>
            <w:r>
              <w:rPr>
                <w:rFonts w:hint="eastAsia" w:ascii="宋体" w:hAnsi="宋体"/>
                <w:kern w:val="0"/>
                <w:sz w:val="28"/>
                <w:szCs w:val="28"/>
                <w:lang w:eastAsia="zh-CN"/>
              </w:rPr>
              <w:t>东侧为彩印厂和复卷厂，南侧为神西路，隔路为红升纸业，西侧为新华彩</w:t>
            </w:r>
            <w:r>
              <w:rPr>
                <w:rFonts w:hint="eastAsia" w:ascii="宋体" w:hAnsi="宋体"/>
                <w:kern w:val="0"/>
                <w:sz w:val="28"/>
                <w:szCs w:val="28"/>
                <w:lang w:val="en-US" w:eastAsia="zh-CN"/>
              </w:rPr>
              <w:t>印厂和广源汽贸有限公司，北侧为农田</w:t>
            </w:r>
            <w:r>
              <w:rPr>
                <w:rFonts w:hint="eastAsia" w:ascii="宋体" w:hAnsi="宋体"/>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178" w:leftChars="85" w:right="71" w:rightChars="34" w:firstLine="540" w:firstLineChars="193"/>
              <w:textAlignment w:val="auto"/>
              <w:rPr>
                <w:rFonts w:hint="eastAsia" w:ascii="宋体" w:hAnsi="宋体" w:eastAsia="宋体"/>
                <w:kern w:val="0"/>
                <w:sz w:val="28"/>
                <w:szCs w:val="28"/>
                <w:lang w:val="en-US" w:eastAsia="zh-CN"/>
              </w:rPr>
            </w:pPr>
            <w:r>
              <w:rPr>
                <w:rFonts w:hint="eastAsia" w:ascii="宋体" w:hAnsi="宋体"/>
                <w:kern w:val="0"/>
                <w:sz w:val="28"/>
                <w:szCs w:val="28"/>
              </w:rPr>
              <w:t>二、项目总投资</w:t>
            </w:r>
            <w:r>
              <w:rPr>
                <w:rFonts w:hint="eastAsia" w:ascii="宋体" w:hAnsi="宋体"/>
                <w:kern w:val="0"/>
                <w:sz w:val="28"/>
                <w:szCs w:val="28"/>
                <w:lang w:val="en-US" w:eastAsia="zh-CN"/>
              </w:rPr>
              <w:t>100</w:t>
            </w:r>
            <w:r>
              <w:rPr>
                <w:rFonts w:hint="eastAsia" w:ascii="宋体" w:hAnsi="宋体"/>
                <w:kern w:val="0"/>
                <w:sz w:val="28"/>
                <w:szCs w:val="28"/>
              </w:rPr>
              <w:t>万元，其中环保投资</w:t>
            </w:r>
            <w:r>
              <w:rPr>
                <w:rFonts w:hint="eastAsia" w:ascii="宋体" w:hAnsi="宋体"/>
                <w:kern w:val="0"/>
                <w:sz w:val="28"/>
                <w:szCs w:val="28"/>
                <w:lang w:val="en-US" w:eastAsia="zh-CN"/>
              </w:rPr>
              <w:t>8</w:t>
            </w:r>
            <w:r>
              <w:rPr>
                <w:rFonts w:hint="eastAsia" w:ascii="宋体" w:hAnsi="宋体"/>
                <w:kern w:val="0"/>
                <w:sz w:val="28"/>
                <w:szCs w:val="28"/>
              </w:rPr>
              <w:t>万元。</w:t>
            </w:r>
            <w:r>
              <w:rPr>
                <w:rFonts w:hint="eastAsia" w:ascii="宋体" w:hAnsi="宋体"/>
                <w:kern w:val="0"/>
                <w:sz w:val="28"/>
                <w:szCs w:val="28"/>
                <w:lang w:eastAsia="zh-CN"/>
              </w:rPr>
              <w:t>主要构筑物包括：维修车间、销售综合楼、办公室、配件库、喷漆房等。主要设备包括：四轮定位仪</w:t>
            </w:r>
            <w:r>
              <w:rPr>
                <w:rFonts w:hint="eastAsia" w:ascii="宋体" w:hAnsi="宋体"/>
                <w:kern w:val="0"/>
                <w:sz w:val="28"/>
                <w:szCs w:val="28"/>
                <w:lang w:val="en-US" w:eastAsia="zh-CN"/>
              </w:rPr>
              <w:t>1套、检测仪1台、制动检测仪1套、液压汽车升举机5台、拆胎机1台、轮胎平衡仪1台、废油抽取机1台、车身校正仪1台、喷漆设备1套、汽车外形修复机1台、避震弹压缩机1台、发动机吊车1台、台式钻机1台、快速充电机1台、照明变压器1台、汽车电脑解码器1台、静音型吸尘吸水机1台、变速箱油加注机1台、抛光机1台。</w:t>
            </w:r>
            <w:r>
              <w:rPr>
                <w:rFonts w:hint="eastAsia" w:ascii="宋体" w:hAnsi="宋体"/>
                <w:kern w:val="0"/>
                <w:sz w:val="28"/>
                <w:szCs w:val="28"/>
                <w:lang w:eastAsia="zh-CN"/>
              </w:rPr>
              <w:t>年维修各种轿车</w:t>
            </w:r>
            <w:r>
              <w:rPr>
                <w:rFonts w:hint="eastAsia" w:ascii="宋体" w:hAnsi="宋体"/>
                <w:kern w:val="0"/>
                <w:sz w:val="28"/>
                <w:szCs w:val="28"/>
                <w:lang w:val="en-US" w:eastAsia="zh-CN"/>
              </w:rPr>
              <w:t>3500台次、销售轿车1000辆。</w:t>
            </w:r>
          </w:p>
          <w:p>
            <w:pPr>
              <w:keepNext w:val="0"/>
              <w:keepLines w:val="0"/>
              <w:pageBreakBefore w:val="0"/>
              <w:widowControl w:val="0"/>
              <w:kinsoku/>
              <w:wordWrap/>
              <w:overflowPunct/>
              <w:topLinePunct w:val="0"/>
              <w:autoSpaceDE/>
              <w:autoSpaceDN/>
              <w:bidi w:val="0"/>
              <w:adjustRightInd/>
              <w:snapToGrid/>
              <w:spacing w:line="60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keepNext w:val="0"/>
              <w:keepLines w:val="0"/>
              <w:pageBreakBefore w:val="0"/>
              <w:widowControl w:val="0"/>
              <w:kinsoku/>
              <w:wordWrap/>
              <w:overflowPunct/>
              <w:topLinePunct w:val="0"/>
              <w:autoSpaceDE/>
              <w:autoSpaceDN/>
              <w:bidi w:val="0"/>
              <w:adjustRightInd/>
              <w:snapToGrid/>
              <w:spacing w:line="60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1、废水：生活用水</w:t>
            </w:r>
            <w:r>
              <w:rPr>
                <w:rFonts w:hint="eastAsia" w:ascii="宋体" w:hAnsi="宋体"/>
                <w:kern w:val="0"/>
                <w:sz w:val="28"/>
                <w:szCs w:val="28"/>
                <w:lang w:eastAsia="zh-CN"/>
              </w:rPr>
              <w:t>排入厂区防渗化粪池，定期清掏外运</w:t>
            </w:r>
            <w:r>
              <w:rPr>
                <w:rFonts w:hint="eastAsia" w:ascii="宋体" w:hAnsi="宋体"/>
                <w:kern w:val="0"/>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left="178" w:leftChars="85" w:right="71" w:rightChars="34" w:firstLine="540" w:firstLineChars="193"/>
              <w:textAlignment w:val="auto"/>
              <w:rPr>
                <w:rFonts w:hint="eastAsia" w:ascii="宋体" w:hAnsi="宋体"/>
                <w:kern w:val="0"/>
                <w:sz w:val="28"/>
                <w:szCs w:val="28"/>
                <w:lang w:val="en-US" w:eastAsia="zh-CN"/>
              </w:rPr>
            </w:pPr>
            <w:r>
              <w:rPr>
                <w:rFonts w:hint="eastAsia" w:ascii="宋体" w:hAnsi="宋体"/>
                <w:kern w:val="0"/>
                <w:sz w:val="28"/>
                <w:szCs w:val="28"/>
              </w:rPr>
              <w:t>2、废气：</w:t>
            </w:r>
            <w:r>
              <w:rPr>
                <w:rFonts w:hint="eastAsia" w:ascii="宋体" w:hAnsi="宋体"/>
                <w:kern w:val="0"/>
                <w:sz w:val="28"/>
                <w:szCs w:val="28"/>
                <w:lang w:val="en-US" w:eastAsia="zh-CN"/>
              </w:rPr>
              <w:t>喷漆间密闭，喷漆工序废气收集后由过滤棉+喷淋塔+活性炭吸附+光氧催化处理后，经1根15米高排气筒排放。有组织废气执行《工业企业挥发性有机物排放控制标准》（DB13/2322-2016）表1表面涂装业大气污染物排放限值要求及《大气污染物综合排放标准》（GB16297-1996）表2二级标准；无组织废气执行《工业企业挥发性有机物排放控制标准》（DB13/2322-2016）表2、表3浓度限值，</w:t>
            </w:r>
            <w:r>
              <w:rPr>
                <w:rFonts w:hint="eastAsia" w:ascii="宋体" w:hAnsi="宋体" w:cs="仿宋_GB2312"/>
                <w:kern w:val="0"/>
                <w:sz w:val="28"/>
                <w:szCs w:val="28"/>
              </w:rPr>
              <w:t>《挥发性有机物无组织排放控制标准》</w:t>
            </w:r>
            <w:r>
              <w:rPr>
                <w:rFonts w:hint="eastAsia" w:ascii="宋体" w:hAnsi="宋体"/>
                <w:kern w:val="0"/>
                <w:sz w:val="28"/>
                <w:szCs w:val="28"/>
              </w:rPr>
              <w:t>（GB37822-2019）表A.1厂区内VOCs无组织排放限值</w:t>
            </w:r>
            <w:r>
              <w:rPr>
                <w:rFonts w:hint="eastAsia" w:ascii="宋体" w:hAnsi="宋体"/>
                <w:kern w:val="0"/>
                <w:sz w:val="28"/>
                <w:szCs w:val="28"/>
                <w:lang w:eastAsia="zh-CN"/>
              </w:rPr>
              <w:t>及</w:t>
            </w:r>
            <w:r>
              <w:rPr>
                <w:rFonts w:hint="eastAsia" w:ascii="宋体" w:hAnsi="宋体"/>
                <w:kern w:val="0"/>
                <w:sz w:val="28"/>
                <w:szCs w:val="28"/>
                <w:lang w:val="en-US" w:eastAsia="zh-CN"/>
              </w:rPr>
              <w:t>《大气污染物综合排放标准》（GB16297-1996）表2无组织排放监控浓度限值。</w:t>
            </w:r>
          </w:p>
          <w:p>
            <w:pPr>
              <w:keepNext w:val="0"/>
              <w:keepLines w:val="0"/>
              <w:pageBreakBefore w:val="0"/>
              <w:widowControl w:val="0"/>
              <w:kinsoku/>
              <w:wordWrap/>
              <w:overflowPunct/>
              <w:topLinePunct w:val="0"/>
              <w:autoSpaceDE/>
              <w:autoSpaceDN/>
              <w:bidi w:val="0"/>
              <w:adjustRightInd/>
              <w:snapToGrid/>
              <w:spacing w:line="600" w:lineRule="exact"/>
              <w:ind w:left="178" w:leftChars="85" w:right="71" w:rightChars="34" w:firstLine="540" w:firstLineChars="193"/>
              <w:textAlignment w:val="auto"/>
              <w:rPr>
                <w:rFonts w:hint="eastAsia" w:ascii="宋体" w:hAnsi="宋体"/>
                <w:kern w:val="0"/>
                <w:sz w:val="28"/>
                <w:szCs w:val="28"/>
                <w:lang w:val="en-US" w:eastAsia="zh-CN"/>
              </w:rPr>
            </w:pPr>
            <w:r>
              <w:rPr>
                <w:rFonts w:hint="eastAsia" w:ascii="宋体" w:hAnsi="宋体"/>
                <w:kern w:val="0"/>
                <w:sz w:val="28"/>
                <w:szCs w:val="28"/>
                <w:lang w:eastAsia="zh-CN"/>
              </w:rPr>
              <w:t>打磨工序废气通过自带布袋收尘，颗粒物执行</w:t>
            </w:r>
            <w:r>
              <w:rPr>
                <w:rFonts w:hint="eastAsia" w:ascii="宋体" w:hAnsi="宋体"/>
                <w:kern w:val="0"/>
                <w:sz w:val="28"/>
                <w:szCs w:val="28"/>
                <w:lang w:val="en-US" w:eastAsia="zh-CN"/>
              </w:rPr>
              <w:t>《大气污染物综合排放标准》（GB16297-1996）表2无组织标准。</w:t>
            </w:r>
          </w:p>
          <w:p>
            <w:pPr>
              <w:keepNext w:val="0"/>
              <w:keepLines w:val="0"/>
              <w:pageBreakBefore w:val="0"/>
              <w:widowControl w:val="0"/>
              <w:kinsoku/>
              <w:wordWrap/>
              <w:overflowPunct/>
              <w:topLinePunct w:val="0"/>
              <w:autoSpaceDE/>
              <w:autoSpaceDN/>
              <w:bidi w:val="0"/>
              <w:adjustRightInd/>
              <w:snapToGrid/>
              <w:spacing w:line="60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3、噪声：</w:t>
            </w:r>
            <w:r>
              <w:rPr>
                <w:rFonts w:hint="eastAsia" w:ascii="宋体" w:hAnsi="宋体"/>
                <w:sz w:val="28"/>
                <w:szCs w:val="28"/>
              </w:rPr>
              <w:t>主要为生产时设备产生的噪声，</w:t>
            </w:r>
            <w:r>
              <w:rPr>
                <w:rFonts w:hint="eastAsia" w:ascii="宋体" w:hAnsi="宋体"/>
                <w:sz w:val="28"/>
                <w:szCs w:val="28"/>
                <w:lang w:val="en-US" w:eastAsia="zh-CN"/>
              </w:rPr>
              <w:t>采用厂房</w:t>
            </w:r>
            <w:r>
              <w:rPr>
                <w:rFonts w:hint="eastAsia" w:ascii="宋体" w:hAnsi="宋体"/>
                <w:sz w:val="28"/>
                <w:szCs w:val="28"/>
              </w:rPr>
              <w:t>隔声、</w:t>
            </w:r>
            <w:r>
              <w:rPr>
                <w:rFonts w:hint="eastAsia" w:ascii="宋体" w:hAnsi="宋体"/>
                <w:sz w:val="28"/>
                <w:szCs w:val="28"/>
                <w:lang w:eastAsia="zh-CN"/>
              </w:rPr>
              <w:t>基础减震</w:t>
            </w:r>
            <w:r>
              <w:rPr>
                <w:rFonts w:hint="eastAsia" w:ascii="宋体" w:hAnsi="宋体"/>
                <w:sz w:val="28"/>
                <w:szCs w:val="28"/>
              </w:rPr>
              <w:t>等措施，</w:t>
            </w:r>
            <w:r>
              <w:rPr>
                <w:rFonts w:hint="eastAsia" w:ascii="宋体" w:hAnsi="宋体"/>
                <w:sz w:val="28"/>
                <w:szCs w:val="28"/>
                <w:lang w:eastAsia="zh-CN"/>
              </w:rPr>
              <w:t>厂界</w:t>
            </w:r>
            <w:r>
              <w:rPr>
                <w:rFonts w:hint="eastAsia" w:ascii="宋体" w:hAnsi="宋体"/>
                <w:sz w:val="28"/>
                <w:szCs w:val="28"/>
              </w:rPr>
              <w:t>执行《工业企业厂界环境噪声排放标准》（GB12348-2008）</w:t>
            </w:r>
            <w:r>
              <w:rPr>
                <w:rFonts w:hint="eastAsia" w:ascii="宋体" w:hAnsi="宋体"/>
                <w:sz w:val="28"/>
                <w:szCs w:val="28"/>
                <w:lang w:val="en-US" w:eastAsia="zh-CN"/>
              </w:rPr>
              <w:t>3</w:t>
            </w:r>
            <w:r>
              <w:rPr>
                <w:rFonts w:hint="eastAsia" w:ascii="宋体" w:hAnsi="宋体"/>
                <w:sz w:val="28"/>
                <w:szCs w:val="28"/>
              </w:rPr>
              <w:t>类标准。</w:t>
            </w:r>
          </w:p>
          <w:p>
            <w:pPr>
              <w:keepNext w:val="0"/>
              <w:keepLines w:val="0"/>
              <w:pageBreakBefore w:val="0"/>
              <w:widowControl w:val="0"/>
              <w:kinsoku/>
              <w:wordWrap/>
              <w:overflowPunct/>
              <w:topLinePunct w:val="0"/>
              <w:autoSpaceDE/>
              <w:autoSpaceDN/>
              <w:bidi w:val="0"/>
              <w:adjustRightInd/>
              <w:snapToGrid/>
              <w:spacing w:line="600" w:lineRule="exact"/>
              <w:ind w:left="105" w:leftChars="50" w:right="115" w:rightChars="55" w:firstLine="537" w:firstLineChars="192"/>
              <w:textAlignment w:val="auto"/>
              <w:rPr>
                <w:rFonts w:hint="eastAsia" w:ascii="宋体" w:hAnsi="宋体"/>
                <w:kern w:val="0"/>
                <w:sz w:val="28"/>
                <w:szCs w:val="28"/>
              </w:rPr>
            </w:pPr>
            <w:r>
              <w:rPr>
                <w:rFonts w:hint="eastAsia" w:ascii="宋体" w:hAnsi="宋体"/>
                <w:kern w:val="0"/>
                <w:sz w:val="28"/>
                <w:szCs w:val="28"/>
              </w:rPr>
              <w:t>4、固体废物：</w:t>
            </w:r>
            <w:r>
              <w:rPr>
                <w:rFonts w:hint="eastAsia" w:ascii="宋体" w:hAnsi="宋体"/>
                <w:kern w:val="0"/>
                <w:sz w:val="28"/>
                <w:szCs w:val="28"/>
                <w:lang w:eastAsia="zh-CN"/>
              </w:rPr>
              <w:t>危险废物</w:t>
            </w:r>
            <w:r>
              <w:rPr>
                <w:rFonts w:hint="eastAsia" w:ascii="宋体" w:hAnsi="宋体"/>
                <w:kern w:val="0"/>
                <w:sz w:val="28"/>
                <w:szCs w:val="28"/>
              </w:rPr>
              <w:t>收集后暂存于危废间内，定期交由有资质单位处置</w:t>
            </w:r>
            <w:r>
              <w:rPr>
                <w:rFonts w:hint="eastAsia" w:ascii="宋体" w:hAnsi="宋体"/>
                <w:kern w:val="0"/>
                <w:sz w:val="28"/>
                <w:szCs w:val="28"/>
                <w:lang w:eastAsia="zh-CN"/>
              </w:rPr>
              <w:t>，</w:t>
            </w:r>
            <w:r>
              <w:rPr>
                <w:rFonts w:hint="eastAsia" w:ascii="宋体" w:hAnsi="宋体"/>
                <w:kern w:val="0"/>
                <w:sz w:val="28"/>
                <w:szCs w:val="28"/>
              </w:rPr>
              <w:t>生活垃圾由环卫部门统一清运处理。</w:t>
            </w:r>
          </w:p>
          <w:p>
            <w:pPr>
              <w:keepNext w:val="0"/>
              <w:keepLines w:val="0"/>
              <w:pageBreakBefore w:val="0"/>
              <w:widowControl w:val="0"/>
              <w:kinsoku/>
              <w:wordWrap/>
              <w:overflowPunct/>
              <w:topLinePunct w:val="0"/>
              <w:autoSpaceDE/>
              <w:autoSpaceDN/>
              <w:bidi w:val="0"/>
              <w:adjustRightInd/>
              <w:snapToGrid/>
              <w:spacing w:line="60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四、全厂污染物排放总量控制指标为：COD:0t/a、氨氮：0t/a、总氮：0t/a、总磷：0t/a、SO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w:t>
            </w:r>
            <w:r>
              <w:rPr>
                <w:rFonts w:hint="eastAsia" w:ascii="宋体" w:hAnsi="宋体"/>
                <w:kern w:val="0"/>
                <w:sz w:val="28"/>
                <w:szCs w:val="28"/>
                <w:lang w:val="en-US" w:eastAsia="zh-CN"/>
              </w:rPr>
              <w:t>VOCs：0.0827</w:t>
            </w:r>
            <w:r>
              <w:rPr>
                <w:rFonts w:hint="eastAsia" w:ascii="宋体" w:hAnsi="宋体"/>
                <w:kern w:val="0"/>
                <w:sz w:val="28"/>
                <w:szCs w:val="28"/>
              </w:rPr>
              <w:t>t/a</w:t>
            </w:r>
            <w:r>
              <w:rPr>
                <w:rFonts w:hint="eastAsia" w:ascii="宋体" w:hAnsi="宋体"/>
                <w:kern w:val="0"/>
                <w:sz w:val="28"/>
                <w:szCs w:val="28"/>
                <w:lang w:eastAsia="zh-CN"/>
              </w:rPr>
              <w:t>（非甲烷总烃</w:t>
            </w:r>
            <w:r>
              <w:rPr>
                <w:rFonts w:hint="eastAsia" w:ascii="宋体" w:hAnsi="宋体"/>
                <w:kern w:val="0"/>
                <w:sz w:val="28"/>
                <w:szCs w:val="28"/>
              </w:rPr>
              <w:t>：0.</w:t>
            </w:r>
            <w:r>
              <w:rPr>
                <w:rFonts w:hint="eastAsia" w:ascii="宋体" w:hAnsi="宋体"/>
                <w:kern w:val="0"/>
                <w:sz w:val="28"/>
                <w:szCs w:val="28"/>
                <w:lang w:val="en-US" w:eastAsia="zh-CN"/>
              </w:rPr>
              <w:t>066</w:t>
            </w:r>
            <w:r>
              <w:rPr>
                <w:rFonts w:hint="eastAsia" w:ascii="宋体" w:hAnsi="宋体"/>
                <w:kern w:val="0"/>
                <w:sz w:val="28"/>
                <w:szCs w:val="28"/>
              </w:rPr>
              <w:t>t/a、</w:t>
            </w:r>
            <w:r>
              <w:rPr>
                <w:rFonts w:hint="eastAsia" w:ascii="宋体" w:hAnsi="宋体"/>
                <w:kern w:val="0"/>
                <w:sz w:val="28"/>
                <w:szCs w:val="28"/>
                <w:lang w:eastAsia="zh-CN"/>
              </w:rPr>
              <w:t>甲苯</w:t>
            </w:r>
            <w:r>
              <w:rPr>
                <w:rFonts w:hint="eastAsia" w:ascii="宋体" w:hAnsi="宋体"/>
                <w:kern w:val="0"/>
                <w:sz w:val="28"/>
                <w:szCs w:val="28"/>
                <w:lang w:val="en-US" w:eastAsia="zh-CN"/>
              </w:rPr>
              <w:t>0.0017</w:t>
            </w:r>
            <w:r>
              <w:rPr>
                <w:rFonts w:hint="eastAsia" w:ascii="宋体" w:hAnsi="宋体"/>
                <w:kern w:val="0"/>
                <w:sz w:val="28"/>
                <w:szCs w:val="28"/>
              </w:rPr>
              <w:t>t/a</w:t>
            </w:r>
            <w:r>
              <w:rPr>
                <w:rFonts w:hint="eastAsia" w:ascii="宋体" w:hAnsi="宋体"/>
                <w:kern w:val="0"/>
                <w:sz w:val="28"/>
                <w:szCs w:val="28"/>
                <w:lang w:eastAsia="zh-CN"/>
              </w:rPr>
              <w:t>、二甲苯</w:t>
            </w:r>
            <w:r>
              <w:rPr>
                <w:rFonts w:hint="eastAsia" w:ascii="宋体" w:hAnsi="宋体"/>
                <w:kern w:val="0"/>
                <w:sz w:val="28"/>
                <w:szCs w:val="28"/>
                <w:lang w:val="en-US" w:eastAsia="zh-CN"/>
              </w:rPr>
              <w:t>0.015</w:t>
            </w:r>
            <w:r>
              <w:rPr>
                <w:rFonts w:hint="eastAsia" w:ascii="宋体" w:hAnsi="宋体"/>
                <w:kern w:val="0"/>
                <w:sz w:val="28"/>
                <w:szCs w:val="28"/>
              </w:rPr>
              <w:t>t/a</w:t>
            </w:r>
            <w:r>
              <w:rPr>
                <w:rFonts w:hint="eastAsia" w:ascii="宋体" w:hAnsi="宋体"/>
                <w:kern w:val="0"/>
                <w:sz w:val="28"/>
                <w:szCs w:val="28"/>
                <w:lang w:eastAsia="zh-CN"/>
              </w:rPr>
              <w:t>）</w:t>
            </w:r>
            <w:r>
              <w:rPr>
                <w:rFonts w:hint="eastAsia" w:ascii="宋体" w:hAnsi="宋体"/>
                <w:kern w:val="0"/>
                <w:sz w:val="28"/>
                <w:szCs w:val="28"/>
              </w:rPr>
              <w:t>颗粒物：0</w:t>
            </w:r>
            <w:r>
              <w:rPr>
                <w:rFonts w:hint="eastAsia" w:ascii="宋体" w:hAnsi="宋体"/>
                <w:kern w:val="0"/>
                <w:sz w:val="28"/>
                <w:szCs w:val="28"/>
                <w:lang w:val="en-US" w:eastAsia="zh-CN"/>
              </w:rPr>
              <w:t>.107</w:t>
            </w:r>
            <w:r>
              <w:rPr>
                <w:rFonts w:hint="eastAsia" w:ascii="宋体" w:hAnsi="宋体"/>
                <w:kern w:val="0"/>
                <w:sz w:val="28"/>
                <w:szCs w:val="28"/>
              </w:rPr>
              <w:t>t/a。</w:t>
            </w:r>
          </w:p>
          <w:p>
            <w:pPr>
              <w:keepNext w:val="0"/>
              <w:keepLines w:val="0"/>
              <w:pageBreakBefore w:val="0"/>
              <w:widowControl w:val="0"/>
              <w:kinsoku/>
              <w:wordWrap/>
              <w:overflowPunct/>
              <w:topLinePunct w:val="0"/>
              <w:autoSpaceDE/>
              <w:autoSpaceDN/>
              <w:bidi w:val="0"/>
              <w:adjustRightInd/>
              <w:snapToGrid/>
              <w:spacing w:line="600" w:lineRule="exact"/>
              <w:ind w:right="25" w:rightChars="12" w:firstLine="537" w:firstLineChars="192"/>
              <w:textAlignment w:val="auto"/>
              <w:rPr>
                <w:rFonts w:hint="eastAsia" w:ascii="宋体" w:hAnsi="宋体"/>
                <w:kern w:val="0"/>
                <w:sz w:val="28"/>
                <w:szCs w:val="28"/>
              </w:rPr>
            </w:pPr>
            <w:r>
              <w:rPr>
                <w:rFonts w:hint="eastAsia" w:ascii="宋体" w:hAnsi="宋体"/>
                <w:kern w:val="0"/>
                <w:sz w:val="28"/>
                <w:szCs w:val="28"/>
              </w:rPr>
              <w:t xml:space="preserve">五、项目建成后应先行按照排污许可管理要求，办理排污许可证，并按照《建设项目环境保护管理条例》（国令第682号）及相关文件要求落实竣工环境保护验收工作。                      </w:t>
            </w:r>
          </w:p>
          <w:p>
            <w:pPr>
              <w:spacing w:line="540" w:lineRule="exact"/>
              <w:ind w:right="115" w:rightChars="55" w:firstLine="6440" w:firstLineChars="2300"/>
              <w:rPr>
                <w:rFonts w:hint="eastAsia" w:ascii="宋体" w:hAnsi="宋体"/>
                <w:kern w:val="0"/>
                <w:sz w:val="28"/>
                <w:szCs w:val="28"/>
              </w:rPr>
            </w:pPr>
          </w:p>
          <w:p>
            <w:pPr>
              <w:spacing w:line="540" w:lineRule="exact"/>
              <w:ind w:right="115" w:rightChars="55" w:firstLine="6440" w:firstLineChars="2300"/>
              <w:rPr>
                <w:rFonts w:hint="eastAsia" w:ascii="宋体" w:hAnsi="宋体"/>
                <w:kern w:val="0"/>
                <w:sz w:val="28"/>
                <w:szCs w:val="28"/>
              </w:rPr>
            </w:pPr>
            <w:bookmarkStart w:id="0" w:name="_GoBack"/>
            <w:bookmarkEnd w:id="0"/>
            <w:r>
              <w:rPr>
                <w:rFonts w:hint="eastAsia" w:ascii="宋体" w:hAnsi="宋体"/>
                <w:kern w:val="0"/>
                <w:sz w:val="28"/>
                <w:szCs w:val="28"/>
              </w:rPr>
              <w:t xml:space="preserve">公   章   </w:t>
            </w:r>
          </w:p>
          <w:p>
            <w:pPr>
              <w:spacing w:line="540" w:lineRule="exact"/>
              <w:ind w:left="105" w:leftChars="50" w:right="115" w:rightChars="55" w:firstLine="5577" w:firstLineChars="1992"/>
              <w:rPr>
                <w:rFonts w:hint="eastAsia" w:ascii="宋体" w:hAnsi="宋体"/>
                <w:kern w:val="0"/>
                <w:sz w:val="28"/>
                <w:szCs w:val="28"/>
              </w:rPr>
            </w:pPr>
            <w:r>
              <w:rPr>
                <w:rFonts w:hint="eastAsia" w:ascii="宋体" w:hAnsi="宋体"/>
                <w:kern w:val="0"/>
                <w:sz w:val="28"/>
                <w:szCs w:val="28"/>
              </w:rPr>
              <w:t>2020年</w:t>
            </w:r>
            <w:r>
              <w:rPr>
                <w:rFonts w:hint="eastAsia" w:ascii="宋体" w:hAnsi="宋体"/>
                <w:kern w:val="0"/>
                <w:sz w:val="28"/>
                <w:szCs w:val="28"/>
                <w:lang w:val="en-US" w:eastAsia="zh-CN"/>
              </w:rPr>
              <w:t>12</w:t>
            </w:r>
            <w:r>
              <w:rPr>
                <w:rFonts w:hint="eastAsia" w:ascii="宋体" w:hAnsi="宋体"/>
                <w:kern w:val="0"/>
                <w:sz w:val="28"/>
                <w:szCs w:val="28"/>
              </w:rPr>
              <w:t>月</w:t>
            </w:r>
            <w:r>
              <w:rPr>
                <w:rFonts w:hint="eastAsia" w:ascii="宋体" w:hAnsi="宋体"/>
                <w:kern w:val="0"/>
                <w:sz w:val="28"/>
                <w:szCs w:val="28"/>
                <w:lang w:val="en-US" w:eastAsia="zh-CN"/>
              </w:rPr>
              <w:t>14</w:t>
            </w:r>
            <w:r>
              <w:rPr>
                <w:rFonts w:hint="eastAsia" w:ascii="宋体" w:hAnsi="宋体"/>
                <w:kern w:val="0"/>
                <w:sz w:val="28"/>
                <w:szCs w:val="28"/>
              </w:rPr>
              <w:t xml:space="preserve">日 </w:t>
            </w:r>
          </w:p>
          <w:p>
            <w:pPr>
              <w:spacing w:line="540" w:lineRule="exact"/>
              <w:ind w:left="105" w:leftChars="50" w:right="115" w:rightChars="55" w:firstLine="5577" w:firstLineChars="1992"/>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E17C62"/>
    <w:rsid w:val="010B7A00"/>
    <w:rsid w:val="012B29D6"/>
    <w:rsid w:val="03387F27"/>
    <w:rsid w:val="03F12C22"/>
    <w:rsid w:val="064755A9"/>
    <w:rsid w:val="070D0602"/>
    <w:rsid w:val="075816F2"/>
    <w:rsid w:val="079E4B0C"/>
    <w:rsid w:val="07B578BD"/>
    <w:rsid w:val="07F87134"/>
    <w:rsid w:val="09513DA4"/>
    <w:rsid w:val="0E37220F"/>
    <w:rsid w:val="0FA909B6"/>
    <w:rsid w:val="10FF1595"/>
    <w:rsid w:val="155E7116"/>
    <w:rsid w:val="16F428BA"/>
    <w:rsid w:val="173E1C2D"/>
    <w:rsid w:val="1AE37DD8"/>
    <w:rsid w:val="1C207D7E"/>
    <w:rsid w:val="1D1456FD"/>
    <w:rsid w:val="1F7D17B9"/>
    <w:rsid w:val="1F970FDA"/>
    <w:rsid w:val="203B5D22"/>
    <w:rsid w:val="20890954"/>
    <w:rsid w:val="25EF214F"/>
    <w:rsid w:val="29CD76E9"/>
    <w:rsid w:val="2F0B1F33"/>
    <w:rsid w:val="33B86748"/>
    <w:rsid w:val="34744903"/>
    <w:rsid w:val="35555B84"/>
    <w:rsid w:val="355D57EF"/>
    <w:rsid w:val="3981372B"/>
    <w:rsid w:val="3A914A7A"/>
    <w:rsid w:val="3D3F58F9"/>
    <w:rsid w:val="427D6FED"/>
    <w:rsid w:val="45AB7028"/>
    <w:rsid w:val="475517B8"/>
    <w:rsid w:val="484E6843"/>
    <w:rsid w:val="4B445B23"/>
    <w:rsid w:val="4F5A053A"/>
    <w:rsid w:val="503D7AE2"/>
    <w:rsid w:val="51120161"/>
    <w:rsid w:val="5BAB2391"/>
    <w:rsid w:val="5C891FD1"/>
    <w:rsid w:val="5D026B35"/>
    <w:rsid w:val="5DAF5F8C"/>
    <w:rsid w:val="5F1452F4"/>
    <w:rsid w:val="632A1DED"/>
    <w:rsid w:val="6332391A"/>
    <w:rsid w:val="64A9326C"/>
    <w:rsid w:val="650F0153"/>
    <w:rsid w:val="65CC7DA3"/>
    <w:rsid w:val="67AC4BE7"/>
    <w:rsid w:val="68D109D1"/>
    <w:rsid w:val="69625D31"/>
    <w:rsid w:val="6D381F6C"/>
    <w:rsid w:val="6D476083"/>
    <w:rsid w:val="6E544963"/>
    <w:rsid w:val="6F1A6566"/>
    <w:rsid w:val="6FD77376"/>
    <w:rsid w:val="73083A80"/>
    <w:rsid w:val="746439DF"/>
    <w:rsid w:val="74B83A80"/>
    <w:rsid w:val="78032532"/>
    <w:rsid w:val="79F0112C"/>
    <w:rsid w:val="7DD84CF3"/>
    <w:rsid w:val="7F174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1</TotalTime>
  <ScaleCrop>false</ScaleCrop>
  <LinksUpToDate>false</LinksUpToDate>
  <CharactersWithSpaces>1275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2020-12-04T03:33:00Z</cp:lastPrinted>
  <dcterms:modified xsi:type="dcterms:W3CDTF">2020-12-14T07:29:34Z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