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3" w:hRule="atLeast"/>
        </w:trPr>
        <w:tc>
          <w:tcPr>
            <w:tcW w:w="8522" w:type="dxa"/>
          </w:tcPr>
          <w:p>
            <w:pPr>
              <w:tabs>
                <w:tab w:val="left" w:pos="3960"/>
              </w:tabs>
              <w:spacing w:line="600" w:lineRule="exact"/>
              <w:ind w:left="105" w:leftChars="50" w:right="115" w:rightChars="55"/>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val="0"/>
              <w:kinsoku/>
              <w:wordWrap/>
              <w:overflowPunct/>
              <w:topLinePunct w:val="0"/>
              <w:autoSpaceDE/>
              <w:autoSpaceDN/>
              <w:bidi w:val="0"/>
              <w:adjustRightInd/>
              <w:snapToGrid/>
              <w:spacing w:line="68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w:t>
            </w:r>
            <w:r>
              <w:rPr>
                <w:rFonts w:hint="eastAsia" w:ascii="宋体" w:hAnsi="宋体"/>
                <w:kern w:val="0"/>
                <w:sz w:val="28"/>
                <w:szCs w:val="28"/>
                <w:lang w:val="en-US" w:eastAsia="zh-CN"/>
              </w:rPr>
              <w:t>1</w:t>
            </w:r>
            <w:r>
              <w:rPr>
                <w:rFonts w:hint="eastAsia" w:ascii="宋体" w:hAnsi="宋体"/>
                <w:kern w:val="0"/>
                <w:sz w:val="28"/>
                <w:szCs w:val="28"/>
              </w:rPr>
              <w:t>]</w:t>
            </w:r>
            <w:r>
              <w:rPr>
                <w:rFonts w:hint="eastAsia" w:ascii="宋体" w:hAnsi="宋体"/>
                <w:kern w:val="0"/>
                <w:sz w:val="28"/>
                <w:szCs w:val="28"/>
                <w:lang w:val="en-US" w:eastAsia="zh-CN"/>
              </w:rPr>
              <w:t>10</w:t>
            </w:r>
            <w:r>
              <w:rPr>
                <w:rFonts w:hint="eastAsia" w:ascii="宋体" w:hAnsi="宋体"/>
                <w:kern w:val="0"/>
                <w:sz w:val="28"/>
                <w:szCs w:val="28"/>
              </w:rPr>
              <w:t>号</w:t>
            </w:r>
          </w:p>
          <w:p>
            <w:pPr>
              <w:keepNext w:val="0"/>
              <w:keepLines w:val="0"/>
              <w:pageBreakBefore w:val="0"/>
              <w:widowControl w:val="0"/>
              <w:tabs>
                <w:tab w:val="left" w:pos="3960"/>
              </w:tabs>
              <w:kinsoku/>
              <w:wordWrap/>
              <w:overflowPunct/>
              <w:topLinePunct w:val="0"/>
              <w:autoSpaceDE/>
              <w:autoSpaceDN/>
              <w:bidi w:val="0"/>
              <w:adjustRightInd/>
              <w:snapToGrid/>
              <w:spacing w:line="680" w:lineRule="exact"/>
              <w:ind w:firstLine="560" w:firstLineChars="200"/>
              <w:textAlignment w:val="auto"/>
              <w:rPr>
                <w:rFonts w:hint="eastAsia" w:ascii="宋体" w:hAnsi="宋体"/>
                <w:kern w:val="0"/>
                <w:sz w:val="28"/>
                <w:szCs w:val="28"/>
              </w:rPr>
            </w:pPr>
            <w:r>
              <w:rPr>
                <w:rFonts w:hint="eastAsia" w:ascii="宋体" w:hAnsi="宋体"/>
                <w:kern w:val="0"/>
                <w:sz w:val="28"/>
                <w:szCs w:val="28"/>
              </w:rPr>
              <w:t>所报《</w:t>
            </w:r>
            <w:r>
              <w:rPr>
                <w:rFonts w:hint="eastAsia" w:ascii="宋体" w:hAnsi="宋体"/>
                <w:bCs/>
                <w:color w:val="000000"/>
                <w:sz w:val="28"/>
                <w:szCs w:val="28"/>
                <w:lang w:eastAsia="zh-CN"/>
              </w:rPr>
              <w:t>满城第二中医医院扩建</w:t>
            </w:r>
            <w:r>
              <w:rPr>
                <w:rFonts w:hint="eastAsia" w:ascii="宋体" w:hAnsi="宋体"/>
                <w:kern w:val="0"/>
                <w:sz w:val="28"/>
                <w:szCs w:val="28"/>
              </w:rPr>
              <w:t>项目环境影响报告表》收悉，根据报告表结论，经局领导审核通过后，研究批复如下：</w:t>
            </w:r>
          </w:p>
          <w:p>
            <w:pPr>
              <w:keepNext w:val="0"/>
              <w:keepLines w:val="0"/>
              <w:pageBreakBefore w:val="0"/>
              <w:widowControl w:val="0"/>
              <w:tabs>
                <w:tab w:val="left" w:pos="3960"/>
              </w:tabs>
              <w:kinsoku/>
              <w:wordWrap/>
              <w:overflowPunct/>
              <w:topLinePunct w:val="0"/>
              <w:autoSpaceDE/>
              <w:autoSpaceDN/>
              <w:bidi w:val="0"/>
              <w:adjustRightInd/>
              <w:snapToGrid/>
              <w:spacing w:line="680" w:lineRule="exact"/>
              <w:ind w:left="105" w:leftChars="50" w:right="115" w:rightChars="55" w:firstLine="537" w:firstLineChars="192"/>
              <w:textAlignment w:val="auto"/>
              <w:rPr>
                <w:rFonts w:hint="eastAsia" w:ascii="宋体" w:hAnsi="宋体" w:eastAsia="宋体"/>
                <w:kern w:val="0"/>
                <w:sz w:val="28"/>
                <w:szCs w:val="28"/>
                <w:lang w:eastAsia="zh-CN"/>
              </w:rPr>
            </w:pPr>
            <w:r>
              <w:rPr>
                <w:rFonts w:hint="eastAsia" w:ascii="宋体" w:hAnsi="宋体"/>
                <w:kern w:val="0"/>
                <w:sz w:val="28"/>
                <w:szCs w:val="28"/>
              </w:rPr>
              <w:t>一、</w:t>
            </w:r>
            <w:r>
              <w:rPr>
                <w:rFonts w:ascii="宋体" w:hAnsi="宋体"/>
                <w:kern w:val="0"/>
                <w:sz w:val="28"/>
                <w:szCs w:val="28"/>
              </w:rPr>
              <w:t>项目位于</w:t>
            </w:r>
            <w:r>
              <w:rPr>
                <w:rFonts w:hint="eastAsia" w:ascii="宋体" w:hAnsi="宋体"/>
                <w:color w:val="000000"/>
                <w:sz w:val="28"/>
                <w:szCs w:val="28"/>
                <w:lang w:eastAsia="zh-CN"/>
              </w:rPr>
              <w:t>满城区于家庄乡郎村村东</w:t>
            </w:r>
            <w:r>
              <w:rPr>
                <w:rFonts w:hint="eastAsia" w:ascii="宋体" w:hAnsi="宋体"/>
                <w:color w:val="000000"/>
                <w:sz w:val="28"/>
                <w:szCs w:val="28"/>
              </w:rPr>
              <w:t>，厂区</w:t>
            </w:r>
            <w:r>
              <w:rPr>
                <w:rFonts w:hint="eastAsia" w:ascii="宋体" w:hAnsi="宋体"/>
                <w:sz w:val="28"/>
                <w:szCs w:val="28"/>
              </w:rPr>
              <w:t>中心地理坐标为：</w:t>
            </w:r>
            <w:r>
              <w:rPr>
                <w:rFonts w:ascii="宋体" w:hAnsi="宋体"/>
                <w:kern w:val="0"/>
                <w:sz w:val="28"/>
                <w:szCs w:val="28"/>
              </w:rPr>
              <w:t>北纬</w:t>
            </w:r>
            <w:r>
              <w:rPr>
                <w:rFonts w:hint="eastAsia" w:ascii="宋体" w:hAnsi="宋体"/>
                <w:kern w:val="0"/>
                <w:sz w:val="28"/>
                <w:szCs w:val="28"/>
              </w:rPr>
              <w:t>3</w:t>
            </w:r>
            <w:r>
              <w:rPr>
                <w:rFonts w:hint="eastAsia" w:ascii="宋体" w:hAnsi="宋体"/>
                <w:kern w:val="0"/>
                <w:sz w:val="28"/>
                <w:szCs w:val="28"/>
                <w:lang w:val="en-US" w:eastAsia="zh-CN"/>
              </w:rPr>
              <w:t>8</w:t>
            </w:r>
            <w:r>
              <w:rPr>
                <w:rFonts w:ascii="宋体" w:hAnsi="宋体"/>
                <w:kern w:val="0"/>
                <w:sz w:val="28"/>
                <w:szCs w:val="28"/>
              </w:rPr>
              <w:t>°</w:t>
            </w:r>
            <w:r>
              <w:rPr>
                <w:rFonts w:hint="eastAsia" w:ascii="宋体" w:hAnsi="宋体"/>
                <w:kern w:val="0"/>
                <w:sz w:val="28"/>
                <w:szCs w:val="28"/>
                <w:lang w:val="en-US" w:eastAsia="zh-CN"/>
              </w:rPr>
              <w:t>48</w:t>
            </w:r>
            <w:r>
              <w:rPr>
                <w:rFonts w:ascii="宋体" w:hAnsi="宋体"/>
                <w:kern w:val="0"/>
                <w:sz w:val="28"/>
                <w:szCs w:val="28"/>
              </w:rPr>
              <w:t>’</w:t>
            </w:r>
            <w:r>
              <w:rPr>
                <w:rFonts w:hint="eastAsia" w:ascii="宋体" w:hAnsi="宋体"/>
                <w:kern w:val="0"/>
                <w:sz w:val="28"/>
                <w:szCs w:val="28"/>
                <w:lang w:val="en-US" w:eastAsia="zh-CN"/>
              </w:rPr>
              <w:t>26.81</w:t>
            </w:r>
            <w:r>
              <w:rPr>
                <w:rFonts w:ascii="宋体" w:hAnsi="宋体"/>
                <w:kern w:val="0"/>
                <w:sz w:val="28"/>
                <w:szCs w:val="28"/>
              </w:rPr>
              <w:t>”</w:t>
            </w:r>
            <w:r>
              <w:rPr>
                <w:rFonts w:hint="eastAsia" w:ascii="宋体" w:hAnsi="宋体"/>
                <w:kern w:val="0"/>
                <w:sz w:val="28"/>
                <w:szCs w:val="28"/>
              </w:rPr>
              <w:t>，</w:t>
            </w:r>
            <w:r>
              <w:rPr>
                <w:rFonts w:ascii="宋体" w:hAnsi="宋体"/>
                <w:kern w:val="0"/>
                <w:sz w:val="28"/>
                <w:szCs w:val="28"/>
              </w:rPr>
              <w:t>东经115°</w:t>
            </w:r>
            <w:r>
              <w:rPr>
                <w:rFonts w:hint="eastAsia" w:ascii="宋体" w:hAnsi="宋体"/>
                <w:kern w:val="0"/>
                <w:sz w:val="28"/>
                <w:szCs w:val="28"/>
                <w:lang w:val="en-US" w:eastAsia="zh-CN"/>
              </w:rPr>
              <w:t>22</w:t>
            </w:r>
            <w:r>
              <w:rPr>
                <w:rFonts w:ascii="宋体" w:hAnsi="宋体"/>
                <w:kern w:val="0"/>
                <w:sz w:val="28"/>
                <w:szCs w:val="28"/>
              </w:rPr>
              <w:t>’</w:t>
            </w:r>
            <w:r>
              <w:rPr>
                <w:rFonts w:hint="eastAsia" w:ascii="宋体" w:hAnsi="宋体"/>
                <w:kern w:val="0"/>
                <w:sz w:val="28"/>
                <w:szCs w:val="28"/>
                <w:lang w:val="en-US" w:eastAsia="zh-CN"/>
              </w:rPr>
              <w:t>3.61</w:t>
            </w:r>
            <w:r>
              <w:rPr>
                <w:rFonts w:ascii="宋体" w:hAnsi="宋体"/>
                <w:kern w:val="0"/>
                <w:sz w:val="28"/>
                <w:szCs w:val="28"/>
              </w:rPr>
              <w:t>”</w:t>
            </w:r>
            <w:r>
              <w:rPr>
                <w:rFonts w:hint="eastAsia"/>
                <w:sz w:val="28"/>
                <w:szCs w:val="28"/>
              </w:rPr>
              <w:t>，</w:t>
            </w:r>
            <w:r>
              <w:rPr>
                <w:rFonts w:hint="eastAsia"/>
                <w:sz w:val="28"/>
                <w:szCs w:val="28"/>
                <w:lang w:eastAsia="zh-CN"/>
              </w:rPr>
              <w:t>项目西侧、南侧为农田，北侧隔路为农田，东侧为部队营房</w:t>
            </w:r>
            <w:r>
              <w:rPr>
                <w:rFonts w:hint="eastAsia" w:ascii="宋体" w:hAnsi="宋体"/>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80" w:lineRule="exact"/>
              <w:ind w:left="178" w:leftChars="85" w:right="71" w:rightChars="34" w:firstLine="540" w:firstLineChars="193"/>
              <w:textAlignment w:val="auto"/>
              <w:rPr>
                <w:rFonts w:hint="default" w:ascii="宋体" w:hAnsi="宋体"/>
                <w:kern w:val="0"/>
                <w:sz w:val="28"/>
                <w:szCs w:val="28"/>
                <w:lang w:val="en-US"/>
              </w:rPr>
            </w:pPr>
            <w:r>
              <w:rPr>
                <w:rFonts w:hint="eastAsia" w:ascii="宋体" w:hAnsi="宋体"/>
                <w:kern w:val="0"/>
                <w:sz w:val="28"/>
                <w:szCs w:val="28"/>
              </w:rPr>
              <w:t>二、项目总投资</w:t>
            </w:r>
            <w:r>
              <w:rPr>
                <w:rFonts w:hint="eastAsia" w:ascii="宋体" w:hAnsi="宋体"/>
                <w:kern w:val="0"/>
                <w:sz w:val="28"/>
                <w:szCs w:val="28"/>
                <w:lang w:val="en-US" w:eastAsia="zh-CN"/>
              </w:rPr>
              <w:t>1200</w:t>
            </w:r>
            <w:r>
              <w:rPr>
                <w:rFonts w:hint="eastAsia" w:ascii="宋体" w:hAnsi="宋体"/>
                <w:kern w:val="0"/>
                <w:sz w:val="28"/>
                <w:szCs w:val="28"/>
              </w:rPr>
              <w:t>万元，其中环保投资</w:t>
            </w:r>
            <w:r>
              <w:rPr>
                <w:rFonts w:hint="eastAsia" w:ascii="宋体" w:hAnsi="宋体"/>
                <w:kern w:val="0"/>
                <w:sz w:val="28"/>
                <w:szCs w:val="28"/>
                <w:lang w:val="en-US" w:eastAsia="zh-CN"/>
              </w:rPr>
              <w:t>80</w:t>
            </w:r>
            <w:r>
              <w:rPr>
                <w:rFonts w:hint="eastAsia" w:ascii="宋体" w:hAnsi="宋体"/>
                <w:kern w:val="0"/>
                <w:sz w:val="28"/>
                <w:szCs w:val="28"/>
              </w:rPr>
              <w:t>万元。</w:t>
            </w:r>
            <w:r>
              <w:rPr>
                <w:rFonts w:hint="eastAsia" w:ascii="宋体" w:hAnsi="宋体"/>
                <w:kern w:val="0"/>
                <w:sz w:val="28"/>
                <w:szCs w:val="28"/>
                <w:lang w:eastAsia="zh-CN"/>
              </w:rPr>
              <w:t>本次扩建主要购进医疗检测设备、康复治疗设备等</w:t>
            </w:r>
            <w:r>
              <w:rPr>
                <w:rFonts w:hint="eastAsia" w:ascii="宋体" w:hAnsi="宋体"/>
                <w:kern w:val="0"/>
                <w:sz w:val="28"/>
                <w:szCs w:val="28"/>
                <w:lang w:val="en-US" w:eastAsia="zh-CN"/>
              </w:rPr>
              <w:t>75台（套），扩建完成后床位增至80张。</w:t>
            </w:r>
          </w:p>
          <w:p>
            <w:pPr>
              <w:keepNext w:val="0"/>
              <w:keepLines w:val="0"/>
              <w:pageBreakBefore w:val="0"/>
              <w:widowControl w:val="0"/>
              <w:kinsoku/>
              <w:wordWrap/>
              <w:overflowPunct/>
              <w:topLinePunct w:val="0"/>
              <w:autoSpaceDE/>
              <w:autoSpaceDN/>
              <w:bidi w:val="0"/>
              <w:adjustRightInd/>
              <w:snapToGrid/>
              <w:spacing w:line="68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三、你单位在建设及运营过程中要严格按本项目环境影响报告表规定的内容，认真落实各项污染防治措施，确保污染物稳定达标排放。</w:t>
            </w:r>
          </w:p>
          <w:p>
            <w:pPr>
              <w:keepNext w:val="0"/>
              <w:keepLines w:val="0"/>
              <w:pageBreakBefore w:val="0"/>
              <w:widowControl w:val="0"/>
              <w:kinsoku/>
              <w:wordWrap/>
              <w:overflowPunct/>
              <w:topLinePunct w:val="0"/>
              <w:autoSpaceDE/>
              <w:autoSpaceDN/>
              <w:bidi w:val="0"/>
              <w:adjustRightInd/>
              <w:snapToGrid/>
              <w:spacing w:line="680" w:lineRule="exact"/>
              <w:ind w:left="178" w:leftChars="85" w:right="71" w:rightChars="34" w:firstLine="540" w:firstLineChars="193"/>
              <w:textAlignment w:val="auto"/>
              <w:rPr>
                <w:rFonts w:hint="default" w:ascii="宋体" w:hAnsi="宋体" w:eastAsia="宋体"/>
                <w:sz w:val="28"/>
                <w:szCs w:val="28"/>
                <w:lang w:val="en-US" w:eastAsia="zh-CN"/>
              </w:rPr>
            </w:pPr>
            <w:r>
              <w:rPr>
                <w:rFonts w:hint="eastAsia" w:ascii="宋体" w:hAnsi="宋体"/>
                <w:sz w:val="28"/>
                <w:szCs w:val="28"/>
              </w:rPr>
              <w:t>1、</w:t>
            </w:r>
            <w:r>
              <w:rPr>
                <w:rFonts w:hint="eastAsia" w:ascii="宋体" w:hAnsi="宋体"/>
                <w:color w:val="000000"/>
                <w:sz w:val="28"/>
                <w:szCs w:val="28"/>
              </w:rPr>
              <w:t>废气</w:t>
            </w:r>
            <w:r>
              <w:rPr>
                <w:rFonts w:hint="eastAsia" w:ascii="宋体" w:hAnsi="宋体"/>
                <w:color w:val="000000"/>
                <w:sz w:val="28"/>
                <w:szCs w:val="28"/>
                <w:lang w:eastAsia="zh-CN"/>
              </w:rPr>
              <w:t>：</w:t>
            </w:r>
            <w:r>
              <w:rPr>
                <w:rFonts w:hint="eastAsia" w:ascii="宋体" w:hAnsi="宋体"/>
                <w:kern w:val="0"/>
                <w:sz w:val="28"/>
                <w:szCs w:val="28"/>
                <w:lang w:eastAsia="zh-CN"/>
              </w:rPr>
              <w:t>污水处理站加盖密闭，废气经负压收集后由密闭管道送至活性炭吸附装置处理后排放</w:t>
            </w:r>
            <w:r>
              <w:rPr>
                <w:rFonts w:hint="eastAsia" w:ascii="宋体" w:hAnsi="宋体"/>
                <w:kern w:val="0"/>
                <w:sz w:val="28"/>
                <w:szCs w:val="28"/>
              </w:rPr>
              <w:t>。</w:t>
            </w:r>
            <w:r>
              <w:rPr>
                <w:rFonts w:hint="eastAsia" w:ascii="宋体" w:hAnsi="宋体"/>
                <w:kern w:val="0"/>
                <w:sz w:val="28"/>
                <w:szCs w:val="28"/>
                <w:lang w:eastAsia="zh-CN"/>
              </w:rPr>
              <w:t>废气执行《医疗机构水污染物排放标准》（</w:t>
            </w:r>
            <w:r>
              <w:rPr>
                <w:rFonts w:hint="eastAsia" w:ascii="宋体" w:hAnsi="宋体"/>
                <w:kern w:val="0"/>
                <w:sz w:val="28"/>
                <w:szCs w:val="28"/>
                <w:lang w:val="en-US" w:eastAsia="zh-CN"/>
              </w:rPr>
              <w:t>GB18466-2005</w:t>
            </w:r>
            <w:r>
              <w:rPr>
                <w:rFonts w:hint="eastAsia" w:ascii="宋体" w:hAnsi="宋体"/>
                <w:kern w:val="0"/>
                <w:sz w:val="28"/>
                <w:szCs w:val="28"/>
                <w:lang w:eastAsia="zh-CN"/>
              </w:rPr>
              <w:t>）表</w:t>
            </w:r>
            <w:r>
              <w:rPr>
                <w:rFonts w:hint="eastAsia" w:ascii="宋体" w:hAnsi="宋体"/>
                <w:kern w:val="0"/>
                <w:sz w:val="28"/>
                <w:szCs w:val="28"/>
                <w:lang w:val="en-US" w:eastAsia="zh-CN"/>
              </w:rPr>
              <w:t>3标准要求。煎药房设置自动密闭煎药机，臭气浓度执行《恶臭污染物排放标准》（GB14554-93）表1二级标准。食堂安装油烟净化器，油烟执行《饮食业油烟排放标准》（GB18483-2001）小型标准要求。</w:t>
            </w:r>
          </w:p>
          <w:p>
            <w:pPr>
              <w:keepNext w:val="0"/>
              <w:keepLines w:val="0"/>
              <w:pageBreakBefore w:val="0"/>
              <w:widowControl w:val="0"/>
              <w:numPr>
                <w:ilvl w:val="0"/>
                <w:numId w:val="0"/>
              </w:numPr>
              <w:kinsoku/>
              <w:wordWrap/>
              <w:overflowPunct/>
              <w:topLinePunct w:val="0"/>
              <w:autoSpaceDE/>
              <w:autoSpaceDN/>
              <w:bidi w:val="0"/>
              <w:adjustRightInd/>
              <w:snapToGrid/>
              <w:spacing w:line="680" w:lineRule="exact"/>
              <w:ind w:firstLine="560" w:firstLineChars="200"/>
              <w:textAlignment w:val="auto"/>
              <w:outlineLvl w:val="9"/>
              <w:rPr>
                <w:rFonts w:hint="eastAsia" w:ascii="宋体" w:hAnsi="宋体"/>
                <w:sz w:val="28"/>
                <w:szCs w:val="28"/>
              </w:rPr>
            </w:pPr>
            <w:r>
              <w:rPr>
                <w:rFonts w:hint="eastAsia" w:ascii="宋体" w:hAnsi="宋体"/>
                <w:sz w:val="28"/>
                <w:szCs w:val="28"/>
                <w:lang w:val="en-US" w:eastAsia="zh-CN"/>
              </w:rPr>
              <w:t>2.</w:t>
            </w:r>
            <w:r>
              <w:rPr>
                <w:rFonts w:hint="eastAsia" w:ascii="宋体" w:hAnsi="宋体"/>
                <w:sz w:val="28"/>
                <w:szCs w:val="28"/>
              </w:rPr>
              <w:t>废水</w:t>
            </w:r>
            <w:r>
              <w:rPr>
                <w:rFonts w:hint="eastAsia" w:ascii="宋体" w:hAnsi="宋体"/>
                <w:sz w:val="28"/>
                <w:szCs w:val="28"/>
                <w:lang w:eastAsia="zh-CN"/>
              </w:rPr>
              <w:t>：门诊及病房产生的检验废水经中和预处理后与门诊、病房其它废水及煎药机冲洗废水、洗衣房废水、经隔油池处理后的食堂餐饮废水经污水站（污水站处理工艺为</w:t>
            </w:r>
            <w:r>
              <w:rPr>
                <w:rFonts w:hint="eastAsia" w:ascii="宋体" w:hAnsi="宋体"/>
                <w:sz w:val="28"/>
                <w:szCs w:val="28"/>
                <w:lang w:val="en-US" w:eastAsia="zh-CN"/>
              </w:rPr>
              <w:t>“</w:t>
            </w:r>
            <w:r>
              <w:rPr>
                <w:rFonts w:hint="eastAsia" w:ascii="宋体" w:hAnsi="宋体"/>
                <w:sz w:val="28"/>
                <w:szCs w:val="28"/>
                <w:lang w:eastAsia="zh-CN"/>
              </w:rPr>
              <w:t>预处理</w:t>
            </w:r>
            <w:r>
              <w:rPr>
                <w:rFonts w:hint="eastAsia" w:ascii="宋体" w:hAnsi="宋体"/>
                <w:sz w:val="28"/>
                <w:szCs w:val="28"/>
                <w:lang w:val="en-US" w:eastAsia="zh-CN"/>
              </w:rPr>
              <w:t>+混凝沉淀+生物接触氧化池+二沉池+消毒”，处理规模为：50m</w:t>
            </w:r>
            <w:r>
              <w:rPr>
                <w:rFonts w:hint="eastAsia" w:ascii="宋体" w:hAnsi="宋体"/>
                <w:sz w:val="28"/>
                <w:szCs w:val="28"/>
                <w:vertAlign w:val="superscript"/>
                <w:lang w:val="en-US" w:eastAsia="zh-CN"/>
              </w:rPr>
              <w:t>3</w:t>
            </w:r>
            <w:r>
              <w:rPr>
                <w:rFonts w:hint="eastAsia" w:ascii="宋体" w:hAnsi="宋体"/>
                <w:sz w:val="28"/>
                <w:szCs w:val="28"/>
                <w:lang w:val="en-US" w:eastAsia="zh-CN"/>
              </w:rPr>
              <w:t>/d</w:t>
            </w:r>
            <w:r>
              <w:rPr>
                <w:rFonts w:hint="eastAsia" w:ascii="宋体" w:hAnsi="宋体"/>
                <w:sz w:val="28"/>
                <w:szCs w:val="28"/>
                <w:lang w:eastAsia="zh-CN"/>
              </w:rPr>
              <w:t>）处理后由管网进入保定市中环嘉城污水处理有限公司集中处理；项目排污口按要求安装在线监测设备，外排废水执行《医疗机构水污染物排放标准》（</w:t>
            </w:r>
            <w:r>
              <w:rPr>
                <w:rFonts w:hint="eastAsia" w:ascii="宋体" w:hAnsi="宋体"/>
                <w:sz w:val="28"/>
                <w:szCs w:val="28"/>
                <w:lang w:val="en-US" w:eastAsia="zh-CN"/>
              </w:rPr>
              <w:t>GB18466-2005</w:t>
            </w:r>
            <w:r>
              <w:rPr>
                <w:rFonts w:hint="eastAsia" w:ascii="宋体" w:hAnsi="宋体"/>
                <w:sz w:val="28"/>
                <w:szCs w:val="28"/>
                <w:lang w:eastAsia="zh-CN"/>
              </w:rPr>
              <w:t>）表</w:t>
            </w:r>
            <w:r>
              <w:rPr>
                <w:rFonts w:hint="eastAsia" w:ascii="宋体" w:hAnsi="宋体"/>
                <w:sz w:val="28"/>
                <w:szCs w:val="28"/>
                <w:lang w:val="en-US" w:eastAsia="zh-CN"/>
              </w:rPr>
              <w:t>2中预处理标准要求，同时满足保定市中环嘉城污水处理有限公司进水水质要求</w:t>
            </w:r>
            <w:r>
              <w:rPr>
                <w:rFonts w:hint="eastAsia" w:ascii="宋体" w:hAnsi="宋体"/>
                <w:sz w:val="28"/>
                <w:szCs w:val="28"/>
              </w:rPr>
              <w:t>。</w:t>
            </w:r>
          </w:p>
          <w:p>
            <w:pPr>
              <w:pStyle w:val="10"/>
              <w:keepNext w:val="0"/>
              <w:keepLines w:val="0"/>
              <w:pageBreakBefore w:val="0"/>
              <w:widowControl w:val="0"/>
              <w:kinsoku/>
              <w:wordWrap/>
              <w:overflowPunct/>
              <w:topLinePunct w:val="0"/>
              <w:autoSpaceDE/>
              <w:autoSpaceDN/>
              <w:bidi w:val="0"/>
              <w:adjustRightInd/>
              <w:snapToGrid/>
              <w:spacing w:line="680" w:lineRule="exact"/>
              <w:ind w:right="50" w:rightChars="24"/>
              <w:textAlignment w:val="auto"/>
              <w:outlineLvl w:val="9"/>
              <w:rPr>
                <w:rFonts w:hint="eastAsia" w:ascii="宋体" w:hAnsi="宋体"/>
                <w:sz w:val="28"/>
                <w:szCs w:val="28"/>
              </w:rPr>
            </w:pPr>
            <w:r>
              <w:rPr>
                <w:rFonts w:hint="eastAsia" w:ascii="宋体" w:hAnsi="宋体"/>
                <w:color w:val="000000"/>
                <w:sz w:val="28"/>
                <w:szCs w:val="28"/>
                <w:lang w:val="en-US" w:eastAsia="zh-CN"/>
              </w:rPr>
              <w:t>3.</w:t>
            </w:r>
            <w:r>
              <w:rPr>
                <w:rFonts w:hint="eastAsia" w:ascii="宋体" w:hAnsi="宋体"/>
                <w:color w:val="000000"/>
                <w:sz w:val="28"/>
                <w:szCs w:val="28"/>
              </w:rPr>
              <w:t>噪声</w:t>
            </w:r>
            <w:r>
              <w:rPr>
                <w:rFonts w:hint="eastAsia" w:ascii="宋体" w:hAnsi="宋体"/>
                <w:color w:val="000000"/>
                <w:sz w:val="28"/>
                <w:szCs w:val="28"/>
                <w:lang w:eastAsia="zh-CN"/>
              </w:rPr>
              <w:t>：产噪</w:t>
            </w:r>
            <w:r>
              <w:rPr>
                <w:rFonts w:hint="eastAsia" w:ascii="宋体" w:hAnsi="宋体"/>
                <w:sz w:val="28"/>
                <w:szCs w:val="28"/>
              </w:rPr>
              <w:t>设备经基础减震</w:t>
            </w:r>
            <w:r>
              <w:rPr>
                <w:rFonts w:hint="eastAsia" w:ascii="宋体" w:hAnsi="宋体"/>
                <w:sz w:val="28"/>
                <w:szCs w:val="28"/>
                <w:lang w:eastAsia="zh-CN"/>
              </w:rPr>
              <w:t>，并置于隔音间</w:t>
            </w:r>
            <w:r>
              <w:rPr>
                <w:rFonts w:hint="eastAsia" w:ascii="宋体" w:hAnsi="宋体"/>
                <w:sz w:val="28"/>
                <w:szCs w:val="28"/>
              </w:rPr>
              <w:t>等措施处理。执行《工业企业厂界环境噪声排放标准》（GB12348-2008)</w:t>
            </w:r>
            <w:r>
              <w:rPr>
                <w:rFonts w:hint="eastAsia" w:ascii="宋体" w:hAnsi="宋体"/>
                <w:sz w:val="28"/>
                <w:szCs w:val="28"/>
                <w:lang w:val="en-US" w:eastAsia="zh-CN"/>
              </w:rPr>
              <w:t>2</w:t>
            </w:r>
            <w:r>
              <w:rPr>
                <w:rFonts w:hint="eastAsia" w:ascii="宋体" w:hAnsi="宋体"/>
                <w:sz w:val="28"/>
                <w:szCs w:val="28"/>
              </w:rPr>
              <w:t>类标准。</w:t>
            </w:r>
          </w:p>
          <w:p>
            <w:pPr>
              <w:pStyle w:val="10"/>
              <w:keepNext w:val="0"/>
              <w:keepLines w:val="0"/>
              <w:pageBreakBefore w:val="0"/>
              <w:widowControl w:val="0"/>
              <w:kinsoku/>
              <w:wordWrap/>
              <w:overflowPunct/>
              <w:topLinePunct w:val="0"/>
              <w:autoSpaceDE/>
              <w:autoSpaceDN/>
              <w:bidi w:val="0"/>
              <w:adjustRightInd/>
              <w:snapToGrid/>
              <w:spacing w:line="680" w:lineRule="exact"/>
              <w:ind w:left="0" w:leftChars="0" w:right="50" w:rightChars="24" w:firstLine="560" w:firstLineChars="200"/>
              <w:textAlignment w:val="auto"/>
              <w:outlineLvl w:val="9"/>
              <w:rPr>
                <w:rFonts w:hint="eastAsia" w:ascii="宋体" w:hAnsi="宋体"/>
                <w:sz w:val="28"/>
                <w:szCs w:val="28"/>
              </w:rPr>
            </w:pPr>
            <w:r>
              <w:rPr>
                <w:rFonts w:hint="eastAsia" w:ascii="宋体" w:hAnsi="宋体"/>
                <w:sz w:val="28"/>
                <w:szCs w:val="28"/>
                <w:lang w:val="en-US" w:eastAsia="zh-CN"/>
              </w:rPr>
              <w:t>4.</w:t>
            </w:r>
            <w:r>
              <w:rPr>
                <w:rFonts w:hint="eastAsia" w:ascii="宋体" w:hAnsi="宋体"/>
                <w:sz w:val="28"/>
                <w:szCs w:val="28"/>
              </w:rPr>
              <w:t>固体废物</w:t>
            </w:r>
            <w:r>
              <w:rPr>
                <w:rFonts w:hint="eastAsia" w:ascii="宋体" w:hAnsi="宋体"/>
                <w:sz w:val="28"/>
                <w:szCs w:val="28"/>
                <w:lang w:val="en-US" w:eastAsia="zh-CN"/>
              </w:rPr>
              <w:t>:医疗废物分类收集后暂存于医废间，定期交由有资质单位处置，</w:t>
            </w:r>
            <w:r>
              <w:rPr>
                <w:rFonts w:hint="eastAsia" w:ascii="宋体" w:hAnsi="宋体"/>
                <w:kern w:val="0"/>
                <w:sz w:val="28"/>
                <w:szCs w:val="28"/>
                <w:lang w:eastAsia="zh-CN"/>
              </w:rPr>
              <w:t>栅渣、污泥生石灰消毒后，定期委托有资质单位收集外运处置；</w:t>
            </w:r>
            <w:r>
              <w:rPr>
                <w:rFonts w:hint="eastAsia" w:ascii="宋体" w:hAnsi="宋体"/>
                <w:kern w:val="0"/>
                <w:sz w:val="28"/>
                <w:szCs w:val="28"/>
              </w:rPr>
              <w:t>废活性炭收集后暂存于</w:t>
            </w:r>
            <w:r>
              <w:rPr>
                <w:rFonts w:hint="eastAsia" w:ascii="宋体" w:hAnsi="宋体"/>
                <w:kern w:val="0"/>
                <w:sz w:val="28"/>
                <w:szCs w:val="28"/>
                <w:lang w:eastAsia="zh-CN"/>
              </w:rPr>
              <w:t>固废间</w:t>
            </w:r>
            <w:r>
              <w:rPr>
                <w:rFonts w:hint="eastAsia" w:ascii="宋体" w:hAnsi="宋体"/>
                <w:kern w:val="0"/>
                <w:sz w:val="28"/>
                <w:szCs w:val="28"/>
              </w:rPr>
              <w:t>，</w:t>
            </w:r>
            <w:r>
              <w:rPr>
                <w:rFonts w:hint="eastAsia" w:ascii="宋体" w:hAnsi="宋体"/>
                <w:kern w:val="0"/>
                <w:sz w:val="28"/>
                <w:szCs w:val="28"/>
                <w:lang w:eastAsia="zh-CN"/>
              </w:rPr>
              <w:t>由厂家回收处置</w:t>
            </w:r>
            <w:r>
              <w:rPr>
                <w:rFonts w:hint="eastAsia" w:ascii="宋体" w:hAnsi="宋体"/>
                <w:kern w:val="0"/>
                <w:sz w:val="28"/>
                <w:szCs w:val="28"/>
              </w:rPr>
              <w:t>；</w:t>
            </w:r>
            <w:r>
              <w:rPr>
                <w:rFonts w:hint="eastAsia" w:ascii="宋体" w:hAnsi="宋体"/>
                <w:sz w:val="28"/>
                <w:szCs w:val="28"/>
              </w:rPr>
              <w:t>职工生活垃圾由环卫部门统一清运处理。</w:t>
            </w:r>
          </w:p>
          <w:p>
            <w:pPr>
              <w:keepNext w:val="0"/>
              <w:keepLines w:val="0"/>
              <w:pageBreakBefore w:val="0"/>
              <w:widowControl w:val="0"/>
              <w:kinsoku/>
              <w:wordWrap/>
              <w:overflowPunct/>
              <w:topLinePunct w:val="0"/>
              <w:autoSpaceDE/>
              <w:autoSpaceDN/>
              <w:bidi w:val="0"/>
              <w:adjustRightInd/>
              <w:snapToGrid/>
              <w:spacing w:line="680" w:lineRule="exact"/>
              <w:ind w:right="115" w:rightChars="55" w:firstLine="560" w:firstLineChars="200"/>
              <w:textAlignment w:val="auto"/>
              <w:rPr>
                <w:rFonts w:hint="eastAsia" w:ascii="宋体" w:hAnsi="宋体"/>
                <w:kern w:val="0"/>
                <w:sz w:val="28"/>
                <w:szCs w:val="28"/>
              </w:rPr>
            </w:pPr>
            <w:r>
              <w:rPr>
                <w:rFonts w:hint="eastAsia" w:ascii="宋体" w:hAnsi="宋体"/>
                <w:kern w:val="0"/>
                <w:sz w:val="28"/>
                <w:szCs w:val="28"/>
              </w:rPr>
              <w:t>四、</w:t>
            </w:r>
            <w:r>
              <w:rPr>
                <w:rFonts w:hint="eastAsia" w:ascii="宋体" w:hAnsi="宋体"/>
                <w:kern w:val="0"/>
                <w:sz w:val="28"/>
                <w:szCs w:val="28"/>
                <w:lang w:eastAsia="zh-CN"/>
              </w:rPr>
              <w:t>全厂</w:t>
            </w:r>
            <w:r>
              <w:rPr>
                <w:rFonts w:hint="eastAsia" w:ascii="宋体" w:hAnsi="宋体"/>
                <w:kern w:val="0"/>
                <w:sz w:val="28"/>
                <w:szCs w:val="28"/>
              </w:rPr>
              <w:t>污染物排放总量控制指标为：COD:</w:t>
            </w:r>
            <w:r>
              <w:rPr>
                <w:rFonts w:hint="eastAsia" w:ascii="宋体" w:hAnsi="宋体"/>
                <w:kern w:val="0"/>
                <w:sz w:val="28"/>
                <w:szCs w:val="28"/>
                <w:lang w:val="en-US" w:eastAsia="zh-CN"/>
              </w:rPr>
              <w:t>1.279</w:t>
            </w:r>
            <w:r>
              <w:rPr>
                <w:rFonts w:hint="eastAsia" w:ascii="宋体" w:hAnsi="宋体"/>
                <w:kern w:val="0"/>
                <w:sz w:val="28"/>
                <w:szCs w:val="28"/>
              </w:rPr>
              <w:t>t/a、氨氮：0</w:t>
            </w:r>
            <w:r>
              <w:rPr>
                <w:rFonts w:hint="eastAsia" w:ascii="宋体" w:hAnsi="宋体"/>
                <w:kern w:val="0"/>
                <w:sz w:val="28"/>
                <w:szCs w:val="28"/>
                <w:lang w:val="en-US" w:eastAsia="zh-CN"/>
              </w:rPr>
              <w:t>.128</w:t>
            </w:r>
            <w:r>
              <w:rPr>
                <w:rFonts w:hint="eastAsia" w:ascii="宋体" w:hAnsi="宋体"/>
                <w:kern w:val="0"/>
                <w:sz w:val="28"/>
                <w:szCs w:val="28"/>
              </w:rPr>
              <w:t>t/a、总氮：0</w:t>
            </w:r>
            <w:r>
              <w:rPr>
                <w:rFonts w:hint="eastAsia" w:ascii="宋体" w:hAnsi="宋体"/>
                <w:kern w:val="0"/>
                <w:sz w:val="28"/>
                <w:szCs w:val="28"/>
                <w:lang w:val="en-US" w:eastAsia="zh-CN"/>
              </w:rPr>
              <w:t>.256</w:t>
            </w:r>
            <w:r>
              <w:rPr>
                <w:rFonts w:hint="eastAsia" w:ascii="宋体" w:hAnsi="宋体"/>
                <w:kern w:val="0"/>
                <w:sz w:val="28"/>
                <w:szCs w:val="28"/>
              </w:rPr>
              <w:t>t/a、总磷：0</w:t>
            </w:r>
            <w:r>
              <w:rPr>
                <w:rFonts w:hint="eastAsia" w:ascii="宋体" w:hAnsi="宋体"/>
                <w:kern w:val="0"/>
                <w:sz w:val="28"/>
                <w:szCs w:val="28"/>
                <w:lang w:val="en-US" w:eastAsia="zh-CN"/>
              </w:rPr>
              <w:t>.026</w:t>
            </w:r>
            <w:r>
              <w:rPr>
                <w:rFonts w:hint="eastAsia" w:ascii="宋体" w:hAnsi="宋体"/>
                <w:kern w:val="0"/>
                <w:sz w:val="28"/>
                <w:szCs w:val="28"/>
              </w:rPr>
              <w:t>t/a、SO</w:t>
            </w:r>
            <w:r>
              <w:rPr>
                <w:rFonts w:hint="eastAsia" w:ascii="宋体" w:hAnsi="宋体"/>
                <w:kern w:val="0"/>
                <w:sz w:val="28"/>
                <w:szCs w:val="28"/>
                <w:vertAlign w:val="subscript"/>
              </w:rPr>
              <w:t>2</w:t>
            </w:r>
            <w:r>
              <w:rPr>
                <w:rFonts w:hint="eastAsia" w:ascii="宋体" w:hAnsi="宋体"/>
                <w:kern w:val="0"/>
                <w:sz w:val="28"/>
                <w:szCs w:val="28"/>
              </w:rPr>
              <w:t>：0t/a、NO</w:t>
            </w:r>
            <w:r>
              <w:rPr>
                <w:rFonts w:hint="eastAsia" w:ascii="宋体" w:hAnsi="宋体"/>
                <w:kern w:val="0"/>
                <w:sz w:val="28"/>
                <w:szCs w:val="28"/>
                <w:vertAlign w:val="subscript"/>
              </w:rPr>
              <w:t>X</w:t>
            </w:r>
            <w:r>
              <w:rPr>
                <w:rFonts w:hint="eastAsia" w:ascii="宋体" w:hAnsi="宋体"/>
                <w:kern w:val="0"/>
                <w:sz w:val="28"/>
                <w:szCs w:val="28"/>
              </w:rPr>
              <w:t>：0t/a、</w:t>
            </w:r>
            <w:r>
              <w:rPr>
                <w:rFonts w:hint="eastAsia" w:ascii="宋体" w:hAnsi="宋体"/>
                <w:kern w:val="0"/>
                <w:sz w:val="28"/>
                <w:szCs w:val="28"/>
                <w:lang w:eastAsia="zh-CN"/>
              </w:rPr>
              <w:t>非甲烷总烃</w:t>
            </w:r>
            <w:r>
              <w:rPr>
                <w:rFonts w:hint="eastAsia" w:ascii="宋体" w:hAnsi="宋体"/>
                <w:kern w:val="0"/>
                <w:sz w:val="28"/>
                <w:szCs w:val="28"/>
              </w:rPr>
              <w:t>：</w:t>
            </w:r>
            <w:r>
              <w:rPr>
                <w:rFonts w:hint="eastAsia" w:ascii="宋体" w:hAnsi="宋体"/>
                <w:kern w:val="0"/>
                <w:sz w:val="28"/>
                <w:szCs w:val="28"/>
                <w:lang w:val="en-US" w:eastAsia="zh-CN"/>
              </w:rPr>
              <w:t>0</w:t>
            </w:r>
            <w:r>
              <w:rPr>
                <w:rFonts w:hint="eastAsia" w:ascii="宋体" w:hAnsi="宋体"/>
                <w:kern w:val="0"/>
                <w:sz w:val="28"/>
                <w:szCs w:val="28"/>
              </w:rPr>
              <w:t>t/a、颗粒物：</w:t>
            </w:r>
            <w:r>
              <w:rPr>
                <w:rFonts w:hint="eastAsia" w:ascii="宋体" w:hAnsi="宋体"/>
                <w:kern w:val="0"/>
                <w:sz w:val="28"/>
                <w:szCs w:val="28"/>
                <w:lang w:val="en-US" w:eastAsia="zh-CN"/>
              </w:rPr>
              <w:t>0</w:t>
            </w:r>
            <w:r>
              <w:rPr>
                <w:rFonts w:hint="eastAsia" w:ascii="宋体" w:hAnsi="宋体"/>
                <w:kern w:val="0"/>
                <w:sz w:val="28"/>
                <w:szCs w:val="28"/>
              </w:rPr>
              <w:t>t/a。</w:t>
            </w:r>
          </w:p>
          <w:p>
            <w:pPr>
              <w:keepNext w:val="0"/>
              <w:keepLines w:val="0"/>
              <w:pageBreakBefore w:val="0"/>
              <w:widowControl w:val="0"/>
              <w:kinsoku/>
              <w:wordWrap/>
              <w:overflowPunct/>
              <w:topLinePunct w:val="0"/>
              <w:autoSpaceDE/>
              <w:autoSpaceDN/>
              <w:bidi w:val="0"/>
              <w:adjustRightInd/>
              <w:snapToGrid/>
              <w:spacing w:line="680" w:lineRule="exact"/>
              <w:ind w:right="25" w:rightChars="12" w:firstLine="537" w:firstLineChars="192"/>
              <w:textAlignment w:val="auto"/>
              <w:rPr>
                <w:rFonts w:hint="eastAsia" w:ascii="宋体" w:hAnsi="宋体"/>
                <w:kern w:val="0"/>
                <w:sz w:val="28"/>
                <w:szCs w:val="28"/>
              </w:rPr>
            </w:pPr>
            <w:r>
              <w:rPr>
                <w:rFonts w:hint="eastAsia" w:ascii="宋体" w:hAnsi="宋体"/>
                <w:kern w:val="0"/>
                <w:sz w:val="28"/>
                <w:szCs w:val="28"/>
              </w:rPr>
              <w:t>五、项目建成后应先行按照排污许可管理要求，办理排污许可证，并按照《建设项目环境保护管理条例》（国令第682号）及相关文件要求落实竣工环境保护验收工作。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kinsoku/>
              <w:wordWrap/>
              <w:overflowPunct/>
              <w:topLinePunct w:val="0"/>
              <w:autoSpaceDE/>
              <w:autoSpaceDN/>
              <w:bidi w:val="0"/>
              <w:adjustRightInd/>
              <w:snapToGrid/>
              <w:spacing w:line="680" w:lineRule="exact"/>
              <w:ind w:right="115" w:rightChars="55" w:firstLine="6160" w:firstLineChars="2200"/>
              <w:textAlignment w:val="auto"/>
              <w:rPr>
                <w:rFonts w:hint="eastAsia" w:ascii="宋体" w:hAnsi="宋体"/>
                <w:kern w:val="0"/>
                <w:sz w:val="28"/>
                <w:szCs w:val="28"/>
              </w:rPr>
            </w:pPr>
            <w:r>
              <w:rPr>
                <w:rFonts w:hint="eastAsia" w:ascii="宋体" w:hAnsi="宋体"/>
                <w:kern w:val="0"/>
                <w:sz w:val="28"/>
                <w:szCs w:val="28"/>
              </w:rPr>
              <w:t xml:space="preserve">  </w:t>
            </w:r>
          </w:p>
          <w:p>
            <w:pPr>
              <w:keepNext w:val="0"/>
              <w:keepLines w:val="0"/>
              <w:pageBreakBefore w:val="0"/>
              <w:widowControl w:val="0"/>
              <w:kinsoku/>
              <w:wordWrap/>
              <w:overflowPunct/>
              <w:topLinePunct w:val="0"/>
              <w:autoSpaceDE/>
              <w:autoSpaceDN/>
              <w:bidi w:val="0"/>
              <w:adjustRightInd/>
              <w:snapToGrid/>
              <w:spacing w:line="680" w:lineRule="exact"/>
              <w:ind w:right="115" w:rightChars="55" w:firstLine="6160" w:firstLineChars="2200"/>
              <w:textAlignment w:val="auto"/>
              <w:rPr>
                <w:rFonts w:hint="eastAsia" w:ascii="宋体" w:hAnsi="宋体"/>
                <w:kern w:val="0"/>
                <w:sz w:val="28"/>
                <w:szCs w:val="28"/>
              </w:rPr>
            </w:pPr>
            <w:bookmarkStart w:id="0" w:name="_GoBack"/>
            <w:bookmarkEnd w:id="0"/>
            <w:r>
              <w:rPr>
                <w:rFonts w:hint="eastAsia" w:ascii="宋体" w:hAnsi="宋体"/>
                <w:kern w:val="0"/>
                <w:sz w:val="28"/>
                <w:szCs w:val="28"/>
              </w:rPr>
              <w:t xml:space="preserve">  公   章   </w:t>
            </w:r>
          </w:p>
          <w:p>
            <w:pPr>
              <w:keepNext w:val="0"/>
              <w:keepLines w:val="0"/>
              <w:pageBreakBefore w:val="0"/>
              <w:widowControl w:val="0"/>
              <w:kinsoku/>
              <w:wordWrap/>
              <w:overflowPunct/>
              <w:topLinePunct w:val="0"/>
              <w:autoSpaceDE/>
              <w:autoSpaceDN/>
              <w:bidi w:val="0"/>
              <w:adjustRightInd/>
              <w:snapToGrid/>
              <w:spacing w:line="68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202</w:t>
            </w:r>
            <w:r>
              <w:rPr>
                <w:rFonts w:hint="eastAsia" w:ascii="宋体" w:hAnsi="宋体"/>
                <w:kern w:val="0"/>
                <w:sz w:val="28"/>
                <w:szCs w:val="28"/>
                <w:lang w:val="en-US" w:eastAsia="zh-CN"/>
              </w:rPr>
              <w:t>1</w:t>
            </w:r>
            <w:r>
              <w:rPr>
                <w:rFonts w:hint="eastAsia" w:ascii="宋体" w:hAnsi="宋体"/>
                <w:kern w:val="0"/>
                <w:sz w:val="28"/>
                <w:szCs w:val="28"/>
              </w:rPr>
              <w:t>年</w:t>
            </w:r>
            <w:r>
              <w:rPr>
                <w:rFonts w:hint="eastAsia" w:ascii="宋体" w:hAnsi="宋体"/>
                <w:kern w:val="0"/>
                <w:sz w:val="28"/>
                <w:szCs w:val="28"/>
                <w:lang w:val="en-US" w:eastAsia="zh-CN"/>
              </w:rPr>
              <w:t>2</w:t>
            </w:r>
            <w:r>
              <w:rPr>
                <w:rFonts w:hint="eastAsia" w:ascii="宋体" w:hAnsi="宋体"/>
                <w:kern w:val="0"/>
                <w:sz w:val="28"/>
                <w:szCs w:val="28"/>
              </w:rPr>
              <w:t>月</w:t>
            </w:r>
            <w:r>
              <w:rPr>
                <w:rFonts w:hint="eastAsia" w:ascii="宋体" w:hAnsi="宋体"/>
                <w:kern w:val="0"/>
                <w:sz w:val="28"/>
                <w:szCs w:val="28"/>
                <w:lang w:val="en-US" w:eastAsia="zh-CN"/>
              </w:rPr>
              <w:t>26</w:t>
            </w:r>
            <w:r>
              <w:rPr>
                <w:rFonts w:hint="eastAsia" w:ascii="宋体" w:hAnsi="宋体"/>
                <w:kern w:val="0"/>
                <w:sz w:val="28"/>
                <w:szCs w:val="28"/>
              </w:rPr>
              <w:t xml:space="preserve">日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A57FBE"/>
    <w:rsid w:val="00E17C62"/>
    <w:rsid w:val="012B29D6"/>
    <w:rsid w:val="024F4E51"/>
    <w:rsid w:val="03387F27"/>
    <w:rsid w:val="064755A9"/>
    <w:rsid w:val="079E4B0C"/>
    <w:rsid w:val="07B578BD"/>
    <w:rsid w:val="09171E60"/>
    <w:rsid w:val="09312325"/>
    <w:rsid w:val="09B800A8"/>
    <w:rsid w:val="0BE23CE5"/>
    <w:rsid w:val="0D530553"/>
    <w:rsid w:val="0F493C28"/>
    <w:rsid w:val="10FF1595"/>
    <w:rsid w:val="1220043A"/>
    <w:rsid w:val="15076089"/>
    <w:rsid w:val="173E1C2D"/>
    <w:rsid w:val="17AF3738"/>
    <w:rsid w:val="18101B13"/>
    <w:rsid w:val="1AE37DD8"/>
    <w:rsid w:val="1D1456FD"/>
    <w:rsid w:val="203B5D22"/>
    <w:rsid w:val="217156E7"/>
    <w:rsid w:val="23E22B19"/>
    <w:rsid w:val="24CD65F5"/>
    <w:rsid w:val="26AE0C96"/>
    <w:rsid w:val="28FD1BAE"/>
    <w:rsid w:val="2BB80B2B"/>
    <w:rsid w:val="2F0B1F33"/>
    <w:rsid w:val="33B86748"/>
    <w:rsid w:val="35555B84"/>
    <w:rsid w:val="355D57EF"/>
    <w:rsid w:val="355D77EB"/>
    <w:rsid w:val="3981372B"/>
    <w:rsid w:val="39D034D5"/>
    <w:rsid w:val="3E867954"/>
    <w:rsid w:val="3EDF7EC6"/>
    <w:rsid w:val="420A52BF"/>
    <w:rsid w:val="42FB3768"/>
    <w:rsid w:val="46237A4B"/>
    <w:rsid w:val="475517B8"/>
    <w:rsid w:val="49164C99"/>
    <w:rsid w:val="49AA34E0"/>
    <w:rsid w:val="4D7F4465"/>
    <w:rsid w:val="4E2535AA"/>
    <w:rsid w:val="4E7647A0"/>
    <w:rsid w:val="4EE22E86"/>
    <w:rsid w:val="4EF13A58"/>
    <w:rsid w:val="4F3D0F11"/>
    <w:rsid w:val="56353A1E"/>
    <w:rsid w:val="590F23C1"/>
    <w:rsid w:val="5B6049F7"/>
    <w:rsid w:val="5BAB2391"/>
    <w:rsid w:val="5D026B35"/>
    <w:rsid w:val="5D4957F3"/>
    <w:rsid w:val="624A2AAA"/>
    <w:rsid w:val="65CC7DA3"/>
    <w:rsid w:val="65FC0A89"/>
    <w:rsid w:val="66E05523"/>
    <w:rsid w:val="67276552"/>
    <w:rsid w:val="67AC4BE7"/>
    <w:rsid w:val="69172112"/>
    <w:rsid w:val="6A673252"/>
    <w:rsid w:val="6CD067AF"/>
    <w:rsid w:val="6D476083"/>
    <w:rsid w:val="6DBF0BF8"/>
    <w:rsid w:val="72F82AB2"/>
    <w:rsid w:val="73083A80"/>
    <w:rsid w:val="743E352A"/>
    <w:rsid w:val="746439DF"/>
    <w:rsid w:val="753C416B"/>
    <w:rsid w:val="78197D2E"/>
    <w:rsid w:val="79DD513E"/>
    <w:rsid w:val="79F0112C"/>
    <w:rsid w:val="7B504771"/>
    <w:rsid w:val="7B8E6067"/>
    <w:rsid w:val="7C1B6B6A"/>
    <w:rsid w:val="7D5E5EC6"/>
    <w:rsid w:val="7DD84CF3"/>
    <w:rsid w:val="7FD96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 Char2"/>
    <w:basedOn w:val="1"/>
    <w:qFormat/>
    <w:uiPriority w:val="0"/>
    <w:rPr>
      <w:rFonts w:ascii="宋体" w:hAnsi="宋体" w:cs="Courier New"/>
      <w:sz w:val="32"/>
      <w:szCs w:val="32"/>
    </w:rPr>
  </w:style>
  <w:style w:type="paragraph" w:customStyle="1" w:styleId="10">
    <w:name w:val="正文内容"/>
    <w:basedOn w:val="1"/>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1</TotalTime>
  <ScaleCrop>false</ScaleCrop>
  <LinksUpToDate>false</LinksUpToDate>
  <CharactersWithSpaces>1275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2021-02-23T02:18:00Z</cp:lastPrinted>
  <dcterms:modified xsi:type="dcterms:W3CDTF">2021-02-26T01:49:12Z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