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3" w:hRule="atLeast"/>
        </w:trPr>
        <w:tc>
          <w:tcPr>
            <w:tcW w:w="8522" w:type="dxa"/>
          </w:tcPr>
          <w:p>
            <w:pPr>
              <w:tabs>
                <w:tab w:val="left" w:pos="3960"/>
              </w:tabs>
              <w:spacing w:line="600" w:lineRule="exact"/>
              <w:ind w:left="105" w:leftChars="50" w:right="115" w:rightChars="55"/>
              <w:rPr>
                <w:rFonts w:hint="eastAsia" w:ascii="宋体" w:hAnsi="宋体"/>
                <w:kern w:val="0"/>
                <w:sz w:val="28"/>
                <w:szCs w:val="28"/>
              </w:rPr>
            </w:pPr>
            <w:r>
              <w:rPr>
                <w:rFonts w:hint="eastAsia" w:ascii="宋体" w:hAnsi="宋体"/>
                <w:kern w:val="0"/>
                <w:sz w:val="28"/>
                <w:szCs w:val="28"/>
              </w:rPr>
              <w:t>审批意见：</w:t>
            </w:r>
          </w:p>
          <w:p>
            <w:pPr>
              <w:keepNext w:val="0"/>
              <w:keepLines w:val="0"/>
              <w:pageBreakBefore w:val="0"/>
              <w:widowControl w:val="0"/>
              <w:kinsoku/>
              <w:wordWrap/>
              <w:overflowPunct/>
              <w:topLinePunct w:val="0"/>
              <w:autoSpaceDE/>
              <w:autoSpaceDN/>
              <w:bidi w:val="0"/>
              <w:adjustRightInd/>
              <w:snapToGrid/>
              <w:spacing w:line="680" w:lineRule="exact"/>
              <w:ind w:left="178" w:leftChars="85" w:right="71" w:rightChars="34" w:firstLine="540" w:firstLineChars="193"/>
              <w:jc w:val="right"/>
              <w:textAlignment w:val="auto"/>
              <w:rPr>
                <w:rFonts w:hint="eastAsia" w:ascii="宋体" w:hAnsi="宋体"/>
                <w:kern w:val="0"/>
                <w:sz w:val="28"/>
                <w:szCs w:val="28"/>
              </w:rPr>
            </w:pPr>
            <w:r>
              <w:rPr>
                <w:rFonts w:hint="eastAsia" w:ascii="宋体" w:hAnsi="宋体"/>
                <w:kern w:val="0"/>
                <w:sz w:val="28"/>
                <w:szCs w:val="28"/>
              </w:rPr>
              <w:t>保满审环表字[202</w:t>
            </w:r>
            <w:r>
              <w:rPr>
                <w:rFonts w:hint="eastAsia" w:ascii="宋体" w:hAnsi="宋体"/>
                <w:kern w:val="0"/>
                <w:sz w:val="28"/>
                <w:szCs w:val="28"/>
                <w:lang w:val="en-US" w:eastAsia="zh-CN"/>
              </w:rPr>
              <w:t>1</w:t>
            </w:r>
            <w:r>
              <w:rPr>
                <w:rFonts w:hint="eastAsia" w:ascii="宋体" w:hAnsi="宋体"/>
                <w:kern w:val="0"/>
                <w:sz w:val="28"/>
                <w:szCs w:val="28"/>
              </w:rPr>
              <w:t>]</w:t>
            </w:r>
            <w:r>
              <w:rPr>
                <w:rFonts w:hint="eastAsia" w:ascii="宋体" w:hAnsi="宋体"/>
                <w:kern w:val="0"/>
                <w:sz w:val="28"/>
                <w:szCs w:val="28"/>
                <w:lang w:val="en-US" w:eastAsia="zh-CN"/>
              </w:rPr>
              <w:t>14</w:t>
            </w:r>
            <w:r>
              <w:rPr>
                <w:rFonts w:hint="eastAsia" w:ascii="宋体" w:hAnsi="宋体"/>
                <w:kern w:val="0"/>
                <w:sz w:val="28"/>
                <w:szCs w:val="28"/>
              </w:rPr>
              <w:t>号</w:t>
            </w:r>
          </w:p>
          <w:p>
            <w:pPr>
              <w:keepNext w:val="0"/>
              <w:keepLines w:val="0"/>
              <w:pageBreakBefore w:val="0"/>
              <w:widowControl w:val="0"/>
              <w:tabs>
                <w:tab w:val="left" w:pos="3960"/>
              </w:tabs>
              <w:kinsoku/>
              <w:wordWrap/>
              <w:overflowPunct/>
              <w:topLinePunct w:val="0"/>
              <w:autoSpaceDE/>
              <w:autoSpaceDN/>
              <w:bidi w:val="0"/>
              <w:adjustRightInd/>
              <w:snapToGrid/>
              <w:spacing w:line="680" w:lineRule="exact"/>
              <w:ind w:firstLine="560" w:firstLineChars="200"/>
              <w:textAlignment w:val="auto"/>
              <w:rPr>
                <w:rFonts w:hint="eastAsia" w:ascii="宋体" w:hAnsi="宋体"/>
                <w:kern w:val="0"/>
                <w:sz w:val="28"/>
                <w:szCs w:val="28"/>
              </w:rPr>
            </w:pPr>
            <w:r>
              <w:rPr>
                <w:rFonts w:hint="eastAsia" w:ascii="宋体" w:hAnsi="宋体"/>
                <w:kern w:val="0"/>
                <w:sz w:val="28"/>
                <w:szCs w:val="28"/>
              </w:rPr>
              <w:t>所报《</w:t>
            </w:r>
            <w:r>
              <w:rPr>
                <w:rFonts w:hint="eastAsia" w:ascii="宋体" w:hAnsi="宋体"/>
                <w:kern w:val="0"/>
                <w:sz w:val="28"/>
                <w:szCs w:val="28"/>
                <w:lang w:eastAsia="zh-CN"/>
              </w:rPr>
              <w:t>保定北辰新能源有限公司技改项目</w:t>
            </w:r>
            <w:r>
              <w:rPr>
                <w:rFonts w:hint="eastAsia" w:ascii="宋体" w:hAnsi="宋体"/>
                <w:kern w:val="0"/>
                <w:sz w:val="28"/>
                <w:szCs w:val="28"/>
              </w:rPr>
              <w:t>环境影响报告表》收悉，根据报告表结论，经局领导审核通过后，研究批复如下：</w:t>
            </w:r>
          </w:p>
          <w:p>
            <w:pPr>
              <w:keepNext w:val="0"/>
              <w:keepLines w:val="0"/>
              <w:pageBreakBefore w:val="0"/>
              <w:widowControl w:val="0"/>
              <w:tabs>
                <w:tab w:val="left" w:pos="3960"/>
              </w:tabs>
              <w:kinsoku/>
              <w:wordWrap/>
              <w:overflowPunct/>
              <w:topLinePunct w:val="0"/>
              <w:autoSpaceDE/>
              <w:autoSpaceDN/>
              <w:bidi w:val="0"/>
              <w:adjustRightInd/>
              <w:snapToGrid/>
              <w:spacing w:line="680" w:lineRule="exact"/>
              <w:ind w:left="105" w:leftChars="50" w:right="115" w:rightChars="55" w:firstLine="537" w:firstLineChars="192"/>
              <w:textAlignment w:val="auto"/>
              <w:rPr>
                <w:rFonts w:hint="eastAsia" w:ascii="宋体" w:hAnsi="宋体" w:eastAsia="宋体"/>
                <w:kern w:val="0"/>
                <w:sz w:val="28"/>
                <w:szCs w:val="28"/>
                <w:lang w:eastAsia="zh-CN"/>
              </w:rPr>
            </w:pPr>
            <w:r>
              <w:rPr>
                <w:rFonts w:hint="eastAsia" w:ascii="宋体" w:hAnsi="宋体"/>
                <w:kern w:val="0"/>
                <w:sz w:val="28"/>
                <w:szCs w:val="28"/>
              </w:rPr>
              <w:t>一、</w:t>
            </w:r>
            <w:r>
              <w:rPr>
                <w:rFonts w:ascii="宋体" w:hAnsi="宋体"/>
                <w:kern w:val="0"/>
                <w:sz w:val="28"/>
                <w:szCs w:val="28"/>
              </w:rPr>
              <w:t>项目位于</w:t>
            </w:r>
            <w:r>
              <w:rPr>
                <w:rFonts w:hint="eastAsia" w:ascii="宋体" w:hAnsi="宋体"/>
                <w:color w:val="000000"/>
                <w:sz w:val="28"/>
                <w:szCs w:val="28"/>
              </w:rPr>
              <w:t>保定市满城区</w:t>
            </w:r>
            <w:r>
              <w:rPr>
                <w:rFonts w:hint="eastAsia" w:ascii="宋体" w:hAnsi="宋体"/>
                <w:color w:val="000000"/>
                <w:sz w:val="28"/>
                <w:szCs w:val="28"/>
                <w:lang w:eastAsia="zh-CN"/>
              </w:rPr>
              <w:t>要庄乡要庄村</w:t>
            </w:r>
            <w:r>
              <w:rPr>
                <w:rFonts w:hint="eastAsia" w:ascii="宋体" w:hAnsi="宋体"/>
                <w:color w:val="000000"/>
                <w:sz w:val="28"/>
                <w:szCs w:val="28"/>
              </w:rPr>
              <w:t>，厂区</w:t>
            </w:r>
            <w:r>
              <w:rPr>
                <w:rFonts w:hint="eastAsia" w:ascii="宋体" w:hAnsi="宋体"/>
                <w:sz w:val="28"/>
                <w:szCs w:val="28"/>
              </w:rPr>
              <w:t>中心地理坐标为：</w:t>
            </w:r>
            <w:r>
              <w:rPr>
                <w:rFonts w:ascii="宋体" w:hAnsi="宋体"/>
                <w:kern w:val="0"/>
                <w:sz w:val="28"/>
                <w:szCs w:val="28"/>
              </w:rPr>
              <w:t>北纬</w:t>
            </w:r>
            <w:r>
              <w:rPr>
                <w:rFonts w:hint="eastAsia" w:ascii="宋体" w:hAnsi="宋体"/>
                <w:kern w:val="0"/>
                <w:sz w:val="28"/>
                <w:szCs w:val="28"/>
              </w:rPr>
              <w:t>3</w:t>
            </w:r>
            <w:r>
              <w:rPr>
                <w:rFonts w:hint="eastAsia" w:ascii="宋体" w:hAnsi="宋体"/>
                <w:kern w:val="0"/>
                <w:sz w:val="28"/>
                <w:szCs w:val="28"/>
                <w:lang w:val="en-US" w:eastAsia="zh-CN"/>
              </w:rPr>
              <w:t>8</w:t>
            </w:r>
            <w:r>
              <w:rPr>
                <w:rFonts w:ascii="宋体" w:hAnsi="宋体"/>
                <w:kern w:val="0"/>
                <w:sz w:val="28"/>
                <w:szCs w:val="28"/>
              </w:rPr>
              <w:t>°</w:t>
            </w:r>
            <w:r>
              <w:rPr>
                <w:rFonts w:hint="eastAsia" w:ascii="宋体" w:hAnsi="宋体"/>
                <w:kern w:val="0"/>
                <w:sz w:val="28"/>
                <w:szCs w:val="28"/>
                <w:lang w:val="en-US" w:eastAsia="zh-CN"/>
              </w:rPr>
              <w:t>57</w:t>
            </w:r>
            <w:r>
              <w:rPr>
                <w:rFonts w:ascii="宋体" w:hAnsi="宋体"/>
                <w:kern w:val="0"/>
                <w:sz w:val="28"/>
                <w:szCs w:val="28"/>
              </w:rPr>
              <w:t>’</w:t>
            </w:r>
            <w:r>
              <w:rPr>
                <w:rFonts w:hint="eastAsia" w:ascii="宋体" w:hAnsi="宋体"/>
                <w:kern w:val="0"/>
                <w:sz w:val="28"/>
                <w:szCs w:val="28"/>
                <w:lang w:val="en-US" w:eastAsia="zh-CN"/>
              </w:rPr>
              <w:t>50.43</w:t>
            </w:r>
            <w:r>
              <w:rPr>
                <w:rFonts w:ascii="宋体" w:hAnsi="宋体"/>
                <w:kern w:val="0"/>
                <w:sz w:val="28"/>
                <w:szCs w:val="28"/>
              </w:rPr>
              <w:t>”</w:t>
            </w:r>
            <w:r>
              <w:rPr>
                <w:rFonts w:hint="eastAsia" w:ascii="宋体" w:hAnsi="宋体"/>
                <w:kern w:val="0"/>
                <w:sz w:val="28"/>
                <w:szCs w:val="28"/>
              </w:rPr>
              <w:t>，</w:t>
            </w:r>
            <w:r>
              <w:rPr>
                <w:rFonts w:ascii="宋体" w:hAnsi="宋体"/>
                <w:kern w:val="0"/>
                <w:sz w:val="28"/>
                <w:szCs w:val="28"/>
              </w:rPr>
              <w:t>东经115°</w:t>
            </w:r>
            <w:r>
              <w:rPr>
                <w:rFonts w:hint="eastAsia" w:ascii="宋体" w:hAnsi="宋体"/>
                <w:kern w:val="0"/>
                <w:sz w:val="28"/>
                <w:szCs w:val="28"/>
                <w:lang w:val="en-US" w:eastAsia="zh-CN"/>
              </w:rPr>
              <w:t>22</w:t>
            </w:r>
            <w:r>
              <w:rPr>
                <w:rFonts w:ascii="宋体" w:hAnsi="宋体"/>
                <w:kern w:val="0"/>
                <w:sz w:val="28"/>
                <w:szCs w:val="28"/>
              </w:rPr>
              <w:t>’</w:t>
            </w:r>
            <w:r>
              <w:rPr>
                <w:rFonts w:hint="eastAsia" w:ascii="宋体" w:hAnsi="宋体"/>
                <w:kern w:val="0"/>
                <w:sz w:val="28"/>
                <w:szCs w:val="28"/>
                <w:lang w:val="en-US" w:eastAsia="zh-CN"/>
              </w:rPr>
              <w:t>26.97</w:t>
            </w:r>
            <w:r>
              <w:rPr>
                <w:rFonts w:ascii="宋体" w:hAnsi="宋体"/>
                <w:kern w:val="0"/>
                <w:sz w:val="28"/>
                <w:szCs w:val="28"/>
              </w:rPr>
              <w:t>”</w:t>
            </w:r>
            <w:r>
              <w:rPr>
                <w:rFonts w:hint="eastAsia"/>
                <w:sz w:val="28"/>
                <w:szCs w:val="28"/>
              </w:rPr>
              <w:t>，</w:t>
            </w:r>
            <w:r>
              <w:rPr>
                <w:rFonts w:hint="eastAsia"/>
                <w:sz w:val="28"/>
                <w:szCs w:val="28"/>
                <w:lang w:eastAsia="zh-CN"/>
              </w:rPr>
              <w:t>厂区北侧为原粮库闲置厂区，东侧为润达造纸厂，西侧隔路为空地，南侧为树林和水泥管厂</w:t>
            </w:r>
            <w:r>
              <w:rPr>
                <w:rFonts w:hint="eastAsia" w:ascii="宋体" w:hAnsi="宋体"/>
                <w:color w:val="000000"/>
                <w:sz w:val="28"/>
                <w:szCs w:val="28"/>
                <w:lang w:eastAsia="zh-CN"/>
              </w:rPr>
              <w:t>。技改在原厂区进行，不新增占地。</w:t>
            </w:r>
          </w:p>
          <w:p>
            <w:pPr>
              <w:keepNext w:val="0"/>
              <w:keepLines w:val="0"/>
              <w:pageBreakBefore w:val="0"/>
              <w:widowControl w:val="0"/>
              <w:kinsoku/>
              <w:wordWrap/>
              <w:overflowPunct/>
              <w:topLinePunct w:val="0"/>
              <w:autoSpaceDE/>
              <w:autoSpaceDN/>
              <w:bidi w:val="0"/>
              <w:adjustRightInd/>
              <w:snapToGrid/>
              <w:spacing w:line="680" w:lineRule="exact"/>
              <w:ind w:left="178" w:leftChars="85" w:right="71" w:rightChars="34" w:firstLine="540" w:firstLineChars="193"/>
              <w:textAlignment w:val="auto"/>
              <w:rPr>
                <w:rFonts w:hint="default" w:ascii="宋体" w:hAnsi="宋体"/>
                <w:kern w:val="0"/>
                <w:sz w:val="28"/>
                <w:szCs w:val="28"/>
                <w:lang w:val="en-US"/>
              </w:rPr>
            </w:pPr>
            <w:r>
              <w:rPr>
                <w:rFonts w:hint="eastAsia" w:ascii="宋体" w:hAnsi="宋体"/>
                <w:kern w:val="0"/>
                <w:sz w:val="28"/>
                <w:szCs w:val="28"/>
              </w:rPr>
              <w:t>二、项目总投资</w:t>
            </w:r>
            <w:r>
              <w:rPr>
                <w:rFonts w:hint="eastAsia" w:ascii="宋体" w:hAnsi="宋体"/>
                <w:kern w:val="0"/>
                <w:sz w:val="28"/>
                <w:szCs w:val="28"/>
                <w:lang w:val="en-US" w:eastAsia="zh-CN"/>
              </w:rPr>
              <w:t>80</w:t>
            </w:r>
            <w:r>
              <w:rPr>
                <w:rFonts w:hint="eastAsia" w:ascii="宋体" w:hAnsi="宋体"/>
                <w:kern w:val="0"/>
                <w:sz w:val="28"/>
                <w:szCs w:val="28"/>
              </w:rPr>
              <w:t>万元，其中环保投资</w:t>
            </w:r>
            <w:r>
              <w:rPr>
                <w:rFonts w:hint="eastAsia" w:ascii="宋体" w:hAnsi="宋体"/>
                <w:kern w:val="0"/>
                <w:sz w:val="28"/>
                <w:szCs w:val="28"/>
                <w:lang w:val="en-US" w:eastAsia="zh-CN"/>
              </w:rPr>
              <w:t>10</w:t>
            </w:r>
            <w:r>
              <w:rPr>
                <w:rFonts w:hint="eastAsia" w:ascii="宋体" w:hAnsi="宋体"/>
                <w:kern w:val="0"/>
                <w:sz w:val="28"/>
                <w:szCs w:val="28"/>
              </w:rPr>
              <w:t>万元。</w:t>
            </w:r>
            <w:r>
              <w:rPr>
                <w:rFonts w:hint="eastAsia" w:ascii="宋体" w:hAnsi="宋体"/>
                <w:kern w:val="0"/>
                <w:sz w:val="28"/>
                <w:szCs w:val="28"/>
                <w:lang w:eastAsia="zh-CN"/>
              </w:rPr>
              <w:t>本次扩建主要内容为在现有厂区新建危废间</w:t>
            </w:r>
            <w:r>
              <w:rPr>
                <w:rFonts w:hint="eastAsia" w:ascii="宋体" w:hAnsi="宋体"/>
                <w:kern w:val="0"/>
                <w:sz w:val="28"/>
                <w:szCs w:val="28"/>
                <w:lang w:val="en-US" w:eastAsia="zh-CN"/>
              </w:rPr>
              <w:t>1座，</w:t>
            </w:r>
            <w:r>
              <w:rPr>
                <w:rFonts w:hint="eastAsia" w:ascii="宋体" w:hAnsi="宋体"/>
                <w:kern w:val="0"/>
                <w:sz w:val="28"/>
                <w:szCs w:val="28"/>
                <w:lang w:eastAsia="zh-CN"/>
              </w:rPr>
              <w:t>新增模具、固化炉、真空泵等设备</w:t>
            </w:r>
            <w:r>
              <w:rPr>
                <w:rFonts w:hint="eastAsia" w:ascii="宋体" w:hAnsi="宋体"/>
                <w:kern w:val="0"/>
                <w:sz w:val="28"/>
                <w:szCs w:val="28"/>
                <w:lang w:val="en-US" w:eastAsia="zh-CN"/>
              </w:rPr>
              <w:t>，技改完成后产能不变，年产复合材料特种通风机800台（套）。</w:t>
            </w:r>
          </w:p>
          <w:p>
            <w:pPr>
              <w:keepNext w:val="0"/>
              <w:keepLines w:val="0"/>
              <w:pageBreakBefore w:val="0"/>
              <w:widowControl w:val="0"/>
              <w:kinsoku/>
              <w:wordWrap/>
              <w:overflowPunct/>
              <w:topLinePunct w:val="0"/>
              <w:autoSpaceDE/>
              <w:autoSpaceDN/>
              <w:bidi w:val="0"/>
              <w:adjustRightInd/>
              <w:snapToGrid/>
              <w:spacing w:line="680" w:lineRule="exact"/>
              <w:ind w:left="178" w:leftChars="85" w:right="71" w:rightChars="34" w:firstLine="540" w:firstLineChars="193"/>
              <w:textAlignment w:val="auto"/>
              <w:rPr>
                <w:rFonts w:hint="eastAsia" w:ascii="宋体" w:hAnsi="宋体"/>
                <w:kern w:val="0"/>
                <w:sz w:val="28"/>
                <w:szCs w:val="28"/>
              </w:rPr>
            </w:pPr>
            <w:r>
              <w:rPr>
                <w:rFonts w:hint="eastAsia" w:ascii="宋体" w:hAnsi="宋体"/>
                <w:kern w:val="0"/>
                <w:sz w:val="28"/>
                <w:szCs w:val="28"/>
              </w:rPr>
              <w:t>三、你单位在建设及运营过程中要严格按本项目环境影响报告表规定的内容，认真落实各项污染防治措施，确保污染物稳定达标排放。</w:t>
            </w:r>
          </w:p>
          <w:p>
            <w:pPr>
              <w:keepNext w:val="0"/>
              <w:keepLines w:val="0"/>
              <w:pageBreakBefore w:val="0"/>
              <w:widowControl w:val="0"/>
              <w:kinsoku/>
              <w:wordWrap/>
              <w:overflowPunct/>
              <w:topLinePunct w:val="0"/>
              <w:autoSpaceDE/>
              <w:autoSpaceDN/>
              <w:bidi w:val="0"/>
              <w:adjustRightInd/>
              <w:snapToGrid/>
              <w:spacing w:line="680" w:lineRule="exact"/>
              <w:ind w:left="178" w:leftChars="85" w:right="71" w:rightChars="34" w:firstLine="540" w:firstLineChars="193"/>
              <w:textAlignment w:val="auto"/>
              <w:rPr>
                <w:rFonts w:hint="eastAsia" w:ascii="宋体" w:hAnsi="宋体" w:eastAsia="宋体"/>
                <w:sz w:val="28"/>
                <w:szCs w:val="28"/>
                <w:lang w:val="en-US" w:eastAsia="zh-CN"/>
              </w:rPr>
            </w:pPr>
            <w:r>
              <w:rPr>
                <w:rFonts w:hint="eastAsia" w:ascii="宋体" w:hAnsi="宋体"/>
                <w:sz w:val="28"/>
                <w:szCs w:val="28"/>
              </w:rPr>
              <w:t>1、</w:t>
            </w:r>
            <w:r>
              <w:rPr>
                <w:rFonts w:hint="eastAsia" w:ascii="宋体" w:hAnsi="宋体"/>
                <w:color w:val="000000"/>
                <w:sz w:val="28"/>
                <w:szCs w:val="28"/>
              </w:rPr>
              <w:t>废气</w:t>
            </w:r>
            <w:r>
              <w:rPr>
                <w:rFonts w:hint="eastAsia" w:ascii="宋体" w:hAnsi="宋体"/>
                <w:color w:val="000000"/>
                <w:sz w:val="28"/>
                <w:szCs w:val="28"/>
                <w:lang w:eastAsia="zh-CN"/>
              </w:rPr>
              <w:t>：</w:t>
            </w:r>
            <w:r>
              <w:rPr>
                <w:rFonts w:hint="eastAsia" w:ascii="宋体" w:hAnsi="宋体"/>
                <w:kern w:val="0"/>
                <w:sz w:val="28"/>
                <w:szCs w:val="28"/>
              </w:rPr>
              <w:t>生产在密闭车间进行，</w:t>
            </w:r>
            <w:r>
              <w:rPr>
                <w:rFonts w:hint="eastAsia" w:ascii="宋体" w:hAnsi="宋体"/>
                <w:kern w:val="0"/>
                <w:sz w:val="28"/>
                <w:szCs w:val="28"/>
                <w:lang w:eastAsia="zh-CN"/>
              </w:rPr>
              <w:t>生产</w:t>
            </w:r>
            <w:r>
              <w:rPr>
                <w:rFonts w:hint="eastAsia" w:ascii="宋体" w:hAnsi="宋体"/>
                <w:kern w:val="0"/>
                <w:sz w:val="28"/>
                <w:szCs w:val="28"/>
              </w:rPr>
              <w:t>工序中</w:t>
            </w:r>
            <w:r>
              <w:rPr>
                <w:rFonts w:hint="eastAsia" w:ascii="宋体" w:hAnsi="宋体"/>
                <w:kern w:val="0"/>
                <w:sz w:val="28"/>
                <w:szCs w:val="28"/>
                <w:lang w:eastAsia="zh-CN"/>
              </w:rPr>
              <w:t>产生</w:t>
            </w:r>
            <w:r>
              <w:rPr>
                <w:rFonts w:hint="eastAsia" w:ascii="宋体" w:hAnsi="宋体"/>
                <w:kern w:val="0"/>
                <w:sz w:val="28"/>
                <w:szCs w:val="28"/>
              </w:rPr>
              <w:t>废气经集气</w:t>
            </w:r>
            <w:r>
              <w:rPr>
                <w:rFonts w:hint="eastAsia" w:ascii="宋体" w:hAnsi="宋体"/>
                <w:kern w:val="0"/>
                <w:sz w:val="28"/>
                <w:szCs w:val="28"/>
                <w:lang w:eastAsia="zh-CN"/>
              </w:rPr>
              <w:t>系统</w:t>
            </w:r>
            <w:r>
              <w:rPr>
                <w:rFonts w:hint="eastAsia" w:ascii="宋体" w:hAnsi="宋体"/>
                <w:kern w:val="0"/>
                <w:sz w:val="28"/>
                <w:szCs w:val="28"/>
              </w:rPr>
              <w:t>收集引入</w:t>
            </w:r>
            <w:r>
              <w:rPr>
                <w:rFonts w:hint="eastAsia" w:ascii="宋体" w:hAnsi="宋体"/>
                <w:kern w:val="0"/>
                <w:sz w:val="28"/>
                <w:szCs w:val="28"/>
                <w:lang w:eastAsia="zh-CN"/>
              </w:rPr>
              <w:t>光氧催化净化器</w:t>
            </w:r>
            <w:r>
              <w:rPr>
                <w:rFonts w:hint="eastAsia" w:ascii="宋体" w:hAnsi="宋体"/>
                <w:kern w:val="0"/>
                <w:sz w:val="28"/>
                <w:szCs w:val="28"/>
              </w:rPr>
              <w:t>+活性炭吸附装置+1根15m高排气筒排放。有组织非甲烷总烃执行</w:t>
            </w:r>
            <w:r>
              <w:rPr>
                <w:rFonts w:hint="eastAsia" w:ascii="宋体" w:hAnsi="宋体"/>
                <w:sz w:val="28"/>
                <w:szCs w:val="28"/>
              </w:rPr>
              <w:t>《工业企业挥发性有机物排放控制标准》（DB13/2322-2016）中表</w:t>
            </w:r>
            <w:r>
              <w:rPr>
                <w:rFonts w:hint="eastAsia" w:ascii="宋体" w:hAnsi="宋体"/>
                <w:sz w:val="28"/>
                <w:szCs w:val="28"/>
                <w:lang w:val="en-US" w:eastAsia="zh-CN"/>
              </w:rPr>
              <w:t>1有机化工业大气污染</w:t>
            </w:r>
            <w:r>
              <w:rPr>
                <w:rFonts w:hint="eastAsia" w:ascii="宋体" w:hAnsi="宋体"/>
                <w:sz w:val="28"/>
                <w:szCs w:val="28"/>
              </w:rPr>
              <w:t>排放限值</w:t>
            </w:r>
            <w:r>
              <w:rPr>
                <w:rFonts w:hint="eastAsia" w:ascii="宋体" w:hAnsi="宋体"/>
                <w:sz w:val="28"/>
                <w:szCs w:val="28"/>
                <w:lang w:eastAsia="zh-CN"/>
              </w:rPr>
              <w:t>；</w:t>
            </w:r>
            <w:r>
              <w:rPr>
                <w:rFonts w:hint="eastAsia" w:ascii="宋体" w:hAnsi="宋体"/>
                <w:kern w:val="0"/>
                <w:sz w:val="28"/>
                <w:szCs w:val="28"/>
              </w:rPr>
              <w:t>无组织非甲烷总烃排放浓度执行</w:t>
            </w:r>
            <w:r>
              <w:rPr>
                <w:rFonts w:hint="eastAsia" w:ascii="宋体" w:hAnsi="宋体"/>
                <w:sz w:val="28"/>
                <w:szCs w:val="28"/>
              </w:rPr>
              <w:t>《工业企业挥发性有机物排放控制标准》（DB13/2322-2016）中表</w:t>
            </w:r>
            <w:r>
              <w:rPr>
                <w:rFonts w:hint="eastAsia" w:ascii="宋体" w:hAnsi="宋体"/>
                <w:sz w:val="28"/>
                <w:szCs w:val="28"/>
                <w:lang w:val="en-US" w:eastAsia="zh-CN"/>
              </w:rPr>
              <w:t>2</w:t>
            </w:r>
            <w:r>
              <w:rPr>
                <w:rFonts w:hint="eastAsia" w:ascii="宋体" w:hAnsi="宋体"/>
                <w:kern w:val="0"/>
                <w:sz w:val="28"/>
                <w:szCs w:val="28"/>
                <w:lang w:eastAsia="zh-CN"/>
              </w:rPr>
              <w:t>标准限值及</w:t>
            </w:r>
            <w:r>
              <w:rPr>
                <w:rFonts w:hint="eastAsia" w:ascii="宋体" w:hAnsi="宋体" w:cs="仿宋_GB2312"/>
                <w:kern w:val="0"/>
                <w:sz w:val="28"/>
                <w:szCs w:val="28"/>
              </w:rPr>
              <w:t>《挥发性有机物无组织排放控制标准》</w:t>
            </w:r>
            <w:r>
              <w:rPr>
                <w:rFonts w:hint="eastAsia" w:ascii="宋体" w:hAnsi="宋体"/>
                <w:kern w:val="0"/>
                <w:sz w:val="28"/>
                <w:szCs w:val="28"/>
              </w:rPr>
              <w:t>（GB37822-2019）表A.1厂区内VOCs无组织排放限值</w:t>
            </w:r>
            <w:r>
              <w:rPr>
                <w:rFonts w:hint="eastAsia" w:ascii="宋体" w:hAnsi="宋体"/>
                <w:kern w:val="0"/>
                <w:sz w:val="28"/>
                <w:szCs w:val="28"/>
                <w:lang w:eastAsia="zh-CN"/>
              </w:rPr>
              <w:t>，无组织颗粒物执行</w:t>
            </w:r>
            <w:r>
              <w:rPr>
                <w:rFonts w:hint="eastAsia" w:ascii="宋体" w:hAnsi="宋体"/>
                <w:sz w:val="28"/>
                <w:szCs w:val="28"/>
              </w:rPr>
              <w:t>《大气污染物综合排放标准》（</w:t>
            </w:r>
            <w:r>
              <w:rPr>
                <w:rFonts w:hint="eastAsia" w:ascii="宋体" w:hAnsi="宋体"/>
                <w:sz w:val="28"/>
                <w:szCs w:val="28"/>
                <w:lang w:val="en-US" w:eastAsia="zh-CN"/>
              </w:rPr>
              <w:t>G</w:t>
            </w:r>
            <w:r>
              <w:rPr>
                <w:rFonts w:hint="eastAsia" w:ascii="宋体" w:hAnsi="宋体"/>
                <w:sz w:val="28"/>
                <w:szCs w:val="28"/>
              </w:rPr>
              <w:t>B16297-1996）表2</w:t>
            </w:r>
            <w:r>
              <w:rPr>
                <w:rFonts w:hint="eastAsia" w:ascii="宋体" w:hAnsi="宋体"/>
                <w:sz w:val="28"/>
                <w:szCs w:val="28"/>
                <w:lang w:eastAsia="zh-CN"/>
              </w:rPr>
              <w:t>无组织排放监控浓度限值要求</w:t>
            </w:r>
          </w:p>
          <w:p>
            <w:pPr>
              <w:keepNext w:val="0"/>
              <w:keepLines w:val="0"/>
              <w:pageBreakBefore w:val="0"/>
              <w:widowControl w:val="0"/>
              <w:numPr>
                <w:ilvl w:val="0"/>
                <w:numId w:val="0"/>
              </w:numPr>
              <w:kinsoku/>
              <w:wordWrap/>
              <w:overflowPunct/>
              <w:topLinePunct w:val="0"/>
              <w:autoSpaceDE/>
              <w:autoSpaceDN/>
              <w:bidi w:val="0"/>
              <w:adjustRightInd/>
              <w:snapToGrid/>
              <w:spacing w:line="680" w:lineRule="exact"/>
              <w:ind w:firstLine="560" w:firstLineChars="200"/>
              <w:textAlignment w:val="auto"/>
              <w:outlineLvl w:val="9"/>
              <w:rPr>
                <w:rFonts w:hint="eastAsia" w:ascii="宋体" w:hAnsi="宋体"/>
                <w:sz w:val="28"/>
                <w:szCs w:val="28"/>
              </w:rPr>
            </w:pPr>
            <w:r>
              <w:rPr>
                <w:rFonts w:hint="eastAsia" w:ascii="宋体" w:hAnsi="宋体"/>
                <w:sz w:val="28"/>
                <w:szCs w:val="28"/>
                <w:lang w:val="en-US" w:eastAsia="zh-CN"/>
              </w:rPr>
              <w:t>2.</w:t>
            </w:r>
            <w:r>
              <w:rPr>
                <w:rFonts w:hint="eastAsia" w:ascii="宋体" w:hAnsi="宋体"/>
                <w:sz w:val="28"/>
                <w:szCs w:val="28"/>
              </w:rPr>
              <w:t>废水</w:t>
            </w:r>
            <w:r>
              <w:rPr>
                <w:rFonts w:hint="eastAsia" w:ascii="宋体" w:hAnsi="宋体"/>
                <w:sz w:val="28"/>
                <w:szCs w:val="28"/>
                <w:lang w:eastAsia="zh-CN"/>
              </w:rPr>
              <w:t>：</w:t>
            </w:r>
            <w:r>
              <w:rPr>
                <w:rFonts w:hint="eastAsia" w:ascii="宋体" w:hAnsi="宋体"/>
                <w:sz w:val="28"/>
                <w:szCs w:val="28"/>
              </w:rPr>
              <w:t>生活污水排入防渗旱厕，定期清掏作农肥。</w:t>
            </w:r>
          </w:p>
          <w:p>
            <w:pPr>
              <w:pStyle w:val="10"/>
              <w:keepNext w:val="0"/>
              <w:keepLines w:val="0"/>
              <w:pageBreakBefore w:val="0"/>
              <w:widowControl w:val="0"/>
              <w:kinsoku/>
              <w:wordWrap/>
              <w:overflowPunct/>
              <w:topLinePunct w:val="0"/>
              <w:autoSpaceDE/>
              <w:autoSpaceDN/>
              <w:bidi w:val="0"/>
              <w:adjustRightInd/>
              <w:snapToGrid/>
              <w:spacing w:line="680" w:lineRule="exact"/>
              <w:ind w:right="50" w:rightChars="24"/>
              <w:textAlignment w:val="auto"/>
              <w:outlineLvl w:val="9"/>
              <w:rPr>
                <w:rFonts w:hint="eastAsia" w:ascii="宋体" w:hAnsi="宋体"/>
                <w:sz w:val="28"/>
                <w:szCs w:val="28"/>
              </w:rPr>
            </w:pPr>
            <w:r>
              <w:rPr>
                <w:rFonts w:hint="eastAsia" w:ascii="宋体" w:hAnsi="宋体"/>
                <w:color w:val="000000"/>
                <w:sz w:val="28"/>
                <w:szCs w:val="28"/>
                <w:lang w:val="en-US" w:eastAsia="zh-CN"/>
              </w:rPr>
              <w:t>3.</w:t>
            </w:r>
            <w:r>
              <w:rPr>
                <w:rFonts w:hint="eastAsia" w:ascii="宋体" w:hAnsi="宋体"/>
                <w:color w:val="000000"/>
                <w:sz w:val="28"/>
                <w:szCs w:val="28"/>
              </w:rPr>
              <w:t>噪声</w:t>
            </w:r>
            <w:r>
              <w:rPr>
                <w:rFonts w:hint="eastAsia" w:ascii="宋体" w:hAnsi="宋体"/>
                <w:color w:val="000000"/>
                <w:sz w:val="28"/>
                <w:szCs w:val="28"/>
                <w:lang w:eastAsia="zh-CN"/>
              </w:rPr>
              <w:t>：</w:t>
            </w:r>
            <w:r>
              <w:rPr>
                <w:rFonts w:hint="eastAsia" w:ascii="宋体" w:hAnsi="宋体"/>
                <w:sz w:val="28"/>
                <w:szCs w:val="28"/>
              </w:rPr>
              <w:t>生产设备噪声，经基础减震、</w:t>
            </w:r>
            <w:r>
              <w:rPr>
                <w:rFonts w:hint="eastAsia" w:ascii="宋体" w:hAnsi="宋体"/>
                <w:sz w:val="28"/>
                <w:szCs w:val="28"/>
                <w:lang w:val="en-US" w:eastAsia="zh-CN"/>
              </w:rPr>
              <w:t>车间</w:t>
            </w:r>
            <w:r>
              <w:rPr>
                <w:rFonts w:hint="eastAsia" w:ascii="宋体" w:hAnsi="宋体"/>
                <w:sz w:val="28"/>
                <w:szCs w:val="28"/>
              </w:rPr>
              <w:t>隔声等措施处理。执行《工业企业厂界环境噪声排放标准》（GB12348-2008)</w:t>
            </w:r>
            <w:r>
              <w:rPr>
                <w:rFonts w:hint="eastAsia" w:ascii="宋体" w:hAnsi="宋体"/>
                <w:sz w:val="28"/>
                <w:szCs w:val="28"/>
                <w:lang w:val="en-US" w:eastAsia="zh-CN"/>
              </w:rPr>
              <w:t>2</w:t>
            </w:r>
            <w:r>
              <w:rPr>
                <w:rFonts w:hint="eastAsia" w:ascii="宋体" w:hAnsi="宋体"/>
                <w:sz w:val="28"/>
                <w:szCs w:val="28"/>
              </w:rPr>
              <w:t>类标准。</w:t>
            </w:r>
          </w:p>
          <w:p>
            <w:pPr>
              <w:pStyle w:val="10"/>
              <w:keepNext w:val="0"/>
              <w:keepLines w:val="0"/>
              <w:pageBreakBefore w:val="0"/>
              <w:widowControl w:val="0"/>
              <w:kinsoku/>
              <w:wordWrap/>
              <w:overflowPunct/>
              <w:topLinePunct w:val="0"/>
              <w:autoSpaceDE/>
              <w:autoSpaceDN/>
              <w:bidi w:val="0"/>
              <w:adjustRightInd/>
              <w:snapToGrid/>
              <w:spacing w:line="680" w:lineRule="exact"/>
              <w:ind w:left="0" w:leftChars="0" w:right="50" w:rightChars="24" w:firstLine="560" w:firstLineChars="200"/>
              <w:textAlignment w:val="auto"/>
              <w:outlineLvl w:val="9"/>
              <w:rPr>
                <w:rFonts w:hint="eastAsia" w:ascii="宋体" w:hAnsi="宋体"/>
                <w:sz w:val="28"/>
                <w:szCs w:val="28"/>
              </w:rPr>
            </w:pPr>
            <w:r>
              <w:rPr>
                <w:rFonts w:hint="eastAsia" w:ascii="宋体" w:hAnsi="宋体"/>
                <w:sz w:val="28"/>
                <w:szCs w:val="28"/>
                <w:lang w:val="en-US" w:eastAsia="zh-CN"/>
              </w:rPr>
              <w:t>4.</w:t>
            </w:r>
            <w:r>
              <w:rPr>
                <w:rFonts w:hint="eastAsia" w:ascii="宋体" w:hAnsi="宋体"/>
                <w:sz w:val="28"/>
                <w:szCs w:val="28"/>
              </w:rPr>
              <w:t>固体废物</w:t>
            </w:r>
            <w:r>
              <w:rPr>
                <w:rFonts w:hint="eastAsia" w:ascii="宋体" w:hAnsi="宋体"/>
                <w:sz w:val="28"/>
                <w:szCs w:val="28"/>
                <w:lang w:val="en-US" w:eastAsia="zh-CN"/>
              </w:rPr>
              <w:t>:</w:t>
            </w:r>
            <w:r>
              <w:rPr>
                <w:rFonts w:hint="eastAsia" w:ascii="宋体" w:hAnsi="宋体"/>
                <w:kern w:val="0"/>
                <w:sz w:val="28"/>
                <w:szCs w:val="28"/>
              </w:rPr>
              <w:t>废活性炭</w:t>
            </w:r>
            <w:r>
              <w:rPr>
                <w:rFonts w:hint="eastAsia" w:ascii="宋体" w:hAnsi="宋体"/>
                <w:kern w:val="0"/>
                <w:sz w:val="28"/>
                <w:szCs w:val="28"/>
                <w:lang w:eastAsia="zh-CN"/>
              </w:rPr>
              <w:t>、废包装桶、废清洗剂</w:t>
            </w:r>
            <w:r>
              <w:rPr>
                <w:rFonts w:hint="eastAsia" w:ascii="宋体" w:hAnsi="宋体"/>
                <w:kern w:val="0"/>
                <w:sz w:val="28"/>
                <w:szCs w:val="28"/>
              </w:rPr>
              <w:t>收集后暂存于危废间内，定期交由有资质单位处置；</w:t>
            </w:r>
            <w:r>
              <w:rPr>
                <w:rFonts w:hint="eastAsia" w:ascii="宋体" w:hAnsi="宋体"/>
                <w:sz w:val="28"/>
                <w:szCs w:val="28"/>
                <w:lang w:val="en-US" w:eastAsia="zh-CN"/>
              </w:rPr>
              <w:t>废玻纤布、边角料</w:t>
            </w:r>
            <w:r>
              <w:rPr>
                <w:rFonts w:hint="eastAsia" w:ascii="宋体" w:hAnsi="宋体"/>
                <w:sz w:val="28"/>
                <w:szCs w:val="28"/>
              </w:rPr>
              <w:t>均收集后外售</w:t>
            </w:r>
            <w:r>
              <w:rPr>
                <w:rFonts w:hint="eastAsia" w:ascii="宋体" w:hAnsi="宋体"/>
                <w:sz w:val="28"/>
                <w:szCs w:val="28"/>
                <w:lang w:eastAsia="zh-CN"/>
              </w:rPr>
              <w:t>，</w:t>
            </w:r>
            <w:r>
              <w:rPr>
                <w:rFonts w:hint="eastAsia" w:ascii="宋体" w:hAnsi="宋体"/>
                <w:sz w:val="28"/>
                <w:szCs w:val="28"/>
              </w:rPr>
              <w:t>职工生活垃圾由环卫部门统一清运处理。</w:t>
            </w:r>
          </w:p>
          <w:p>
            <w:pPr>
              <w:keepNext w:val="0"/>
              <w:keepLines w:val="0"/>
              <w:pageBreakBefore w:val="0"/>
              <w:widowControl w:val="0"/>
              <w:kinsoku/>
              <w:wordWrap/>
              <w:overflowPunct/>
              <w:topLinePunct w:val="0"/>
              <w:autoSpaceDE/>
              <w:autoSpaceDN/>
              <w:bidi w:val="0"/>
              <w:adjustRightInd/>
              <w:snapToGrid/>
              <w:spacing w:line="680" w:lineRule="exact"/>
              <w:ind w:right="115" w:rightChars="55" w:firstLine="560" w:firstLineChars="200"/>
              <w:textAlignment w:val="auto"/>
              <w:rPr>
                <w:rFonts w:hint="eastAsia" w:ascii="宋体" w:hAnsi="宋体"/>
                <w:kern w:val="0"/>
                <w:sz w:val="28"/>
                <w:szCs w:val="28"/>
              </w:rPr>
            </w:pPr>
            <w:r>
              <w:rPr>
                <w:rFonts w:hint="eastAsia" w:ascii="宋体" w:hAnsi="宋体"/>
                <w:kern w:val="0"/>
                <w:sz w:val="28"/>
                <w:szCs w:val="28"/>
              </w:rPr>
              <w:t>四、</w:t>
            </w:r>
            <w:r>
              <w:rPr>
                <w:rFonts w:hint="eastAsia" w:ascii="宋体" w:hAnsi="宋体"/>
                <w:kern w:val="0"/>
                <w:sz w:val="28"/>
                <w:szCs w:val="28"/>
                <w:lang w:eastAsia="zh-CN"/>
              </w:rPr>
              <w:t>全厂</w:t>
            </w:r>
            <w:r>
              <w:rPr>
                <w:rFonts w:hint="eastAsia" w:ascii="宋体" w:hAnsi="宋体"/>
                <w:kern w:val="0"/>
                <w:sz w:val="28"/>
                <w:szCs w:val="28"/>
              </w:rPr>
              <w:t>污染物排放总量控制指标为：COD:0t/a、氨氮：0t/a、总氮：0t/a、总磷：0t/a、SO</w:t>
            </w:r>
            <w:r>
              <w:rPr>
                <w:rFonts w:hint="eastAsia" w:ascii="宋体" w:hAnsi="宋体"/>
                <w:kern w:val="0"/>
                <w:sz w:val="28"/>
                <w:szCs w:val="28"/>
                <w:vertAlign w:val="subscript"/>
              </w:rPr>
              <w:t>2</w:t>
            </w:r>
            <w:r>
              <w:rPr>
                <w:rFonts w:hint="eastAsia" w:ascii="宋体" w:hAnsi="宋体"/>
                <w:kern w:val="0"/>
                <w:sz w:val="28"/>
                <w:szCs w:val="28"/>
              </w:rPr>
              <w:t>：0t/a、NO</w:t>
            </w:r>
            <w:r>
              <w:rPr>
                <w:rFonts w:hint="eastAsia" w:ascii="宋体" w:hAnsi="宋体"/>
                <w:kern w:val="0"/>
                <w:sz w:val="28"/>
                <w:szCs w:val="28"/>
                <w:vertAlign w:val="subscript"/>
              </w:rPr>
              <w:t>X</w:t>
            </w:r>
            <w:r>
              <w:rPr>
                <w:rFonts w:hint="eastAsia" w:ascii="宋体" w:hAnsi="宋体"/>
                <w:kern w:val="0"/>
                <w:sz w:val="28"/>
                <w:szCs w:val="28"/>
              </w:rPr>
              <w:t>：0t/a、</w:t>
            </w:r>
            <w:r>
              <w:rPr>
                <w:rFonts w:hint="eastAsia" w:ascii="宋体" w:hAnsi="宋体"/>
                <w:kern w:val="0"/>
                <w:sz w:val="28"/>
                <w:szCs w:val="28"/>
                <w:lang w:eastAsia="zh-CN"/>
              </w:rPr>
              <w:t>非甲烷总烃</w:t>
            </w:r>
            <w:r>
              <w:rPr>
                <w:rFonts w:hint="eastAsia" w:ascii="宋体" w:hAnsi="宋体"/>
                <w:kern w:val="0"/>
                <w:sz w:val="28"/>
                <w:szCs w:val="28"/>
              </w:rPr>
              <w:t>：</w:t>
            </w:r>
            <w:r>
              <w:rPr>
                <w:rFonts w:hint="eastAsia" w:ascii="宋体" w:hAnsi="宋体"/>
                <w:kern w:val="0"/>
                <w:sz w:val="28"/>
                <w:szCs w:val="28"/>
                <w:lang w:val="en-US" w:eastAsia="zh-CN"/>
              </w:rPr>
              <w:t>0.257</w:t>
            </w:r>
            <w:bookmarkStart w:id="0" w:name="_GoBack"/>
            <w:bookmarkEnd w:id="0"/>
            <w:r>
              <w:rPr>
                <w:rFonts w:hint="eastAsia" w:ascii="宋体" w:hAnsi="宋体"/>
                <w:kern w:val="0"/>
                <w:sz w:val="28"/>
                <w:szCs w:val="28"/>
              </w:rPr>
              <w:t>t/a、颗粒物：</w:t>
            </w:r>
            <w:r>
              <w:rPr>
                <w:rFonts w:hint="eastAsia" w:ascii="宋体" w:hAnsi="宋体"/>
                <w:kern w:val="0"/>
                <w:sz w:val="28"/>
                <w:szCs w:val="28"/>
                <w:lang w:val="en-US" w:eastAsia="zh-CN"/>
              </w:rPr>
              <w:t>0</w:t>
            </w:r>
            <w:r>
              <w:rPr>
                <w:rFonts w:hint="eastAsia" w:ascii="宋体" w:hAnsi="宋体"/>
                <w:kern w:val="0"/>
                <w:sz w:val="28"/>
                <w:szCs w:val="28"/>
              </w:rPr>
              <w:t>t/a。</w:t>
            </w:r>
          </w:p>
          <w:p>
            <w:pPr>
              <w:keepNext w:val="0"/>
              <w:keepLines w:val="0"/>
              <w:pageBreakBefore w:val="0"/>
              <w:widowControl w:val="0"/>
              <w:kinsoku/>
              <w:wordWrap/>
              <w:overflowPunct/>
              <w:topLinePunct w:val="0"/>
              <w:autoSpaceDE/>
              <w:autoSpaceDN/>
              <w:bidi w:val="0"/>
              <w:adjustRightInd/>
              <w:snapToGrid/>
              <w:spacing w:line="680" w:lineRule="exact"/>
              <w:ind w:right="25" w:rightChars="12" w:firstLine="537" w:firstLineChars="192"/>
              <w:textAlignment w:val="auto"/>
              <w:rPr>
                <w:rFonts w:hint="eastAsia" w:ascii="宋体" w:hAnsi="宋体"/>
                <w:kern w:val="0"/>
                <w:sz w:val="28"/>
                <w:szCs w:val="28"/>
              </w:rPr>
            </w:pPr>
            <w:r>
              <w:rPr>
                <w:rFonts w:hint="eastAsia" w:ascii="宋体" w:hAnsi="宋体"/>
                <w:kern w:val="0"/>
                <w:sz w:val="28"/>
                <w:szCs w:val="28"/>
              </w:rPr>
              <w:t>五、项目建成后应先行按照排污许可管理要求，办理排污许可证，并按照《建设项目环境保护管理条例》（国令第682号）及相关文件要求落实竣工环境保护验收工作。</w:t>
            </w:r>
          </w:p>
          <w:p>
            <w:pPr>
              <w:keepNext w:val="0"/>
              <w:keepLines w:val="0"/>
              <w:pageBreakBefore w:val="0"/>
              <w:widowControl w:val="0"/>
              <w:kinsoku/>
              <w:wordWrap/>
              <w:overflowPunct/>
              <w:topLinePunct w:val="0"/>
              <w:autoSpaceDE/>
              <w:autoSpaceDN/>
              <w:bidi w:val="0"/>
              <w:adjustRightInd/>
              <w:snapToGrid/>
              <w:spacing w:line="680" w:lineRule="exact"/>
              <w:ind w:right="115" w:rightChars="55" w:firstLine="560" w:firstLineChars="200"/>
              <w:textAlignment w:val="auto"/>
              <w:rPr>
                <w:rFonts w:hint="eastAsia" w:ascii="宋体" w:hAnsi="宋体"/>
                <w:kern w:val="0"/>
                <w:sz w:val="28"/>
                <w:szCs w:val="28"/>
              </w:rPr>
            </w:pPr>
            <w:r>
              <w:rPr>
                <w:rFonts w:hint="eastAsia" w:ascii="宋体" w:hAnsi="宋体"/>
                <w:kern w:val="0"/>
                <w:sz w:val="28"/>
                <w:szCs w:val="28"/>
              </w:rPr>
              <w:t xml:space="preserve">                              </w:t>
            </w:r>
          </w:p>
          <w:p>
            <w:pPr>
              <w:keepNext w:val="0"/>
              <w:keepLines w:val="0"/>
              <w:pageBreakBefore w:val="0"/>
              <w:widowControl w:val="0"/>
              <w:kinsoku/>
              <w:wordWrap/>
              <w:overflowPunct/>
              <w:topLinePunct w:val="0"/>
              <w:autoSpaceDE/>
              <w:autoSpaceDN/>
              <w:bidi w:val="0"/>
              <w:adjustRightInd/>
              <w:snapToGrid/>
              <w:spacing w:line="680" w:lineRule="exact"/>
              <w:ind w:right="115" w:rightChars="55" w:firstLine="6160" w:firstLineChars="2200"/>
              <w:textAlignment w:val="auto"/>
              <w:rPr>
                <w:rFonts w:hint="eastAsia" w:ascii="宋体" w:hAnsi="宋体"/>
                <w:kern w:val="0"/>
                <w:sz w:val="28"/>
                <w:szCs w:val="28"/>
              </w:rPr>
            </w:pPr>
          </w:p>
          <w:p>
            <w:pPr>
              <w:keepNext w:val="0"/>
              <w:keepLines w:val="0"/>
              <w:pageBreakBefore w:val="0"/>
              <w:widowControl w:val="0"/>
              <w:kinsoku/>
              <w:wordWrap/>
              <w:overflowPunct/>
              <w:topLinePunct w:val="0"/>
              <w:autoSpaceDE/>
              <w:autoSpaceDN/>
              <w:bidi w:val="0"/>
              <w:adjustRightInd/>
              <w:snapToGrid/>
              <w:spacing w:line="680" w:lineRule="exact"/>
              <w:ind w:right="115" w:rightChars="55" w:firstLine="6160" w:firstLineChars="2200"/>
              <w:textAlignment w:val="auto"/>
              <w:rPr>
                <w:rFonts w:hint="eastAsia" w:ascii="宋体" w:hAnsi="宋体"/>
                <w:kern w:val="0"/>
                <w:sz w:val="28"/>
                <w:szCs w:val="28"/>
              </w:rPr>
            </w:pPr>
          </w:p>
          <w:p>
            <w:pPr>
              <w:keepNext w:val="0"/>
              <w:keepLines w:val="0"/>
              <w:pageBreakBefore w:val="0"/>
              <w:widowControl w:val="0"/>
              <w:kinsoku/>
              <w:wordWrap/>
              <w:overflowPunct/>
              <w:topLinePunct w:val="0"/>
              <w:autoSpaceDE/>
              <w:autoSpaceDN/>
              <w:bidi w:val="0"/>
              <w:adjustRightInd/>
              <w:snapToGrid/>
              <w:spacing w:line="680" w:lineRule="exact"/>
              <w:ind w:right="115" w:rightChars="55" w:firstLine="6160" w:firstLineChars="2200"/>
              <w:textAlignment w:val="auto"/>
              <w:rPr>
                <w:rFonts w:hint="eastAsia" w:ascii="宋体" w:hAnsi="宋体"/>
                <w:kern w:val="0"/>
                <w:sz w:val="28"/>
                <w:szCs w:val="28"/>
              </w:rPr>
            </w:pPr>
            <w:r>
              <w:rPr>
                <w:rFonts w:hint="eastAsia" w:ascii="宋体" w:hAnsi="宋体"/>
                <w:kern w:val="0"/>
                <w:sz w:val="28"/>
                <w:szCs w:val="28"/>
              </w:rPr>
              <w:t xml:space="preserve"> 公   章   </w:t>
            </w:r>
          </w:p>
          <w:p>
            <w:pPr>
              <w:keepNext w:val="0"/>
              <w:keepLines w:val="0"/>
              <w:pageBreakBefore w:val="0"/>
              <w:widowControl w:val="0"/>
              <w:kinsoku/>
              <w:wordWrap/>
              <w:overflowPunct/>
              <w:topLinePunct w:val="0"/>
              <w:autoSpaceDE/>
              <w:autoSpaceDN/>
              <w:bidi w:val="0"/>
              <w:adjustRightInd/>
              <w:snapToGrid/>
              <w:spacing w:line="680" w:lineRule="exact"/>
              <w:ind w:left="105" w:leftChars="50" w:right="115" w:rightChars="55" w:firstLine="5577" w:firstLineChars="1992"/>
              <w:textAlignment w:val="auto"/>
              <w:rPr>
                <w:rFonts w:hint="eastAsia" w:ascii="宋体" w:hAnsi="宋体"/>
                <w:kern w:val="0"/>
                <w:sz w:val="28"/>
                <w:szCs w:val="28"/>
              </w:rPr>
            </w:pPr>
            <w:r>
              <w:rPr>
                <w:rFonts w:hint="eastAsia" w:ascii="宋体" w:hAnsi="宋体"/>
                <w:kern w:val="0"/>
                <w:sz w:val="28"/>
                <w:szCs w:val="28"/>
              </w:rPr>
              <w:t>202</w:t>
            </w:r>
            <w:r>
              <w:rPr>
                <w:rFonts w:hint="eastAsia" w:ascii="宋体" w:hAnsi="宋体"/>
                <w:kern w:val="0"/>
                <w:sz w:val="28"/>
                <w:szCs w:val="28"/>
                <w:lang w:val="en-US" w:eastAsia="zh-CN"/>
              </w:rPr>
              <w:t>1</w:t>
            </w:r>
            <w:r>
              <w:rPr>
                <w:rFonts w:hint="eastAsia" w:ascii="宋体" w:hAnsi="宋体"/>
                <w:kern w:val="0"/>
                <w:sz w:val="28"/>
                <w:szCs w:val="28"/>
              </w:rPr>
              <w:t>年</w:t>
            </w:r>
            <w:r>
              <w:rPr>
                <w:rFonts w:hint="eastAsia" w:ascii="宋体" w:hAnsi="宋体"/>
                <w:kern w:val="0"/>
                <w:sz w:val="28"/>
                <w:szCs w:val="28"/>
                <w:lang w:val="en-US" w:eastAsia="zh-CN"/>
              </w:rPr>
              <w:t>3</w:t>
            </w:r>
            <w:r>
              <w:rPr>
                <w:rFonts w:hint="eastAsia" w:ascii="宋体" w:hAnsi="宋体"/>
                <w:kern w:val="0"/>
                <w:sz w:val="28"/>
                <w:szCs w:val="28"/>
              </w:rPr>
              <w:t>月</w:t>
            </w:r>
            <w:r>
              <w:rPr>
                <w:rFonts w:hint="eastAsia" w:ascii="宋体" w:hAnsi="宋体"/>
                <w:kern w:val="0"/>
                <w:sz w:val="28"/>
                <w:szCs w:val="28"/>
                <w:lang w:val="en-US" w:eastAsia="zh-CN"/>
              </w:rPr>
              <w:t>3</w:t>
            </w:r>
            <w:r>
              <w:rPr>
                <w:rFonts w:hint="eastAsia" w:ascii="宋体" w:hAnsi="宋体"/>
                <w:kern w:val="0"/>
                <w:sz w:val="28"/>
                <w:szCs w:val="28"/>
              </w:rPr>
              <w:t xml:space="preserve">日 </w:t>
            </w:r>
          </w:p>
          <w:p>
            <w:pPr>
              <w:keepNext w:val="0"/>
              <w:keepLines w:val="0"/>
              <w:pageBreakBefore w:val="0"/>
              <w:widowControl w:val="0"/>
              <w:kinsoku/>
              <w:wordWrap/>
              <w:overflowPunct/>
              <w:topLinePunct w:val="0"/>
              <w:autoSpaceDE/>
              <w:autoSpaceDN/>
              <w:bidi w:val="0"/>
              <w:adjustRightInd/>
              <w:snapToGrid/>
              <w:spacing w:line="600" w:lineRule="exact"/>
              <w:ind w:left="105" w:leftChars="50" w:right="115" w:rightChars="55" w:firstLine="5577" w:firstLineChars="1992"/>
              <w:textAlignment w:val="auto"/>
              <w:rPr>
                <w:rFonts w:hint="eastAsia" w:ascii="宋体" w:hAnsi="宋体"/>
                <w:kern w:val="0"/>
                <w:sz w:val="28"/>
                <w:szCs w:val="28"/>
              </w:rPr>
            </w:pPr>
            <w:r>
              <w:rPr>
                <w:rFonts w:hint="eastAsia" w:ascii="宋体" w:hAnsi="宋体"/>
                <w:kern w:val="0"/>
                <w:sz w:val="28"/>
                <w:szCs w:val="28"/>
              </w:rPr>
              <w:t xml:space="preserve">                                                           </w:t>
            </w:r>
          </w:p>
        </w:tc>
      </w:tr>
    </w:tbl>
    <w:p>
      <w:pPr>
        <w:rPr>
          <w:rFonts w:hint="eastAsia"/>
        </w:rPr>
      </w:pPr>
    </w:p>
    <w:p/>
    <w:sectPr>
      <w:headerReference r:id="rId3" w:type="default"/>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51"/>
    <w:rsid w:val="00010651"/>
    <w:rsid w:val="003536F4"/>
    <w:rsid w:val="00A57FBE"/>
    <w:rsid w:val="00E17C62"/>
    <w:rsid w:val="012B29D6"/>
    <w:rsid w:val="03387F27"/>
    <w:rsid w:val="064755A9"/>
    <w:rsid w:val="079E4B0C"/>
    <w:rsid w:val="07B578BD"/>
    <w:rsid w:val="09171E60"/>
    <w:rsid w:val="09312325"/>
    <w:rsid w:val="0BE23CE5"/>
    <w:rsid w:val="0D530553"/>
    <w:rsid w:val="0F493C28"/>
    <w:rsid w:val="10FF1595"/>
    <w:rsid w:val="1220043A"/>
    <w:rsid w:val="15076089"/>
    <w:rsid w:val="173E1C2D"/>
    <w:rsid w:val="17AF3738"/>
    <w:rsid w:val="18101B13"/>
    <w:rsid w:val="1AE37DD8"/>
    <w:rsid w:val="1D1456FD"/>
    <w:rsid w:val="203B5D22"/>
    <w:rsid w:val="217156E7"/>
    <w:rsid w:val="23E22B19"/>
    <w:rsid w:val="26AE0C96"/>
    <w:rsid w:val="288E7982"/>
    <w:rsid w:val="28FD1BAE"/>
    <w:rsid w:val="2BB80B2B"/>
    <w:rsid w:val="2CE10B0B"/>
    <w:rsid w:val="2F0B1F33"/>
    <w:rsid w:val="33B86748"/>
    <w:rsid w:val="35555B84"/>
    <w:rsid w:val="355D57EF"/>
    <w:rsid w:val="355D77EB"/>
    <w:rsid w:val="35731DF9"/>
    <w:rsid w:val="3981372B"/>
    <w:rsid w:val="39D034D5"/>
    <w:rsid w:val="3E867954"/>
    <w:rsid w:val="3EDF7EC6"/>
    <w:rsid w:val="41E94A8D"/>
    <w:rsid w:val="420A52BF"/>
    <w:rsid w:val="42FB3768"/>
    <w:rsid w:val="46237A4B"/>
    <w:rsid w:val="475517B8"/>
    <w:rsid w:val="49AA34E0"/>
    <w:rsid w:val="4D7F4465"/>
    <w:rsid w:val="4E1D4886"/>
    <w:rsid w:val="4E2535AA"/>
    <w:rsid w:val="4E7647A0"/>
    <w:rsid w:val="4EE22E86"/>
    <w:rsid w:val="4EF13A58"/>
    <w:rsid w:val="4F3D0F11"/>
    <w:rsid w:val="56353A1E"/>
    <w:rsid w:val="590F23C1"/>
    <w:rsid w:val="5A8656E4"/>
    <w:rsid w:val="5B6049F7"/>
    <w:rsid w:val="5BAB2391"/>
    <w:rsid w:val="5D026B35"/>
    <w:rsid w:val="5D4957F3"/>
    <w:rsid w:val="5F66561A"/>
    <w:rsid w:val="624A2AAA"/>
    <w:rsid w:val="65CC7DA3"/>
    <w:rsid w:val="65FC0A89"/>
    <w:rsid w:val="66E05523"/>
    <w:rsid w:val="67AC4BE7"/>
    <w:rsid w:val="690F7C42"/>
    <w:rsid w:val="6A673252"/>
    <w:rsid w:val="6CD067AF"/>
    <w:rsid w:val="6D476083"/>
    <w:rsid w:val="6DBF0BF8"/>
    <w:rsid w:val="6E4E69BB"/>
    <w:rsid w:val="73083A80"/>
    <w:rsid w:val="746439DF"/>
    <w:rsid w:val="753C416B"/>
    <w:rsid w:val="78197D2E"/>
    <w:rsid w:val="79DD513E"/>
    <w:rsid w:val="79F0112C"/>
    <w:rsid w:val="7B504771"/>
    <w:rsid w:val="7C1B6B6A"/>
    <w:rsid w:val="7D5E5EC6"/>
    <w:rsid w:val="7DD84CF3"/>
    <w:rsid w:val="7FD96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paragraph" w:customStyle="1" w:styleId="9">
    <w:name w:val=" Char2"/>
    <w:basedOn w:val="1"/>
    <w:qFormat/>
    <w:uiPriority w:val="0"/>
    <w:rPr>
      <w:rFonts w:ascii="宋体" w:hAnsi="宋体" w:cs="Courier New"/>
      <w:sz w:val="32"/>
      <w:szCs w:val="32"/>
    </w:rPr>
  </w:style>
  <w:style w:type="paragraph" w:customStyle="1" w:styleId="10">
    <w:name w:val="正文内容"/>
    <w:basedOn w:val="1"/>
    <w:uiPriority w:val="0"/>
    <w:pPr>
      <w:spacing w:line="360" w:lineRule="auto"/>
      <w:ind w:firstLine="200" w:firstLineChars="200"/>
    </w:pPr>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190</Words>
  <Characters>1087</Characters>
  <Lines>9</Lines>
  <Paragraphs>2</Paragraphs>
  <TotalTime>2</TotalTime>
  <ScaleCrop>false</ScaleCrop>
  <LinksUpToDate>false</LinksUpToDate>
  <CharactersWithSpaces>1275</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2020-08-05T02:19:00Z</dcterms:created>
  <dc:creator>ct</dc:creator>
  <cp:lastModifiedBy>Administrator</cp:lastModifiedBy>
  <cp:lastPrinted>2021-02-26T01:48:00Z</cp:lastPrinted>
  <dcterms:modified xsi:type="dcterms:W3CDTF">2021-03-02T07:37:34Z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