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保满审环书字[202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]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08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保定市满城城东纸业有限公司技改项目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保定市满城城东纸业有限公司技改项目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所报《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保定市满城城东纸业有限公司技改项目</w:t>
      </w:r>
      <w:r>
        <w:rPr>
          <w:rFonts w:hint="eastAsia" w:ascii="仿宋_GB2312" w:hAnsi="宋体" w:eastAsia="仿宋_GB2312"/>
          <w:sz w:val="32"/>
          <w:szCs w:val="32"/>
        </w:rPr>
        <w:t>环境影响报告书》收悉。根据环境影响评价结论、专家技术评审意见，经局领导审核通过后，研究批复如下：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一、项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目位于满城县满城镇城东村东北，在现有厂区内进行技改，不新增占地。中心地理坐标为东经 115°20′51.07″，北纬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38°57′52.43″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。厂区东侧为亿佳纸业，西侧为原化肥厂（已停产多年），北侧为道路，隔路为华奥纸业和耕地，南侧为耕地。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二、本项目工程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总投资 10753.18 万元，环保投资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400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技改内容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淘汰现有2台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2400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型板纸机、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3200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型板纸机、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台卧式水力碎浆机、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台高浓碎浆机、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380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型磨浆机、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450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型磨浆机、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台离心筛；一期工程安装 2 台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3500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型高速纸机、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台碎浆机、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台磨浆机、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条复卷生产线、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台分切机、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台包装机、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套储桨塔、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套白水塔、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台多圆盘过滤器及其配套设施；二期工程安装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2850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型高速纸机、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台碎浆机、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台磨浆机、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条复卷生产线、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台分切机、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台包装机、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套储桨塔、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套白水塔、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台多圆盘过滤器及其配套设施；三期工程安装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型高速纸机、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2850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型高速纸机、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台碎浆机、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台磨浆机、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条复卷生产线、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台分切机、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台包装机、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台多圆盘过滤器及其配套设施。技改完成后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年产 4.3 万吨卫生纸。</w:t>
      </w:r>
    </w:p>
    <w:p>
      <w:pPr>
        <w:pStyle w:val="8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保定市满城城东纸业有限公司技改项目</w:t>
      </w:r>
      <w:r>
        <w:rPr>
          <w:rFonts w:hint="eastAsia" w:ascii="仿宋_GB2312" w:hAnsi="宋体" w:eastAsia="仿宋_GB2312"/>
          <w:sz w:val="32"/>
          <w:szCs w:val="32"/>
        </w:rPr>
        <w:t>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2、废气：项目生产用热采用园区集中供热。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3、废水：生产废水采用“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多圆盘过滤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+混凝气浮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生物接触氧化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工艺处理，处理规模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5000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/d。厂区排污口安装在线监测装置，满足满城区环保局《关于造纸企业技改环评有关问题的要求》（满环字【2009】58号）文要求及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保定市大册营水处理有限责任公司</w:t>
      </w:r>
      <w:r>
        <w:rPr>
          <w:rFonts w:hint="eastAsia" w:ascii="仿宋_GB2312" w:hAnsi="宋体" w:eastAsia="仿宋_GB2312"/>
          <w:sz w:val="32"/>
          <w:szCs w:val="32"/>
        </w:rPr>
        <w:t>进水水质要求。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4、噪声：采取设备基础减震、厂房隔声等措施降噪。厂界噪声执行《工业企业厂界噪声排放标准》（GB12348-2008）3类标准要求。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废铁丝外售综合利用，</w:t>
      </w:r>
      <w:r>
        <w:rPr>
          <w:rFonts w:hint="eastAsia" w:ascii="仿宋_GB2312" w:hAnsi="宋体" w:eastAsia="仿宋_GB2312"/>
          <w:sz w:val="32"/>
          <w:szCs w:val="32"/>
        </w:rPr>
        <w:t>污泥全部妥善处置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职工生活垃圾定期由环卫部门清运；COD在线监测废液危废间暂存后由有资质单位进行处置。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四、技改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/>
          <w:sz w:val="32"/>
          <w:szCs w:val="32"/>
        </w:rPr>
        <w:t>完成后全厂污染物排放总量控制指标建议值为：</w:t>
      </w:r>
      <w:r>
        <w:rPr>
          <w:rFonts w:ascii="仿宋_GB2312" w:hAnsi="宋体" w:eastAsia="仿宋_GB2312"/>
          <w:sz w:val="32"/>
          <w:szCs w:val="32"/>
        </w:rPr>
        <w:t>COD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29.772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656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 xml:space="preserve">、总氮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1.185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061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  <w:rPr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宋体" w:eastAsia="仿宋_GB2312"/>
          <w:sz w:val="30"/>
          <w:szCs w:val="30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5D4108A"/>
    <w:rsid w:val="07263CCE"/>
    <w:rsid w:val="07A1353C"/>
    <w:rsid w:val="07B176A4"/>
    <w:rsid w:val="0AEB5425"/>
    <w:rsid w:val="0B3511A1"/>
    <w:rsid w:val="0B481D63"/>
    <w:rsid w:val="0C16593E"/>
    <w:rsid w:val="0C97755A"/>
    <w:rsid w:val="0E583979"/>
    <w:rsid w:val="108F528A"/>
    <w:rsid w:val="10EA255E"/>
    <w:rsid w:val="1185303E"/>
    <w:rsid w:val="127D3D10"/>
    <w:rsid w:val="14C834A8"/>
    <w:rsid w:val="161A65EC"/>
    <w:rsid w:val="17B66943"/>
    <w:rsid w:val="180A1BA7"/>
    <w:rsid w:val="18233BF1"/>
    <w:rsid w:val="183B43B6"/>
    <w:rsid w:val="186B2112"/>
    <w:rsid w:val="1AF02223"/>
    <w:rsid w:val="1C756F99"/>
    <w:rsid w:val="1ED93CC0"/>
    <w:rsid w:val="1F0358F0"/>
    <w:rsid w:val="1F65395D"/>
    <w:rsid w:val="203A4448"/>
    <w:rsid w:val="21C43240"/>
    <w:rsid w:val="226763F9"/>
    <w:rsid w:val="227109E5"/>
    <w:rsid w:val="22944E71"/>
    <w:rsid w:val="232D3BA0"/>
    <w:rsid w:val="254210F2"/>
    <w:rsid w:val="26D409E8"/>
    <w:rsid w:val="26E70D8B"/>
    <w:rsid w:val="277C5613"/>
    <w:rsid w:val="277D747A"/>
    <w:rsid w:val="279C3337"/>
    <w:rsid w:val="27C35008"/>
    <w:rsid w:val="27D93A9E"/>
    <w:rsid w:val="28722AD3"/>
    <w:rsid w:val="29095DC5"/>
    <w:rsid w:val="29A34BAE"/>
    <w:rsid w:val="2A09078E"/>
    <w:rsid w:val="2B4F2732"/>
    <w:rsid w:val="2C0E4CD2"/>
    <w:rsid w:val="2D5354E7"/>
    <w:rsid w:val="2F5514CF"/>
    <w:rsid w:val="2FEC5E04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A597C27"/>
    <w:rsid w:val="3CDB5ACB"/>
    <w:rsid w:val="3D165032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2D741B8"/>
    <w:rsid w:val="43EC15C0"/>
    <w:rsid w:val="44E1667F"/>
    <w:rsid w:val="46E432E1"/>
    <w:rsid w:val="46EE4140"/>
    <w:rsid w:val="47542DA3"/>
    <w:rsid w:val="47D40710"/>
    <w:rsid w:val="4CA57439"/>
    <w:rsid w:val="4ED67FAA"/>
    <w:rsid w:val="4FEE733A"/>
    <w:rsid w:val="50462D53"/>
    <w:rsid w:val="513F288E"/>
    <w:rsid w:val="52E82BD1"/>
    <w:rsid w:val="54F71E77"/>
    <w:rsid w:val="55097EE5"/>
    <w:rsid w:val="56371692"/>
    <w:rsid w:val="58D1380D"/>
    <w:rsid w:val="59830D92"/>
    <w:rsid w:val="59F30509"/>
    <w:rsid w:val="5B5A72FA"/>
    <w:rsid w:val="5C201F92"/>
    <w:rsid w:val="5D926314"/>
    <w:rsid w:val="5DE679D8"/>
    <w:rsid w:val="5E7D2A6E"/>
    <w:rsid w:val="5EE34728"/>
    <w:rsid w:val="5FD04FB0"/>
    <w:rsid w:val="6084659E"/>
    <w:rsid w:val="6096628C"/>
    <w:rsid w:val="60B24EE3"/>
    <w:rsid w:val="60C278BB"/>
    <w:rsid w:val="619E2003"/>
    <w:rsid w:val="632C4F41"/>
    <w:rsid w:val="6433723C"/>
    <w:rsid w:val="64697016"/>
    <w:rsid w:val="66386A58"/>
    <w:rsid w:val="66771863"/>
    <w:rsid w:val="66BF32DB"/>
    <w:rsid w:val="6AEA42FE"/>
    <w:rsid w:val="6AF718A1"/>
    <w:rsid w:val="6BA37A4C"/>
    <w:rsid w:val="6BDC272A"/>
    <w:rsid w:val="6C2F044B"/>
    <w:rsid w:val="6CCB6199"/>
    <w:rsid w:val="6CEE121D"/>
    <w:rsid w:val="6DE626F6"/>
    <w:rsid w:val="6EAE4423"/>
    <w:rsid w:val="6FD74B0A"/>
    <w:rsid w:val="71BD20E5"/>
    <w:rsid w:val="72AD6AD3"/>
    <w:rsid w:val="72CD3840"/>
    <w:rsid w:val="746A461D"/>
    <w:rsid w:val="74CE0E17"/>
    <w:rsid w:val="75A5459B"/>
    <w:rsid w:val="76F81250"/>
    <w:rsid w:val="77006CA8"/>
    <w:rsid w:val="784B5AAC"/>
    <w:rsid w:val="79324EE8"/>
    <w:rsid w:val="79903EE4"/>
    <w:rsid w:val="7A082DE7"/>
    <w:rsid w:val="7A2D0DD9"/>
    <w:rsid w:val="7A326D66"/>
    <w:rsid w:val="7B853534"/>
    <w:rsid w:val="7B8F2ABE"/>
    <w:rsid w:val="7BAE239B"/>
    <w:rsid w:val="7BF2554E"/>
    <w:rsid w:val="7C5A2390"/>
    <w:rsid w:val="7D296912"/>
    <w:rsid w:val="7D674BB2"/>
    <w:rsid w:val="7DA70F73"/>
    <w:rsid w:val="7E6B77CF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1</TotalTime>
  <ScaleCrop>false</ScaleCrop>
  <LinksUpToDate>false</LinksUpToDate>
  <CharactersWithSpaces>1203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Administrator</cp:lastModifiedBy>
  <cp:lastPrinted>2021-05-08T01:31:00Z</cp:lastPrinted>
  <dcterms:modified xsi:type="dcterms:W3CDTF">2021-07-29T07:33:15Z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