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4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lang w:eastAsia="zh-CN"/>
              </w:rPr>
              <w:t>〕</w:t>
            </w:r>
            <w:r>
              <w:rPr>
                <w:rFonts w:hint="eastAsia" w:ascii="宋体" w:hAnsi="宋体"/>
                <w:kern w:val="0"/>
                <w:sz w:val="28"/>
                <w:szCs w:val="28"/>
                <w:lang w:val="en-US" w:eastAsia="zh-CN"/>
              </w:rPr>
              <w:t>38</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所报《</w:t>
            </w:r>
            <w:r>
              <w:rPr>
                <w:rFonts w:hint="eastAsia" w:ascii="宋体" w:hAnsi="宋体" w:eastAsia="宋体" w:cs="宋体"/>
                <w:color w:val="000000"/>
                <w:kern w:val="0"/>
                <w:sz w:val="28"/>
                <w:szCs w:val="28"/>
                <w:lang w:val="en-US" w:eastAsia="zh-CN" w:bidi="ar"/>
              </w:rPr>
              <w:t>保定市满城区</w:t>
            </w:r>
            <w:bookmarkStart w:id="0" w:name="_GoBack"/>
            <w:r>
              <w:rPr>
                <w:rFonts w:hint="eastAsia" w:ascii="宋体" w:hAnsi="宋体" w:eastAsia="宋体" w:cs="宋体"/>
                <w:color w:val="000000"/>
                <w:kern w:val="0"/>
                <w:sz w:val="28"/>
                <w:szCs w:val="28"/>
                <w:lang w:val="en-US" w:eastAsia="zh-CN" w:bidi="ar"/>
              </w:rPr>
              <w:t>金源</w:t>
            </w:r>
            <w:bookmarkEnd w:id="0"/>
            <w:r>
              <w:rPr>
                <w:rFonts w:hint="eastAsia" w:ascii="宋体" w:hAnsi="宋体" w:eastAsia="宋体" w:cs="宋体"/>
                <w:color w:val="000000"/>
                <w:kern w:val="0"/>
                <w:sz w:val="28"/>
                <w:szCs w:val="28"/>
                <w:lang w:val="en-US" w:eastAsia="zh-CN" w:bidi="ar"/>
              </w:rPr>
              <w:t>砖厂扩建项目</w:t>
            </w:r>
            <w:r>
              <w:rPr>
                <w:rFonts w:hint="eastAsia" w:ascii="宋体" w:hAnsi="宋体" w:eastAsia="宋体" w:cs="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一、项目位于保定市</w:t>
            </w:r>
            <w:r>
              <w:rPr>
                <w:rFonts w:hint="eastAsia" w:ascii="宋体" w:hAnsi="宋体" w:eastAsia="宋体" w:cs="宋体"/>
                <w:color w:val="000000"/>
                <w:kern w:val="0"/>
                <w:sz w:val="28"/>
                <w:szCs w:val="28"/>
                <w:lang w:val="en-US" w:eastAsia="zh-CN" w:bidi="ar"/>
              </w:rPr>
              <w:t>满城区石井乡东于河村</w:t>
            </w:r>
            <w:r>
              <w:rPr>
                <w:rFonts w:hint="eastAsia" w:ascii="宋体" w:hAnsi="宋体" w:eastAsia="宋体" w:cs="宋体"/>
                <w:kern w:val="0"/>
                <w:sz w:val="28"/>
                <w:szCs w:val="28"/>
                <w:lang w:val="en-US" w:eastAsia="zh-CN"/>
              </w:rPr>
              <w:t>现有厂区</w:t>
            </w:r>
            <w:r>
              <w:rPr>
                <w:rFonts w:hint="eastAsia" w:ascii="宋体" w:hAnsi="宋体" w:cs="宋体"/>
                <w:kern w:val="0"/>
                <w:sz w:val="28"/>
                <w:szCs w:val="28"/>
                <w:lang w:val="en-US" w:eastAsia="zh-CN"/>
              </w:rPr>
              <w:t>内</w:t>
            </w:r>
            <w:r>
              <w:rPr>
                <w:rFonts w:hint="eastAsia" w:ascii="宋体" w:hAnsi="宋体" w:eastAsia="宋体" w:cs="宋体"/>
                <w:kern w:val="0"/>
                <w:sz w:val="28"/>
                <w:szCs w:val="28"/>
                <w:lang w:val="en-US" w:eastAsia="zh-CN"/>
              </w:rPr>
              <w:t>，不新增占地，厂区中心地理坐标为：东经 115°14'16.638"，北纬38°57'21.222"。</w:t>
            </w:r>
            <w:r>
              <w:rPr>
                <w:rFonts w:hint="eastAsia" w:ascii="宋体" w:hAnsi="宋体" w:eastAsia="宋体" w:cs="宋体"/>
                <w:color w:val="000000"/>
                <w:kern w:val="0"/>
                <w:sz w:val="28"/>
                <w:szCs w:val="28"/>
                <w:lang w:val="en-US" w:eastAsia="zh-CN" w:bidi="ar"/>
              </w:rPr>
              <w:t>厂区北侧为面粉厂，东北侧为养鸡场，东南侧隔村路为金路水泥厂，西侧为树林，南侧为建材厂。</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二、</w:t>
            </w:r>
            <w:r>
              <w:rPr>
                <w:rFonts w:hint="eastAsia" w:ascii="宋体" w:hAnsi="宋体" w:cs="宋体"/>
                <w:kern w:val="0"/>
                <w:sz w:val="28"/>
                <w:szCs w:val="28"/>
                <w:lang w:val="en-US" w:eastAsia="zh-CN"/>
              </w:rPr>
              <w:t>本</w:t>
            </w:r>
            <w:r>
              <w:rPr>
                <w:rFonts w:hint="eastAsia" w:ascii="宋体" w:hAnsi="宋体" w:eastAsia="宋体" w:cs="宋体"/>
                <w:kern w:val="0"/>
                <w:sz w:val="28"/>
                <w:szCs w:val="28"/>
                <w:lang w:val="en-US" w:eastAsia="zh-CN"/>
              </w:rPr>
              <w:t>项目总投资300万元，其中环保投资8万元。</w:t>
            </w:r>
            <w:r>
              <w:rPr>
                <w:rFonts w:hint="eastAsia" w:ascii="宋体" w:hAnsi="宋体" w:eastAsia="宋体" w:cs="宋体"/>
                <w:color w:val="000000"/>
                <w:kern w:val="0"/>
                <w:sz w:val="28"/>
                <w:szCs w:val="28"/>
                <w:lang w:val="en-US" w:eastAsia="zh-CN" w:bidi="ar"/>
              </w:rPr>
              <w:t>对现有厂房进行改造，</w:t>
            </w:r>
            <w:r>
              <w:rPr>
                <w:rFonts w:hint="eastAsia" w:ascii="宋体" w:hAnsi="宋体" w:cs="宋体"/>
                <w:color w:val="000000"/>
                <w:kern w:val="0"/>
                <w:sz w:val="28"/>
                <w:szCs w:val="28"/>
                <w:lang w:val="en-US" w:eastAsia="zh-CN" w:bidi="ar"/>
              </w:rPr>
              <w:t>新</w:t>
            </w:r>
            <w:r>
              <w:rPr>
                <w:rFonts w:hint="eastAsia" w:ascii="宋体" w:hAnsi="宋体" w:eastAsia="宋体" w:cs="宋体"/>
                <w:color w:val="000000"/>
                <w:kern w:val="0"/>
                <w:sz w:val="28"/>
                <w:szCs w:val="28"/>
                <w:lang w:val="en-US" w:eastAsia="zh-CN" w:bidi="ar"/>
              </w:rPr>
              <w:t>安装再生骨料碎石生产线1条</w:t>
            </w:r>
            <w:r>
              <w:rPr>
                <w:rFonts w:hint="eastAsia" w:ascii="宋体" w:hAnsi="宋体" w:cs="宋体"/>
                <w:color w:val="000000"/>
                <w:kern w:val="0"/>
                <w:sz w:val="28"/>
                <w:szCs w:val="28"/>
                <w:lang w:val="en-US" w:eastAsia="zh-CN" w:bidi="ar"/>
              </w:rPr>
              <w:t>，主要生产设备包括：颚式破碎机1台、粉碎机1台、</w:t>
            </w:r>
            <w:r>
              <w:rPr>
                <w:rFonts w:hint="eastAsia" w:ascii="宋体" w:hAnsi="宋体" w:eastAsia="宋体" w:cs="宋体"/>
                <w:color w:val="000000"/>
                <w:kern w:val="0"/>
                <w:sz w:val="28"/>
                <w:szCs w:val="28"/>
                <w:lang w:val="en-US" w:eastAsia="zh-CN" w:bidi="ar"/>
              </w:rPr>
              <w:t>分选筛4台</w:t>
            </w:r>
            <w:r>
              <w:rPr>
                <w:rFonts w:hint="eastAsia" w:ascii="宋体" w:hAnsi="宋体" w:cs="宋体"/>
                <w:color w:val="000000"/>
                <w:kern w:val="0"/>
                <w:sz w:val="28"/>
                <w:szCs w:val="28"/>
                <w:lang w:val="en-US" w:eastAsia="zh-CN" w:bidi="ar"/>
              </w:rPr>
              <w:t>、制砂机1台等</w:t>
            </w:r>
            <w:r>
              <w:rPr>
                <w:rFonts w:hint="eastAsia" w:ascii="宋体" w:hAnsi="宋体" w:eastAsia="宋体" w:cs="宋体"/>
                <w:color w:val="000000"/>
                <w:kern w:val="0"/>
                <w:sz w:val="28"/>
                <w:szCs w:val="28"/>
                <w:lang w:val="en-US" w:eastAsia="zh-CN" w:bidi="ar"/>
              </w:rPr>
              <w:t>。扩建完成后年产混凝土实心标准砖6000万块，</w:t>
            </w:r>
            <w:r>
              <w:rPr>
                <w:rFonts w:hint="eastAsia" w:ascii="宋体" w:hAnsi="宋体" w:cs="宋体"/>
                <w:color w:val="000000"/>
                <w:kern w:val="0"/>
                <w:sz w:val="28"/>
                <w:szCs w:val="28"/>
                <w:lang w:val="en-US" w:eastAsia="zh-CN" w:bidi="ar"/>
              </w:rPr>
              <w:t>年处理建筑废弃物100万吨，</w:t>
            </w:r>
            <w:r>
              <w:rPr>
                <w:rFonts w:hint="eastAsia" w:ascii="宋体" w:hAnsi="宋体" w:eastAsia="宋体" w:cs="宋体"/>
                <w:color w:val="000000"/>
                <w:kern w:val="0"/>
                <w:sz w:val="28"/>
                <w:szCs w:val="28"/>
                <w:lang w:val="en-US" w:eastAsia="zh-CN" w:bidi="ar"/>
              </w:rPr>
              <w:t xml:space="preserve">年产各种骨料40万吨，机制砂60万吨。 </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w:t>
            </w:r>
            <w:r>
              <w:rPr>
                <w:rFonts w:hint="eastAsia" w:ascii="宋体" w:hAnsi="宋体" w:eastAsia="宋体" w:cs="宋体"/>
                <w:kern w:val="0"/>
                <w:sz w:val="28"/>
                <w:szCs w:val="28"/>
              </w:rPr>
              <w:t>防治措施，确保污染物稳定达标排放。</w:t>
            </w:r>
          </w:p>
          <w:p>
            <w:pPr>
              <w:pStyle w:val="11"/>
              <w:keepNext w:val="0"/>
              <w:keepLines w:val="0"/>
              <w:pageBreakBefore w:val="0"/>
              <w:widowControl w:val="0"/>
              <w:kinsoku/>
              <w:wordWrap/>
              <w:overflowPunct/>
              <w:topLinePunct w:val="0"/>
              <w:autoSpaceDE/>
              <w:autoSpaceDN/>
              <w:bidi w:val="0"/>
              <w:adjustRightInd/>
              <w:snapToGrid/>
              <w:spacing w:line="640" w:lineRule="exact"/>
              <w:ind w:firstLine="560"/>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default" w:ascii="宋体" w:hAnsi="宋体" w:eastAsia="宋体" w:cs="Times New Roman"/>
                <w:kern w:val="2"/>
                <w:sz w:val="28"/>
                <w:szCs w:val="28"/>
                <w:lang w:val="en-US" w:eastAsia="zh-CN" w:bidi="ar-SA"/>
              </w:rPr>
            </w:pPr>
            <w:r>
              <w:rPr>
                <w:rFonts w:hint="eastAsia" w:ascii="宋体" w:hAnsi="宋体"/>
                <w:sz w:val="28"/>
                <w:szCs w:val="28"/>
                <w:highlight w:val="none"/>
                <w:lang w:val="en-US" w:eastAsia="zh-CN"/>
              </w:rPr>
              <w:t xml:space="preserve">鄂破、分选筛、粉碎、制砂工序、收料仓与现有工程配料、搅拌工序废气共用 1 套脉冲布袋除尘器（现有）处理后，再经 </w:t>
            </w:r>
            <w:r>
              <w:rPr>
                <w:rFonts w:hint="default" w:ascii="宋体" w:hAnsi="宋体"/>
                <w:sz w:val="28"/>
                <w:szCs w:val="28"/>
                <w:highlight w:val="none"/>
                <w:lang w:val="en-US" w:eastAsia="zh-CN"/>
              </w:rPr>
              <w:t xml:space="preserve">1 </w:t>
            </w:r>
            <w:r>
              <w:rPr>
                <w:rFonts w:hint="eastAsia" w:ascii="宋体" w:hAnsi="宋体"/>
                <w:sz w:val="28"/>
                <w:szCs w:val="28"/>
                <w:highlight w:val="none"/>
                <w:lang w:val="en-US" w:eastAsia="zh-CN"/>
              </w:rPr>
              <w:t>套脉冲布袋除尘器处理，经现有</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排气筒排放。有组织颗粒物执行《水泥工业大气污染物超低排放标准》（DB13/2167-</w:t>
            </w:r>
            <w:r>
              <w:rPr>
                <w:rFonts w:hint="default" w:ascii="宋体" w:hAnsi="宋体"/>
                <w:sz w:val="28"/>
                <w:szCs w:val="28"/>
                <w:highlight w:val="none"/>
                <w:lang w:val="en-US" w:eastAsia="zh-CN"/>
              </w:rPr>
              <w:t>2020</w:t>
            </w:r>
            <w:r>
              <w:rPr>
                <w:rFonts w:hint="eastAsia" w:ascii="宋体" w:hAnsi="宋体"/>
                <w:sz w:val="28"/>
                <w:szCs w:val="28"/>
                <w:highlight w:val="none"/>
                <w:lang w:val="en-US" w:eastAsia="zh-CN"/>
              </w:rPr>
              <w:t xml:space="preserve">）表 </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标准。</w:t>
            </w:r>
            <w:r>
              <w:rPr>
                <w:rFonts w:hint="eastAsia" w:ascii="宋体" w:hAnsi="宋体" w:eastAsia="宋体" w:cs="宋体"/>
                <w:kern w:val="0"/>
                <w:sz w:val="28"/>
                <w:szCs w:val="28"/>
                <w:lang w:val="en-US" w:eastAsia="zh-CN"/>
              </w:rPr>
              <w:t>车间、库房密闭、传送带密闭、地面硬化、车间、库房顶部设置喷淋装置等措施</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w:t>
            </w:r>
            <w:r>
              <w:rPr>
                <w:rFonts w:hint="eastAsia" w:ascii="宋体" w:hAnsi="宋体"/>
                <w:sz w:val="28"/>
                <w:szCs w:val="28"/>
                <w:highlight w:val="none"/>
                <w:lang w:val="en-US" w:eastAsia="zh-CN"/>
              </w:rPr>
              <w:t>气污染物排放标准》（DB13/2167-2015）表2大气污染物无组织排放限值。</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车辆冲洗废水经过沉淀处理后循环</w:t>
            </w:r>
            <w:r>
              <w:rPr>
                <w:rFonts w:hint="eastAsia" w:ascii="宋体" w:hAnsi="宋体" w:eastAsia="宋体" w:cs="Times New Roman"/>
                <w:sz w:val="28"/>
                <w:szCs w:val="28"/>
                <w:lang w:val="en-US" w:eastAsia="zh-CN"/>
              </w:rPr>
              <w:t>使用，生活污水排入防渗旱厕，定期清掏作农肥。</w:t>
            </w:r>
          </w:p>
          <w:p>
            <w:pPr>
              <w:pStyle w:val="11"/>
              <w:keepNext w:val="0"/>
              <w:keepLines w:val="0"/>
              <w:pageBreakBefore w:val="0"/>
              <w:widowControl w:val="0"/>
              <w:kinsoku/>
              <w:wordWrap/>
              <w:overflowPunct/>
              <w:topLinePunct w:val="0"/>
              <w:autoSpaceDE/>
              <w:autoSpaceDN/>
              <w:bidi w:val="0"/>
              <w:adjustRightInd/>
              <w:snapToGrid/>
              <w:spacing w:line="64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64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right="50" w:rightChars="24" w:firstLine="560" w:firstLineChars="200"/>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（四）固体废物</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560" w:firstLineChars="200"/>
              <w:jc w:val="left"/>
              <w:textAlignment w:val="auto"/>
              <w:rPr>
                <w:rFonts w:hint="eastAsia" w:ascii="宋体" w:hAnsi="宋体"/>
                <w:color w:val="000000"/>
                <w:sz w:val="28"/>
                <w:szCs w:val="28"/>
                <w:lang w:val="en-US" w:eastAsia="zh-CN"/>
              </w:rPr>
            </w:pPr>
            <w:r>
              <w:rPr>
                <w:rFonts w:hint="eastAsia" w:ascii="宋体" w:hAnsi="宋体" w:eastAsia="宋体" w:cs="Times New Roman"/>
                <w:kern w:val="2"/>
                <w:sz w:val="28"/>
                <w:szCs w:val="28"/>
                <w:lang w:val="en-US" w:eastAsia="zh-CN" w:bidi="ar-SA"/>
              </w:rPr>
              <w:t>除</w:t>
            </w:r>
            <w:r>
              <w:rPr>
                <w:rFonts w:hint="eastAsia" w:ascii="宋体" w:hAnsi="宋体"/>
                <w:color w:val="000000"/>
                <w:sz w:val="28"/>
                <w:szCs w:val="28"/>
                <w:lang w:val="en-US" w:eastAsia="zh-CN"/>
              </w:rPr>
              <w:t>尘器除尘灰收集后回用于生产，沉淀池泥土压滤后外售作建材，生活垃圾定期清运至环卫部门指定地点。</w:t>
            </w:r>
          </w:p>
          <w:p>
            <w:pPr>
              <w:pStyle w:val="11"/>
              <w:keepNext w:val="0"/>
              <w:keepLines w:val="0"/>
              <w:pageBreakBefore w:val="0"/>
              <w:widowControl w:val="0"/>
              <w:kinsoku/>
              <w:wordWrap/>
              <w:overflowPunct/>
              <w:topLinePunct w:val="0"/>
              <w:autoSpaceDE/>
              <w:autoSpaceDN/>
              <w:bidi w:val="0"/>
              <w:adjustRightInd/>
              <w:snapToGrid/>
              <w:spacing w:line="640" w:lineRule="exact"/>
              <w:ind w:right="50" w:rightChars="24"/>
              <w:textAlignment w:val="auto"/>
              <w:outlineLvl w:val="9"/>
              <w:rPr>
                <w:rFonts w:hint="eastAsia" w:ascii="宋体" w:hAnsi="宋体"/>
                <w:kern w:val="0"/>
                <w:sz w:val="28"/>
                <w:szCs w:val="28"/>
              </w:rPr>
            </w:pPr>
            <w:r>
              <w:rPr>
                <w:rFonts w:hint="eastAsia" w:ascii="宋体" w:hAnsi="宋体"/>
                <w:color w:val="000000"/>
                <w:sz w:val="28"/>
                <w:szCs w:val="28"/>
                <w:lang w:val="en-US" w:eastAsia="zh-CN"/>
              </w:rPr>
              <w:t>四、</w:t>
            </w: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w:t>
            </w:r>
            <w:r>
              <w:rPr>
                <w:rFonts w:hint="eastAsia" w:ascii="宋体" w:hAnsi="宋体"/>
                <w:kern w:val="0"/>
                <w:sz w:val="28"/>
                <w:szCs w:val="28"/>
                <w:lang w:val="en-US" w:eastAsia="zh-CN"/>
              </w:rPr>
              <w:t>：COD：</w:t>
            </w:r>
            <w:r>
              <w:rPr>
                <w:rFonts w:hint="default" w:ascii="宋体" w:hAnsi="宋体"/>
                <w:kern w:val="0"/>
                <w:sz w:val="28"/>
                <w:szCs w:val="28"/>
                <w:lang w:val="en-US" w:eastAsia="zh-CN"/>
              </w:rPr>
              <w:t>0t/a</w:t>
            </w:r>
            <w:r>
              <w:rPr>
                <w:rFonts w:hint="eastAsia" w:ascii="宋体" w:hAnsi="宋体"/>
                <w:kern w:val="0"/>
                <w:sz w:val="28"/>
                <w:szCs w:val="28"/>
                <w:lang w:val="en-US" w:eastAsia="zh-CN"/>
              </w:rPr>
              <w:t>、氨氮：</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TP</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TN</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SO</w:t>
            </w:r>
            <w:r>
              <w:rPr>
                <w:rFonts w:hint="default" w:ascii="宋体" w:hAnsi="宋体"/>
                <w:kern w:val="0"/>
                <w:sz w:val="28"/>
                <w:szCs w:val="28"/>
                <w:vertAlign w:val="subscript"/>
                <w:lang w:val="en-US" w:eastAsia="zh-CN"/>
              </w:rPr>
              <w:t>2</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w:t>
            </w:r>
            <w:r>
              <w:rPr>
                <w:rFonts w:hint="default" w:ascii="宋体" w:hAnsi="宋体"/>
                <w:kern w:val="0"/>
                <w:sz w:val="28"/>
                <w:szCs w:val="28"/>
                <w:lang w:val="en-US" w:eastAsia="zh-CN"/>
              </w:rPr>
              <w:t>NOx</w:t>
            </w:r>
            <w:r>
              <w:rPr>
                <w:rFonts w:hint="eastAsia" w:ascii="宋体" w:hAnsi="宋体"/>
                <w:kern w:val="0"/>
                <w:sz w:val="28"/>
                <w:szCs w:val="28"/>
                <w:lang w:val="en-US" w:eastAsia="zh-CN"/>
              </w:rPr>
              <w:t>：</w:t>
            </w:r>
            <w:r>
              <w:rPr>
                <w:rFonts w:hint="default" w:ascii="宋体" w:hAnsi="宋体"/>
                <w:kern w:val="0"/>
                <w:sz w:val="28"/>
                <w:szCs w:val="28"/>
                <w:lang w:val="en-US" w:eastAsia="zh-CN"/>
              </w:rPr>
              <w:t>0t/a</w:t>
            </w:r>
            <w:r>
              <w:rPr>
                <w:rFonts w:hint="eastAsia" w:ascii="宋体" w:hAnsi="宋体"/>
                <w:kern w:val="0"/>
                <w:sz w:val="28"/>
                <w:szCs w:val="28"/>
                <w:lang w:val="en-US" w:eastAsia="zh-CN"/>
              </w:rPr>
              <w:t>、颗粒物：</w:t>
            </w:r>
            <w:r>
              <w:rPr>
                <w:rFonts w:hint="default" w:ascii="宋体" w:hAnsi="宋体"/>
                <w:kern w:val="0"/>
                <w:sz w:val="28"/>
                <w:szCs w:val="28"/>
                <w:lang w:val="en-US" w:eastAsia="zh-CN"/>
              </w:rPr>
              <w:t>0.524t/a</w:t>
            </w:r>
            <w:r>
              <w:rPr>
                <w:rFonts w:hint="eastAsia" w:ascii="宋体" w:hAnsi="宋体"/>
                <w:kern w:val="0"/>
                <w:sz w:val="28"/>
                <w:szCs w:val="28"/>
                <w:lang w:val="en-US" w:eastAsia="zh-CN"/>
              </w:rPr>
              <w:t>、</w:t>
            </w:r>
            <w:r>
              <w:rPr>
                <w:rFonts w:hint="default" w:ascii="宋体" w:hAnsi="宋体"/>
                <w:kern w:val="0"/>
                <w:sz w:val="28"/>
                <w:szCs w:val="28"/>
                <w:lang w:val="en-US" w:eastAsia="zh-CN"/>
              </w:rPr>
              <w:t>VOCs</w:t>
            </w:r>
            <w:r>
              <w:rPr>
                <w:rFonts w:hint="eastAsia" w:ascii="宋体" w:hAnsi="宋体"/>
                <w:kern w:val="0"/>
                <w:sz w:val="28"/>
                <w:szCs w:val="28"/>
                <w:lang w:val="en-US" w:eastAsia="zh-CN"/>
              </w:rPr>
              <w:t>：</w:t>
            </w:r>
            <w:r>
              <w:rPr>
                <w:rFonts w:hint="default" w:ascii="宋体" w:hAnsi="宋体"/>
                <w:kern w:val="0"/>
                <w:sz w:val="28"/>
                <w:szCs w:val="28"/>
                <w:lang w:val="en-US" w:eastAsia="zh-CN"/>
              </w:rPr>
              <w:t>0t/a</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9</w:t>
            </w:r>
            <w:r>
              <w:rPr>
                <w:rFonts w:hint="eastAsia" w:ascii="宋体" w:hAnsi="宋体"/>
                <w:kern w:val="0"/>
                <w:sz w:val="28"/>
                <w:szCs w:val="28"/>
              </w:rPr>
              <w:t>月</w:t>
            </w:r>
            <w:r>
              <w:rPr>
                <w:rFonts w:hint="eastAsia" w:ascii="宋体" w:hAnsi="宋体"/>
                <w:kern w:val="0"/>
                <w:sz w:val="28"/>
                <w:szCs w:val="28"/>
                <w:lang w:val="en-US" w:eastAsia="zh-CN"/>
              </w:rPr>
              <w:t>15</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5CD35C3"/>
    <w:rsid w:val="05DD3674"/>
    <w:rsid w:val="064755A9"/>
    <w:rsid w:val="07277E8C"/>
    <w:rsid w:val="079E4B0C"/>
    <w:rsid w:val="07B578BD"/>
    <w:rsid w:val="08D2625A"/>
    <w:rsid w:val="09171E60"/>
    <w:rsid w:val="09312325"/>
    <w:rsid w:val="09393856"/>
    <w:rsid w:val="0A585B90"/>
    <w:rsid w:val="0BE23CE5"/>
    <w:rsid w:val="0BFF5543"/>
    <w:rsid w:val="0D2D19A9"/>
    <w:rsid w:val="0D530553"/>
    <w:rsid w:val="0EB254AE"/>
    <w:rsid w:val="0F493C28"/>
    <w:rsid w:val="10FF1595"/>
    <w:rsid w:val="1220043A"/>
    <w:rsid w:val="15745E01"/>
    <w:rsid w:val="162036E8"/>
    <w:rsid w:val="164718B1"/>
    <w:rsid w:val="171B12C5"/>
    <w:rsid w:val="173E1C2D"/>
    <w:rsid w:val="17AF3738"/>
    <w:rsid w:val="18101B13"/>
    <w:rsid w:val="18D34288"/>
    <w:rsid w:val="199E7D8D"/>
    <w:rsid w:val="1A194C1F"/>
    <w:rsid w:val="1AE37DD8"/>
    <w:rsid w:val="1D1456FD"/>
    <w:rsid w:val="1D2026CE"/>
    <w:rsid w:val="1EF71464"/>
    <w:rsid w:val="1F282E0F"/>
    <w:rsid w:val="1FCE2269"/>
    <w:rsid w:val="203B5D22"/>
    <w:rsid w:val="215B63C6"/>
    <w:rsid w:val="217156E7"/>
    <w:rsid w:val="228B1BFE"/>
    <w:rsid w:val="23CE7909"/>
    <w:rsid w:val="23E22B19"/>
    <w:rsid w:val="25011734"/>
    <w:rsid w:val="25CB10CE"/>
    <w:rsid w:val="26AE0C96"/>
    <w:rsid w:val="26BE58FB"/>
    <w:rsid w:val="285C61AB"/>
    <w:rsid w:val="28FD1BAE"/>
    <w:rsid w:val="2A4D5108"/>
    <w:rsid w:val="2B4E3550"/>
    <w:rsid w:val="2BB80B2B"/>
    <w:rsid w:val="2E751948"/>
    <w:rsid w:val="2F0B1F33"/>
    <w:rsid w:val="313606E4"/>
    <w:rsid w:val="32073057"/>
    <w:rsid w:val="33B86748"/>
    <w:rsid w:val="34E77D57"/>
    <w:rsid w:val="35555B84"/>
    <w:rsid w:val="355D57EF"/>
    <w:rsid w:val="355D77EB"/>
    <w:rsid w:val="364A07EA"/>
    <w:rsid w:val="38200D7C"/>
    <w:rsid w:val="386913D5"/>
    <w:rsid w:val="3981372B"/>
    <w:rsid w:val="39D034D5"/>
    <w:rsid w:val="3B54796E"/>
    <w:rsid w:val="3B635957"/>
    <w:rsid w:val="3D663531"/>
    <w:rsid w:val="3E0569D1"/>
    <w:rsid w:val="3E467E55"/>
    <w:rsid w:val="3EC86E0F"/>
    <w:rsid w:val="3EDF7EC6"/>
    <w:rsid w:val="3F464F1C"/>
    <w:rsid w:val="40AA1590"/>
    <w:rsid w:val="41046B0A"/>
    <w:rsid w:val="43347A2D"/>
    <w:rsid w:val="44702EA4"/>
    <w:rsid w:val="46237A4B"/>
    <w:rsid w:val="475517B8"/>
    <w:rsid w:val="479433B0"/>
    <w:rsid w:val="47AC4903"/>
    <w:rsid w:val="484F3305"/>
    <w:rsid w:val="49AA34E0"/>
    <w:rsid w:val="4C2C04C3"/>
    <w:rsid w:val="4D7F4465"/>
    <w:rsid w:val="4DBF2EA0"/>
    <w:rsid w:val="4E2535AA"/>
    <w:rsid w:val="4E754CF3"/>
    <w:rsid w:val="4E7647A0"/>
    <w:rsid w:val="4EE22E86"/>
    <w:rsid w:val="4EEB4AE6"/>
    <w:rsid w:val="4EF13A58"/>
    <w:rsid w:val="4F3D0F11"/>
    <w:rsid w:val="4FCF5235"/>
    <w:rsid w:val="50A04B03"/>
    <w:rsid w:val="51CB06E0"/>
    <w:rsid w:val="51D766F1"/>
    <w:rsid w:val="525A6BAF"/>
    <w:rsid w:val="53C2287B"/>
    <w:rsid w:val="546D70DC"/>
    <w:rsid w:val="551B53B0"/>
    <w:rsid w:val="56353A1E"/>
    <w:rsid w:val="56C82AED"/>
    <w:rsid w:val="56CE4422"/>
    <w:rsid w:val="5A4D5A77"/>
    <w:rsid w:val="5A7E7FCF"/>
    <w:rsid w:val="5B6049F7"/>
    <w:rsid w:val="5BAB2391"/>
    <w:rsid w:val="5CD668A6"/>
    <w:rsid w:val="5D026B35"/>
    <w:rsid w:val="5DDA45A1"/>
    <w:rsid w:val="5E1B09F8"/>
    <w:rsid w:val="5FF001D2"/>
    <w:rsid w:val="603369E1"/>
    <w:rsid w:val="624A2AAA"/>
    <w:rsid w:val="64916FB5"/>
    <w:rsid w:val="65CC7DA3"/>
    <w:rsid w:val="65FC0A89"/>
    <w:rsid w:val="662411B7"/>
    <w:rsid w:val="66403FF6"/>
    <w:rsid w:val="66AD41F3"/>
    <w:rsid w:val="66E05523"/>
    <w:rsid w:val="67AC4BE7"/>
    <w:rsid w:val="68C55F71"/>
    <w:rsid w:val="6A673252"/>
    <w:rsid w:val="6B4D6DD6"/>
    <w:rsid w:val="6CD067AF"/>
    <w:rsid w:val="6D163FBB"/>
    <w:rsid w:val="6D476083"/>
    <w:rsid w:val="6DBF0BF8"/>
    <w:rsid w:val="6E841096"/>
    <w:rsid w:val="70E52307"/>
    <w:rsid w:val="721C0AEA"/>
    <w:rsid w:val="723F6AB2"/>
    <w:rsid w:val="72A51B90"/>
    <w:rsid w:val="73083A80"/>
    <w:rsid w:val="746439DF"/>
    <w:rsid w:val="75DA54B2"/>
    <w:rsid w:val="77406FE2"/>
    <w:rsid w:val="780F3A63"/>
    <w:rsid w:val="79F0112C"/>
    <w:rsid w:val="7B504771"/>
    <w:rsid w:val="7B77251B"/>
    <w:rsid w:val="7C1B6B6A"/>
    <w:rsid w:val="7D4A745E"/>
    <w:rsid w:val="7D5E5EC6"/>
    <w:rsid w:val="7DD84CF3"/>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 w:type="paragraph" w:customStyle="1" w:styleId="11">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7</TotalTime>
  <ScaleCrop>false</ScaleCrop>
  <LinksUpToDate>false</LinksUpToDate>
  <CharactersWithSpaces>1275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2021-07-30T07:25:00Z</cp:lastPrinted>
  <dcterms:modified xsi:type="dcterms:W3CDTF">2021-09-18T08:20:50Z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C249AACE2979468D9F54634E4A5F6F2E</vt:lpwstr>
  </property>
</Properties>
</file>