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42</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color w:val="000000"/>
                <w:kern w:val="0"/>
                <w:sz w:val="28"/>
                <w:szCs w:val="28"/>
                <w:lang w:val="en-US" w:eastAsia="zh-CN" w:bidi="ar"/>
              </w:rPr>
              <w:t>保定市</w:t>
            </w:r>
            <w:r>
              <w:rPr>
                <w:rFonts w:hint="eastAsia" w:ascii="宋体" w:hAnsi="宋体" w:cs="宋体"/>
                <w:color w:val="000000"/>
                <w:kern w:val="0"/>
                <w:sz w:val="28"/>
                <w:szCs w:val="28"/>
                <w:lang w:val="en-US" w:eastAsia="zh-CN" w:bidi="ar"/>
              </w:rPr>
              <w:t>建正新型建材有限公司改建</w:t>
            </w:r>
            <w:r>
              <w:rPr>
                <w:rFonts w:hint="eastAsia" w:ascii="宋体" w:hAnsi="宋体" w:eastAsia="宋体" w:cs="宋体"/>
                <w:color w:val="000000"/>
                <w:kern w:val="0"/>
                <w:sz w:val="28"/>
                <w:szCs w:val="28"/>
                <w:lang w:val="en-US" w:eastAsia="zh-CN" w:bidi="ar"/>
              </w:rPr>
              <w:t>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cs="宋体"/>
                <w:color w:val="000000"/>
                <w:kern w:val="0"/>
                <w:sz w:val="28"/>
                <w:szCs w:val="28"/>
                <w:lang w:val="en-US" w:eastAsia="zh-CN" w:bidi="ar"/>
              </w:rPr>
            </w:pPr>
            <w:r>
              <w:rPr>
                <w:rFonts w:hint="eastAsia" w:ascii="宋体" w:hAnsi="宋体" w:eastAsia="宋体" w:cs="宋体"/>
                <w:kern w:val="0"/>
                <w:sz w:val="28"/>
                <w:szCs w:val="28"/>
                <w:lang w:val="en-US" w:eastAsia="zh-CN"/>
              </w:rPr>
              <w:t>一、</w:t>
            </w:r>
            <w:r>
              <w:rPr>
                <w:rFonts w:hint="eastAsia" w:ascii="宋体" w:hAnsi="宋体" w:cs="宋体"/>
                <w:color w:val="000000"/>
                <w:kern w:val="0"/>
                <w:sz w:val="28"/>
                <w:szCs w:val="28"/>
                <w:lang w:val="en-US" w:eastAsia="zh-CN" w:bidi="ar"/>
              </w:rPr>
              <w:t xml:space="preserve">项目位于保定市满城区要庄乡贾庄村，厂区地理坐标为：东经 115°22'7.784"，北纬 </w:t>
            </w:r>
            <w:r>
              <w:rPr>
                <w:rFonts w:hint="default" w:ascii="宋体" w:hAnsi="宋体" w:cs="宋体"/>
                <w:color w:val="000000"/>
                <w:kern w:val="0"/>
                <w:sz w:val="28"/>
                <w:szCs w:val="28"/>
                <w:lang w:val="en-US" w:eastAsia="zh-CN" w:bidi="ar"/>
              </w:rPr>
              <w:t>38°57'15.202"</w:t>
            </w:r>
            <w:r>
              <w:rPr>
                <w:rFonts w:hint="eastAsia" w:ascii="宋体" w:hAnsi="宋体" w:cs="宋体"/>
                <w:color w:val="000000"/>
                <w:kern w:val="0"/>
                <w:sz w:val="28"/>
                <w:szCs w:val="28"/>
                <w:lang w:val="en-US" w:eastAsia="zh-CN" w:bidi="ar"/>
              </w:rPr>
              <w:t>，厂区东侧为农田，西侧为保定市巨诺混凝土搅拌有限公司，南侧为农田，北侧为农田。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 xml:space="preserve">二、本项目总投资1500万元，其中环保投资12万元。主要建设内容：拆除原有生产车间、原料仓库、成品仓库、锅炉房及办公区，淘汰原有珍珠岩保温板生产线及配套设备；新建生产车间 1 座、办公楼 </w:t>
            </w:r>
            <w:r>
              <w:rPr>
                <w:rFonts w:hint="default" w:ascii="宋体" w:hAnsi="宋体" w:cs="宋体"/>
                <w:color w:val="000000"/>
                <w:kern w:val="0"/>
                <w:sz w:val="28"/>
                <w:szCs w:val="28"/>
                <w:lang w:val="en-US" w:eastAsia="zh-CN" w:bidi="ar"/>
              </w:rPr>
              <w:t xml:space="preserve">1 </w:t>
            </w:r>
            <w:r>
              <w:rPr>
                <w:rFonts w:hint="eastAsia" w:ascii="宋体" w:hAnsi="宋体" w:cs="宋体"/>
                <w:color w:val="000000"/>
                <w:kern w:val="0"/>
                <w:sz w:val="28"/>
                <w:szCs w:val="28"/>
                <w:lang w:val="en-US" w:eastAsia="zh-CN" w:bidi="ar"/>
              </w:rPr>
              <w:t xml:space="preserve">栋，安装蒸压粉煤灰砖生产线 </w:t>
            </w:r>
            <w:r>
              <w:rPr>
                <w:rFonts w:hint="default" w:ascii="宋体" w:hAnsi="宋体" w:cs="宋体"/>
                <w:color w:val="000000"/>
                <w:kern w:val="0"/>
                <w:sz w:val="28"/>
                <w:szCs w:val="28"/>
                <w:lang w:val="en-US" w:eastAsia="zh-CN" w:bidi="ar"/>
              </w:rPr>
              <w:t xml:space="preserve">1 </w:t>
            </w:r>
            <w:r>
              <w:rPr>
                <w:rFonts w:hint="eastAsia" w:ascii="宋体" w:hAnsi="宋体" w:cs="宋体"/>
                <w:color w:val="000000"/>
                <w:kern w:val="0"/>
                <w:sz w:val="28"/>
                <w:szCs w:val="28"/>
                <w:lang w:val="en-US" w:eastAsia="zh-CN" w:bidi="ar"/>
              </w:rPr>
              <w:t>条及其它相关配套辅助设备。主要生产设备包括：粉煤灰仓2座、水泥仓1座、石灰仓1座、粉煤灰螺旋输送机2台、制浆搅拌机3台、浇筑搅拌罐1台、铝粉搅拌机1台、全自动配料系统1套、分布式水平切割机1台、分布式垂直切割机1台、8吨/h燃气锅炉</w:t>
            </w:r>
            <w:bookmarkStart w:id="0" w:name="_GoBack"/>
            <w:bookmarkEnd w:id="0"/>
            <w:r>
              <w:rPr>
                <w:rFonts w:hint="eastAsia" w:ascii="宋体" w:hAnsi="宋体" w:cs="宋体"/>
                <w:color w:val="000000"/>
                <w:kern w:val="0"/>
                <w:sz w:val="28"/>
                <w:szCs w:val="28"/>
                <w:lang w:val="en-US" w:eastAsia="zh-CN" w:bidi="ar"/>
              </w:rPr>
              <w:t xml:space="preserve">1台。改建完成后产蒸压粉煤灰砖 40 万立方米。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w:t>
            </w:r>
            <w:r>
              <w:rPr>
                <w:rFonts w:hint="eastAsia" w:ascii="宋体" w:hAnsi="宋体" w:eastAsia="宋体" w:cs="宋体"/>
                <w:kern w:val="0"/>
                <w:sz w:val="28"/>
                <w:szCs w:val="28"/>
              </w:rPr>
              <w:t>防治措施，确保污染物稳定达标排放。</w:t>
            </w:r>
          </w:p>
          <w:p>
            <w:pPr>
              <w:pStyle w:val="11"/>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（一）废气</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default" w:ascii="宋体" w:hAnsi="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1#粉煤</w:t>
            </w:r>
            <w:r>
              <w:rPr>
                <w:rFonts w:hint="eastAsia" w:ascii="宋体" w:hAnsi="宋体" w:cs="宋体"/>
                <w:color w:val="000000"/>
                <w:kern w:val="0"/>
                <w:sz w:val="28"/>
                <w:szCs w:val="28"/>
                <w:lang w:val="en-US" w:eastAsia="zh-CN" w:bidi="ar"/>
              </w:rPr>
              <w:t>灰卸料废气经仓顶袋式除尘器处理后，经</w:t>
            </w:r>
            <w:r>
              <w:rPr>
                <w:rFonts w:hint="default" w:ascii="宋体" w:hAnsi="宋体" w:cs="宋体"/>
                <w:color w:val="000000"/>
                <w:kern w:val="0"/>
                <w:sz w:val="28"/>
                <w:szCs w:val="28"/>
                <w:lang w:val="en-US" w:eastAsia="zh-CN" w:bidi="ar"/>
              </w:rPr>
              <w:t>15m</w:t>
            </w:r>
            <w:r>
              <w:rPr>
                <w:rFonts w:hint="eastAsia" w:ascii="宋体" w:hAnsi="宋体" w:cs="宋体"/>
                <w:color w:val="000000"/>
                <w:kern w:val="0"/>
                <w:sz w:val="28"/>
                <w:szCs w:val="28"/>
                <w:lang w:val="en-US" w:eastAsia="zh-CN" w:bidi="ar"/>
              </w:rPr>
              <w:t>高排气筒排放；</w:t>
            </w:r>
            <w:r>
              <w:rPr>
                <w:rFonts w:hint="default" w:ascii="宋体" w:hAnsi="宋体" w:cs="宋体"/>
                <w:color w:val="000000"/>
                <w:kern w:val="0"/>
                <w:sz w:val="28"/>
                <w:szCs w:val="28"/>
                <w:lang w:val="en-US" w:eastAsia="zh-CN" w:bidi="ar"/>
              </w:rPr>
              <w:t>2#</w:t>
            </w:r>
            <w:r>
              <w:rPr>
                <w:rFonts w:hint="eastAsia" w:ascii="宋体" w:hAnsi="宋体" w:cs="宋体"/>
                <w:color w:val="000000"/>
                <w:kern w:val="0"/>
                <w:sz w:val="28"/>
                <w:szCs w:val="28"/>
                <w:lang w:val="en-US" w:eastAsia="zh-CN" w:bidi="ar"/>
              </w:rPr>
              <w:t>粉煤灰卸料废气经仓顶袋式除尘器处理后，经</w:t>
            </w:r>
            <w:r>
              <w:rPr>
                <w:rFonts w:hint="default" w:ascii="宋体" w:hAnsi="宋体" w:cs="宋体"/>
                <w:color w:val="000000"/>
                <w:kern w:val="0"/>
                <w:sz w:val="28"/>
                <w:szCs w:val="28"/>
                <w:lang w:val="en-US" w:eastAsia="zh-CN" w:bidi="ar"/>
              </w:rPr>
              <w:t>15m</w:t>
            </w:r>
            <w:r>
              <w:rPr>
                <w:rFonts w:hint="eastAsia" w:ascii="宋体" w:hAnsi="宋体" w:cs="宋体"/>
                <w:color w:val="000000"/>
                <w:kern w:val="0"/>
                <w:sz w:val="28"/>
                <w:szCs w:val="28"/>
                <w:lang w:val="en-US" w:eastAsia="zh-CN" w:bidi="ar"/>
              </w:rPr>
              <w:t>高排气筒排放；水泥卸料废气经仓顶袋式除尘器处理后，经</w:t>
            </w:r>
            <w:r>
              <w:rPr>
                <w:rFonts w:hint="default" w:ascii="宋体" w:hAnsi="宋体" w:cs="宋体"/>
                <w:color w:val="000000"/>
                <w:kern w:val="0"/>
                <w:sz w:val="28"/>
                <w:szCs w:val="28"/>
                <w:lang w:val="en-US" w:eastAsia="zh-CN" w:bidi="ar"/>
              </w:rPr>
              <w:t>15m</w:t>
            </w:r>
            <w:r>
              <w:rPr>
                <w:rFonts w:hint="eastAsia" w:ascii="宋体" w:hAnsi="宋体" w:cs="宋体"/>
                <w:color w:val="000000"/>
                <w:kern w:val="0"/>
                <w:sz w:val="28"/>
                <w:szCs w:val="28"/>
                <w:lang w:val="en-US" w:eastAsia="zh-CN" w:bidi="ar"/>
              </w:rPr>
              <w:t>高排气筒排放；生石灰卸料废气经仓顶袋式除尘器处理后，经</w:t>
            </w:r>
            <w:r>
              <w:rPr>
                <w:rFonts w:hint="default" w:ascii="宋体" w:hAnsi="宋体" w:cs="宋体"/>
                <w:color w:val="000000"/>
                <w:kern w:val="0"/>
                <w:sz w:val="28"/>
                <w:szCs w:val="28"/>
                <w:lang w:val="en-US" w:eastAsia="zh-CN" w:bidi="ar"/>
              </w:rPr>
              <w:t>15m</w:t>
            </w:r>
            <w:r>
              <w:rPr>
                <w:rFonts w:hint="eastAsia" w:ascii="宋体" w:hAnsi="宋体" w:cs="宋体"/>
                <w:color w:val="000000"/>
                <w:kern w:val="0"/>
                <w:sz w:val="28"/>
                <w:szCs w:val="28"/>
                <w:lang w:val="en-US" w:eastAsia="zh-CN" w:bidi="ar"/>
              </w:rPr>
              <w:t>高排气筒排放。有组织颗粒物执行《水泥工业大气污染物超低排放标准》（DB13/2167-</w:t>
            </w:r>
            <w:r>
              <w:rPr>
                <w:rFonts w:hint="default" w:ascii="宋体" w:hAnsi="宋体" w:cs="宋体"/>
                <w:color w:val="000000"/>
                <w:kern w:val="0"/>
                <w:sz w:val="28"/>
                <w:szCs w:val="28"/>
                <w:lang w:val="en-US" w:eastAsia="zh-CN" w:bidi="ar"/>
              </w:rPr>
              <w:t>2020</w:t>
            </w:r>
            <w:r>
              <w:rPr>
                <w:rFonts w:hint="eastAsia" w:ascii="宋体" w:hAnsi="宋体" w:cs="宋体"/>
                <w:color w:val="000000"/>
                <w:kern w:val="0"/>
                <w:sz w:val="28"/>
                <w:szCs w:val="28"/>
                <w:lang w:val="en-US" w:eastAsia="zh-CN" w:bidi="ar"/>
              </w:rPr>
              <w:t xml:space="preserve">）表 </w:t>
            </w:r>
            <w:r>
              <w:rPr>
                <w:rFonts w:hint="default" w:ascii="宋体" w:hAnsi="宋体" w:cs="宋体"/>
                <w:color w:val="000000"/>
                <w:kern w:val="0"/>
                <w:sz w:val="28"/>
                <w:szCs w:val="28"/>
                <w:lang w:val="en-US" w:eastAsia="zh-CN" w:bidi="ar"/>
              </w:rPr>
              <w:t>1</w:t>
            </w:r>
            <w:r>
              <w:rPr>
                <w:rFonts w:hint="eastAsia" w:ascii="宋体" w:hAnsi="宋体" w:cs="宋体"/>
                <w:color w:val="000000"/>
                <w:kern w:val="0"/>
                <w:sz w:val="28"/>
                <w:szCs w:val="28"/>
                <w:lang w:val="en-US" w:eastAsia="zh-CN" w:bidi="ar"/>
              </w:rPr>
              <w:t>标准。天然气锅炉经低氮燃烧处理后经1根</w:t>
            </w:r>
            <w:r>
              <w:rPr>
                <w:rFonts w:hint="default" w:ascii="宋体" w:hAnsi="宋体" w:cs="宋体"/>
                <w:color w:val="000000"/>
                <w:kern w:val="0"/>
                <w:sz w:val="28"/>
                <w:szCs w:val="28"/>
                <w:lang w:val="en-US" w:eastAsia="zh-CN" w:bidi="ar"/>
              </w:rPr>
              <w:t>15m</w:t>
            </w:r>
            <w:r>
              <w:rPr>
                <w:rFonts w:hint="eastAsia" w:ascii="宋体" w:hAnsi="宋体" w:cs="宋体"/>
                <w:color w:val="000000"/>
                <w:kern w:val="0"/>
                <w:sz w:val="28"/>
                <w:szCs w:val="28"/>
                <w:lang w:val="en-US" w:eastAsia="zh-CN" w:bidi="ar"/>
              </w:rPr>
              <w:t>高排气筒排放，《锅炉大气污染物排放标准》(DB13/5161-2020)表</w:t>
            </w:r>
            <w:r>
              <w:rPr>
                <w:rFonts w:hint="default" w:ascii="宋体" w:hAnsi="宋体" w:cs="宋体"/>
                <w:color w:val="000000"/>
                <w:kern w:val="0"/>
                <w:sz w:val="28"/>
                <w:szCs w:val="28"/>
                <w:lang w:val="en-US" w:eastAsia="zh-CN" w:bidi="ar"/>
              </w:rPr>
              <w:t>1</w:t>
            </w:r>
            <w:r>
              <w:rPr>
                <w:rFonts w:hint="eastAsia" w:ascii="宋体" w:hAnsi="宋体" w:cs="宋体"/>
                <w:color w:val="000000"/>
                <w:kern w:val="0"/>
                <w:sz w:val="28"/>
                <w:szCs w:val="28"/>
                <w:lang w:val="en-US" w:eastAsia="zh-CN" w:bidi="ar"/>
              </w:rPr>
              <w:t>规定的大气污染物排放限值。石膏、铝粉卸料在封闭生产车间进行，车间内设置雾炮，卸料时喷雾抑尘，车间顶部设置喷淋装置，定期喷淋抑尘等措施厂界无组织颗粒物执行《水泥工业大气污染物排放标准》（DB13/2167-2015）表2大气污染物无组织排放限值。</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设备清洗废水</w:t>
            </w:r>
            <w:r>
              <w:rPr>
                <w:rFonts w:hint="default" w:ascii="宋体" w:hAnsi="宋体" w:cs="宋体"/>
                <w:color w:val="000000"/>
                <w:kern w:val="0"/>
                <w:sz w:val="28"/>
                <w:szCs w:val="28"/>
                <w:lang w:val="en-US" w:eastAsia="zh-CN" w:bidi="ar"/>
              </w:rPr>
              <w:t>车辆冲洗废水经过沉淀处理后循环</w:t>
            </w:r>
            <w:r>
              <w:rPr>
                <w:rFonts w:hint="eastAsia" w:ascii="宋体" w:hAnsi="宋体" w:cs="宋体"/>
                <w:color w:val="000000"/>
                <w:kern w:val="0"/>
                <w:sz w:val="28"/>
                <w:szCs w:val="28"/>
                <w:lang w:val="en-US" w:eastAsia="zh-CN" w:bidi="ar"/>
              </w:rPr>
              <w:t>使用，生活污水排入防渗旱厕，定期清掏作农肥。</w:t>
            </w:r>
          </w:p>
          <w:p>
            <w:pPr>
              <w:pStyle w:val="11"/>
              <w:keepNext w:val="0"/>
              <w:keepLines w:val="0"/>
              <w:pageBreakBefore w:val="0"/>
              <w:widowControl w:val="0"/>
              <w:kinsoku/>
              <w:wordWrap/>
              <w:overflowPunct/>
              <w:topLinePunct w:val="0"/>
              <w:autoSpaceDE/>
              <w:autoSpaceDN/>
              <w:bidi w:val="0"/>
              <w:adjustRightInd/>
              <w:snapToGrid/>
              <w:spacing w:line="58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8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1"/>
              <w:keepNext w:val="0"/>
              <w:keepLines w:val="0"/>
              <w:pageBreakBefore w:val="0"/>
              <w:widowControl w:val="0"/>
              <w:kinsoku/>
              <w:wordWrap/>
              <w:overflowPunct/>
              <w:topLinePunct w:val="0"/>
              <w:autoSpaceDE/>
              <w:autoSpaceDN/>
              <w:bidi w:val="0"/>
              <w:adjustRightInd/>
              <w:snapToGrid/>
              <w:spacing w:line="580" w:lineRule="exact"/>
              <w:ind w:right="50" w:rightChars="24"/>
              <w:textAlignment w:val="auto"/>
              <w:outlineLvl w:val="9"/>
              <w:rPr>
                <w:rFonts w:hint="eastAsia" w:ascii="宋体" w:hAnsi="宋体"/>
                <w:color w:val="000000"/>
                <w:sz w:val="28"/>
                <w:szCs w:val="28"/>
                <w:lang w:val="en-US" w:eastAsia="zh-CN"/>
              </w:rPr>
            </w:pPr>
            <w:r>
              <w:rPr>
                <w:rFonts w:hint="eastAsia" w:ascii="宋体" w:hAnsi="宋体" w:eastAsia="宋体" w:cs="Times New Roman"/>
                <w:kern w:val="2"/>
                <w:sz w:val="28"/>
                <w:szCs w:val="28"/>
                <w:lang w:val="en-US" w:eastAsia="zh-CN" w:bidi="ar-SA"/>
              </w:rPr>
              <w:t>（四）固体废物</w:t>
            </w:r>
          </w:p>
          <w:p>
            <w:pPr>
              <w:pStyle w:val="11"/>
              <w:keepNext w:val="0"/>
              <w:keepLines w:val="0"/>
              <w:pageBreakBefore w:val="0"/>
              <w:widowControl w:val="0"/>
              <w:kinsoku/>
              <w:wordWrap/>
              <w:overflowPunct/>
              <w:topLinePunct w:val="0"/>
              <w:autoSpaceDE/>
              <w:autoSpaceDN/>
              <w:bidi w:val="0"/>
              <w:adjustRightInd/>
              <w:snapToGrid/>
              <w:spacing w:line="580" w:lineRule="exact"/>
              <w:ind w:right="50" w:rightChars="24"/>
              <w:textAlignment w:val="auto"/>
              <w:outlineLvl w:val="9"/>
              <w:rPr>
                <w:rFonts w:hint="eastAsia" w:ascii="宋体" w:hAnsi="宋体"/>
                <w:color w:val="000000"/>
                <w:sz w:val="28"/>
                <w:szCs w:val="28"/>
                <w:lang w:val="en-US" w:eastAsia="zh-CN"/>
              </w:rPr>
            </w:pPr>
            <w:r>
              <w:rPr>
                <w:rFonts w:hint="eastAsia" w:ascii="宋体" w:hAnsi="宋体"/>
                <w:color w:val="000000"/>
                <w:sz w:val="28"/>
                <w:szCs w:val="28"/>
                <w:lang w:val="en-US" w:eastAsia="zh-CN"/>
              </w:rPr>
              <w:t>除尘灰回用于生产，不合格品外售综合利用，沉淀池尘泥脱水后外售综合利用，添加剂包装外售综合利用，生活垃圾定期清运至环卫部门指定地点。</w:t>
            </w:r>
          </w:p>
          <w:p>
            <w:pPr>
              <w:pStyle w:val="11"/>
              <w:keepNext w:val="0"/>
              <w:keepLines w:val="0"/>
              <w:pageBreakBefore w:val="0"/>
              <w:widowControl w:val="0"/>
              <w:kinsoku/>
              <w:wordWrap/>
              <w:overflowPunct/>
              <w:topLinePunct w:val="0"/>
              <w:autoSpaceDE/>
              <w:autoSpaceDN/>
              <w:bidi w:val="0"/>
              <w:adjustRightInd/>
              <w:snapToGrid/>
              <w:spacing w:line="580" w:lineRule="exact"/>
              <w:ind w:right="50" w:rightChars="24"/>
              <w:textAlignment w:val="auto"/>
              <w:outlineLvl w:val="9"/>
              <w:rPr>
                <w:rFonts w:hint="eastAsia" w:ascii="宋体" w:hAnsi="宋体"/>
                <w:kern w:val="0"/>
                <w:sz w:val="28"/>
                <w:szCs w:val="28"/>
              </w:rPr>
            </w:pPr>
            <w:r>
              <w:rPr>
                <w:rFonts w:hint="eastAsia" w:ascii="宋体" w:hAnsi="宋体"/>
                <w:color w:val="000000"/>
                <w:sz w:val="28"/>
                <w:szCs w:val="28"/>
                <w:lang w:val="en-US" w:eastAsia="zh-CN"/>
              </w:rPr>
              <w:t>四、</w:t>
            </w:r>
            <w:r>
              <w:rPr>
                <w:rFonts w:hint="eastAsia" w:ascii="宋体" w:hAnsi="宋体"/>
                <w:kern w:val="0"/>
                <w:sz w:val="28"/>
                <w:szCs w:val="28"/>
                <w:lang w:eastAsia="zh-CN"/>
              </w:rPr>
              <w:t>改建完成后全厂</w:t>
            </w:r>
            <w:r>
              <w:rPr>
                <w:rFonts w:hint="eastAsia" w:ascii="宋体" w:hAnsi="宋体"/>
                <w:kern w:val="0"/>
                <w:sz w:val="28"/>
                <w:szCs w:val="28"/>
              </w:rPr>
              <w:t>污染物排放总量控制指标为：</w:t>
            </w:r>
            <w:r>
              <w:rPr>
                <w:rFonts w:hint="eastAsia" w:ascii="宋体" w:hAnsi="宋体"/>
                <w:kern w:val="0"/>
                <w:sz w:val="28"/>
                <w:szCs w:val="28"/>
                <w:lang w:val="en-US" w:eastAsia="zh-CN"/>
              </w:rPr>
              <w:t>：COD：</w:t>
            </w:r>
            <w:r>
              <w:rPr>
                <w:rFonts w:hint="default" w:ascii="宋体" w:hAnsi="宋体"/>
                <w:kern w:val="0"/>
                <w:sz w:val="28"/>
                <w:szCs w:val="28"/>
                <w:lang w:val="en-US" w:eastAsia="zh-CN"/>
              </w:rPr>
              <w:t>0t/a</w:t>
            </w:r>
            <w:r>
              <w:rPr>
                <w:rFonts w:hint="eastAsia" w:ascii="宋体" w:hAnsi="宋体"/>
                <w:kern w:val="0"/>
                <w:sz w:val="28"/>
                <w:szCs w:val="28"/>
                <w:lang w:val="en-US" w:eastAsia="zh-CN"/>
              </w:rPr>
              <w:t>、氨氮：</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TP</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TN</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SO</w:t>
            </w:r>
            <w:r>
              <w:rPr>
                <w:rFonts w:hint="default" w:ascii="宋体" w:hAnsi="宋体"/>
                <w:kern w:val="0"/>
                <w:sz w:val="28"/>
                <w:szCs w:val="28"/>
                <w:vertAlign w:val="subscript"/>
                <w:lang w:val="en-US" w:eastAsia="zh-CN"/>
              </w:rPr>
              <w:t>2</w:t>
            </w:r>
            <w:r>
              <w:rPr>
                <w:rFonts w:hint="eastAsia" w:ascii="宋体" w:hAnsi="宋体"/>
                <w:kern w:val="0"/>
                <w:sz w:val="28"/>
                <w:szCs w:val="28"/>
                <w:lang w:val="en-US" w:eastAsia="zh-CN"/>
              </w:rPr>
              <w:t>：</w:t>
            </w:r>
            <w:r>
              <w:rPr>
                <w:rFonts w:hint="default" w:ascii="宋体" w:hAnsi="宋体"/>
                <w:kern w:val="0"/>
                <w:sz w:val="28"/>
                <w:szCs w:val="28"/>
                <w:lang w:val="en-US" w:eastAsia="zh-CN"/>
              </w:rPr>
              <w:t>0</w:t>
            </w:r>
            <w:r>
              <w:rPr>
                <w:rFonts w:hint="eastAsia" w:ascii="宋体" w:hAnsi="宋体"/>
                <w:kern w:val="0"/>
                <w:sz w:val="28"/>
                <w:szCs w:val="28"/>
                <w:lang w:val="en-US" w:eastAsia="zh-CN"/>
              </w:rPr>
              <w:t>.024</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NOx</w:t>
            </w:r>
            <w:r>
              <w:rPr>
                <w:rFonts w:hint="eastAsia" w:ascii="宋体" w:hAnsi="宋体"/>
                <w:kern w:val="0"/>
                <w:sz w:val="28"/>
                <w:szCs w:val="28"/>
                <w:lang w:val="en-US" w:eastAsia="zh-CN"/>
              </w:rPr>
              <w:t>：</w:t>
            </w:r>
            <w:r>
              <w:rPr>
                <w:rFonts w:hint="default" w:ascii="宋体" w:hAnsi="宋体"/>
                <w:kern w:val="0"/>
                <w:sz w:val="28"/>
                <w:szCs w:val="28"/>
                <w:lang w:val="en-US" w:eastAsia="zh-CN"/>
              </w:rPr>
              <w:t>0</w:t>
            </w:r>
            <w:r>
              <w:rPr>
                <w:rFonts w:hint="eastAsia" w:ascii="宋体" w:hAnsi="宋体"/>
                <w:kern w:val="0"/>
                <w:sz w:val="28"/>
                <w:szCs w:val="28"/>
                <w:lang w:val="en-US" w:eastAsia="zh-CN"/>
              </w:rPr>
              <w:t>.078</w:t>
            </w:r>
            <w:r>
              <w:rPr>
                <w:rFonts w:hint="default" w:ascii="宋体" w:hAnsi="宋体"/>
                <w:kern w:val="0"/>
                <w:sz w:val="28"/>
                <w:szCs w:val="28"/>
                <w:lang w:val="en-US" w:eastAsia="zh-CN"/>
              </w:rPr>
              <w:t>t/a</w:t>
            </w:r>
            <w:r>
              <w:rPr>
                <w:rFonts w:hint="eastAsia" w:ascii="宋体" w:hAnsi="宋体"/>
                <w:kern w:val="0"/>
                <w:sz w:val="28"/>
                <w:szCs w:val="28"/>
                <w:lang w:val="en-US" w:eastAsia="zh-CN"/>
              </w:rPr>
              <w:t>、颗粒物：</w:t>
            </w:r>
            <w:r>
              <w:rPr>
                <w:rFonts w:hint="default" w:ascii="宋体" w:hAnsi="宋体"/>
                <w:kern w:val="0"/>
                <w:sz w:val="28"/>
                <w:szCs w:val="28"/>
                <w:lang w:val="en-US" w:eastAsia="zh-CN"/>
              </w:rPr>
              <w:t>0.</w:t>
            </w:r>
            <w:r>
              <w:rPr>
                <w:rFonts w:hint="eastAsia" w:ascii="宋体" w:hAnsi="宋体"/>
                <w:kern w:val="0"/>
                <w:sz w:val="28"/>
                <w:szCs w:val="28"/>
                <w:lang w:val="en-US" w:eastAsia="zh-CN"/>
              </w:rPr>
              <w:t>280</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VOCs</w:t>
            </w:r>
            <w:r>
              <w:rPr>
                <w:rFonts w:hint="eastAsia" w:ascii="宋体" w:hAnsi="宋体"/>
                <w:kern w:val="0"/>
                <w:sz w:val="28"/>
                <w:szCs w:val="28"/>
                <w:lang w:val="en-US" w:eastAsia="zh-CN"/>
              </w:rPr>
              <w:t>：</w:t>
            </w:r>
            <w:r>
              <w:rPr>
                <w:rFonts w:hint="default" w:ascii="宋体" w:hAnsi="宋体"/>
                <w:kern w:val="0"/>
                <w:sz w:val="28"/>
                <w:szCs w:val="28"/>
                <w:lang w:val="en-US" w:eastAsia="zh-CN"/>
              </w:rPr>
              <w:t>0t/a</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9</w:t>
            </w:r>
            <w:r>
              <w:rPr>
                <w:rFonts w:hint="eastAsia" w:ascii="宋体" w:hAnsi="宋体"/>
                <w:kern w:val="0"/>
                <w:sz w:val="28"/>
                <w:szCs w:val="28"/>
              </w:rPr>
              <w:t>月</w:t>
            </w:r>
            <w:r>
              <w:rPr>
                <w:rFonts w:hint="eastAsia" w:ascii="宋体" w:hAnsi="宋体"/>
                <w:kern w:val="0"/>
                <w:sz w:val="28"/>
                <w:szCs w:val="28"/>
                <w:lang w:val="en-US" w:eastAsia="zh-CN"/>
              </w:rPr>
              <w:t>27</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5CD35C3"/>
    <w:rsid w:val="05DD3674"/>
    <w:rsid w:val="064755A9"/>
    <w:rsid w:val="07277E8C"/>
    <w:rsid w:val="079E4B0C"/>
    <w:rsid w:val="07B578BD"/>
    <w:rsid w:val="08D2625A"/>
    <w:rsid w:val="09171E60"/>
    <w:rsid w:val="09312325"/>
    <w:rsid w:val="09393856"/>
    <w:rsid w:val="0A585B90"/>
    <w:rsid w:val="0BE23CE5"/>
    <w:rsid w:val="0BFF5543"/>
    <w:rsid w:val="0D2D19A9"/>
    <w:rsid w:val="0D530553"/>
    <w:rsid w:val="0EB254AE"/>
    <w:rsid w:val="0F493C28"/>
    <w:rsid w:val="10FF1595"/>
    <w:rsid w:val="1220043A"/>
    <w:rsid w:val="15745E01"/>
    <w:rsid w:val="162036E8"/>
    <w:rsid w:val="164718B1"/>
    <w:rsid w:val="171B12C5"/>
    <w:rsid w:val="173E1C2D"/>
    <w:rsid w:val="17AF3738"/>
    <w:rsid w:val="18101B13"/>
    <w:rsid w:val="18D34288"/>
    <w:rsid w:val="199E7D8D"/>
    <w:rsid w:val="1A194C1F"/>
    <w:rsid w:val="1AE37DD8"/>
    <w:rsid w:val="1C654F43"/>
    <w:rsid w:val="1D1456FD"/>
    <w:rsid w:val="1D2026CE"/>
    <w:rsid w:val="1EF71464"/>
    <w:rsid w:val="1F282E0F"/>
    <w:rsid w:val="1FCE2269"/>
    <w:rsid w:val="203B5D22"/>
    <w:rsid w:val="215B63C6"/>
    <w:rsid w:val="217156E7"/>
    <w:rsid w:val="23CE7909"/>
    <w:rsid w:val="23E22B19"/>
    <w:rsid w:val="25011734"/>
    <w:rsid w:val="25CB10CE"/>
    <w:rsid w:val="26936A05"/>
    <w:rsid w:val="26AE0C96"/>
    <w:rsid w:val="26BE58FB"/>
    <w:rsid w:val="285C61AB"/>
    <w:rsid w:val="28FD1BAE"/>
    <w:rsid w:val="2944505A"/>
    <w:rsid w:val="2A4D5108"/>
    <w:rsid w:val="2B4E3550"/>
    <w:rsid w:val="2BB80B2B"/>
    <w:rsid w:val="2E751948"/>
    <w:rsid w:val="2F0B1F33"/>
    <w:rsid w:val="313606E4"/>
    <w:rsid w:val="32073057"/>
    <w:rsid w:val="33B86748"/>
    <w:rsid w:val="34274EC1"/>
    <w:rsid w:val="34E77D57"/>
    <w:rsid w:val="35555B84"/>
    <w:rsid w:val="355D57EF"/>
    <w:rsid w:val="355D77EB"/>
    <w:rsid w:val="364A07EA"/>
    <w:rsid w:val="38200D7C"/>
    <w:rsid w:val="386913D5"/>
    <w:rsid w:val="38BD3031"/>
    <w:rsid w:val="3981372B"/>
    <w:rsid w:val="39D034D5"/>
    <w:rsid w:val="3B54796E"/>
    <w:rsid w:val="3B635957"/>
    <w:rsid w:val="3D663531"/>
    <w:rsid w:val="3E0569D1"/>
    <w:rsid w:val="3E467E55"/>
    <w:rsid w:val="3EC86E0F"/>
    <w:rsid w:val="3EDF7EC6"/>
    <w:rsid w:val="3F464F1C"/>
    <w:rsid w:val="40AA1590"/>
    <w:rsid w:val="40AF63BB"/>
    <w:rsid w:val="41046B0A"/>
    <w:rsid w:val="43347A2D"/>
    <w:rsid w:val="43AD1F60"/>
    <w:rsid w:val="44702EA4"/>
    <w:rsid w:val="46237A4B"/>
    <w:rsid w:val="475517B8"/>
    <w:rsid w:val="479433B0"/>
    <w:rsid w:val="47AC4903"/>
    <w:rsid w:val="484F3305"/>
    <w:rsid w:val="49AA34E0"/>
    <w:rsid w:val="4C2C04C3"/>
    <w:rsid w:val="4D7F4465"/>
    <w:rsid w:val="4DBF2EA0"/>
    <w:rsid w:val="4E2535AA"/>
    <w:rsid w:val="4E754CF3"/>
    <w:rsid w:val="4E7647A0"/>
    <w:rsid w:val="4EE22E86"/>
    <w:rsid w:val="4EEB4AE6"/>
    <w:rsid w:val="4EF13A58"/>
    <w:rsid w:val="4F3D0F11"/>
    <w:rsid w:val="4FCF5235"/>
    <w:rsid w:val="50A04B03"/>
    <w:rsid w:val="51CB06E0"/>
    <w:rsid w:val="51D766F1"/>
    <w:rsid w:val="525A6BAF"/>
    <w:rsid w:val="53C2287B"/>
    <w:rsid w:val="546D70DC"/>
    <w:rsid w:val="551B53B0"/>
    <w:rsid w:val="558624E1"/>
    <w:rsid w:val="56353A1E"/>
    <w:rsid w:val="56C82AED"/>
    <w:rsid w:val="56CE4422"/>
    <w:rsid w:val="58F351E8"/>
    <w:rsid w:val="5A4D5A77"/>
    <w:rsid w:val="5A7E7FCF"/>
    <w:rsid w:val="5B6049F7"/>
    <w:rsid w:val="5BAB2391"/>
    <w:rsid w:val="5CD668A6"/>
    <w:rsid w:val="5D026B35"/>
    <w:rsid w:val="5DDA45A1"/>
    <w:rsid w:val="5E1B09F8"/>
    <w:rsid w:val="5F596271"/>
    <w:rsid w:val="5FF001D2"/>
    <w:rsid w:val="603369E1"/>
    <w:rsid w:val="624A2AAA"/>
    <w:rsid w:val="64916FB5"/>
    <w:rsid w:val="65CC7DA3"/>
    <w:rsid w:val="65FC0A89"/>
    <w:rsid w:val="662411B7"/>
    <w:rsid w:val="66403FF6"/>
    <w:rsid w:val="66AD41F3"/>
    <w:rsid w:val="66E05523"/>
    <w:rsid w:val="67AC4BE7"/>
    <w:rsid w:val="68C55F71"/>
    <w:rsid w:val="69C2271E"/>
    <w:rsid w:val="6A673252"/>
    <w:rsid w:val="6B4D6DD6"/>
    <w:rsid w:val="6CD067AF"/>
    <w:rsid w:val="6D163FBB"/>
    <w:rsid w:val="6D476083"/>
    <w:rsid w:val="6DBF0BF8"/>
    <w:rsid w:val="6E841096"/>
    <w:rsid w:val="6F1432C8"/>
    <w:rsid w:val="70E52307"/>
    <w:rsid w:val="721C0AEA"/>
    <w:rsid w:val="723F6AB2"/>
    <w:rsid w:val="72A51B90"/>
    <w:rsid w:val="73083A80"/>
    <w:rsid w:val="746439DF"/>
    <w:rsid w:val="75DA54B2"/>
    <w:rsid w:val="77406FE2"/>
    <w:rsid w:val="780F3A63"/>
    <w:rsid w:val="79F0112C"/>
    <w:rsid w:val="7B504771"/>
    <w:rsid w:val="7B77251B"/>
    <w:rsid w:val="7C1B6B6A"/>
    <w:rsid w:val="7D4A745E"/>
    <w:rsid w:val="7D5E5EC6"/>
    <w:rsid w:val="7DD84CF3"/>
    <w:rsid w:val="7E4E4A4E"/>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 Char2"/>
    <w:basedOn w:val="1"/>
    <w:qFormat/>
    <w:uiPriority w:val="0"/>
    <w:rPr>
      <w:rFonts w:ascii="宋体" w:hAnsi="宋体" w:cs="Courier New"/>
      <w:sz w:val="32"/>
      <w:szCs w:val="32"/>
    </w:rPr>
  </w:style>
  <w:style w:type="paragraph" w:customStyle="1" w:styleId="11">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18</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2021-07-30T07:25:00Z</cp:lastPrinted>
  <dcterms:modified xsi:type="dcterms:W3CDTF">2021-09-27T00:53:41Z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