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jc w:val="right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保满审环表字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52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所报《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保定满城第四医院扩建项目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环境影响报告表》收悉，根据报告表结论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一、项目位于保定市满城区神星镇神星村，扩建后全院中心坐标为：北纬39°1′38.062″，东经</w:t>
            </w:r>
            <w:r>
              <w:rPr>
                <w:rFonts w:hint="default" w:ascii="宋体" w:hAnsi="宋体"/>
                <w:kern w:val="0"/>
                <w:sz w:val="28"/>
                <w:szCs w:val="28"/>
                <w:lang w:val="en-US" w:eastAsia="zh-CN"/>
              </w:rPr>
              <w:t>115°16′46.645″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。院区北临满城区神星供销合作社，南侧为神星村道，西侧为保神市郊铁路（飞机用油铁路运输专线），东侧为满易路、神坎路。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二、项目总投资6500万元，其中环保投资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100万元。项目拆除原有行政办公楼及门诊楼，原1座住院楼改成养老楼，共</w:t>
            </w:r>
            <w:r>
              <w:rPr>
                <w:rFonts w:hint="default" w:ascii="宋体" w:hAnsi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层，并新增建设用地，建设一座7层医养结合综合楼，设计床位共计</w:t>
            </w:r>
            <w:r>
              <w:rPr>
                <w:rFonts w:hint="default" w:ascii="宋体" w:hAnsi="宋体"/>
                <w:kern w:val="0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张，其中养老床位</w:t>
            </w:r>
            <w:r>
              <w:rPr>
                <w:rFonts w:hint="default" w:ascii="宋体" w:hAnsi="宋体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张，医疗床位</w:t>
            </w:r>
            <w:r>
              <w:rPr>
                <w:rFonts w:hint="default" w:ascii="宋体" w:hAnsi="宋体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三、你单位在建设及运营过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程中要严格按本项目环境影响报告表规定的内容，认真落实各项污染防治措施，确保污染物稳定达标排放。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废气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污水处理站加盖密闭，废气经负压收集后由密闭管道送至活性炭吸附装置处理后排放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。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废气执行《医疗机构水污染物排放标准》（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GB18466-2005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）表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3标准要求。煎药房设置自动密闭煎药机，臭气浓度执行《恶臭污染物排放标准》（GB14554-93）表1二级标准。食堂安装油烟净化器，油烟执行《饮食业油烟排放标准》（GB18483-2001）小型标准要求。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8"/>
                <w:szCs w:val="28"/>
              </w:rPr>
              <w:t>废水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：经隔油池处理后的食堂餐饮废水与职工生活水、医疗废水经污水站（污水站处理工艺为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化粪池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+格栅+调节池+混凝沉淀+接触氧化池+二沉池+接触消毒”，处理能力为：100m</w:t>
            </w:r>
            <w:r>
              <w:rPr>
                <w:rFonts w:hint="eastAsia" w:ascii="宋体" w:hAnsi="宋体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/d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）处理后由罐车运入保定市众泉水务有限公司集中处理；外排废水执行《医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疗机构水污染物排放标准》（GB18466-2005）表2中预处理标准要求，同时满足保定市众泉水务有限公司进水水质要求。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3.噪声：产噪设备经基础减震，并置于隔音间等措施处理。执行《工业企业厂界环境噪声排放标准》（GB12348-2008)2类标准。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0" w:leftChars="0" w:right="50" w:rightChars="24" w:firstLine="560" w:firstLineChars="20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8"/>
                <w:szCs w:val="28"/>
              </w:rPr>
              <w:t>固体废物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:医疗废物分类收集后暂存于医废间，定期交由有资质单位处置，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栅渣、污泥消毒后密闭封装，定期委托有资质单位收集外运处置；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废活性炭收集后暂存于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固废间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，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由厂家回收处置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；</w:t>
            </w:r>
            <w:r>
              <w:rPr>
                <w:rFonts w:hint="eastAsia" w:ascii="宋体" w:hAnsi="宋体"/>
                <w:sz w:val="28"/>
                <w:szCs w:val="28"/>
              </w:rPr>
              <w:t>职工生活垃圾由环卫部门统一清运处理。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115" w:rightChars="55"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四、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全厂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污染物排放总量控制指标为：COD: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5.236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t/a、氨氮：0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.586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t/a、总氮：0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.733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t/a、总磷：0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.063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t/a、SO</w:t>
            </w:r>
            <w:r>
              <w:rPr>
                <w:rFonts w:hint="eastAsia" w:ascii="宋体" w:hAnsi="宋体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：0t/a、NO</w:t>
            </w:r>
            <w:r>
              <w:rPr>
                <w:rFonts w:hint="eastAsia" w:ascii="宋体" w:hAnsi="宋体"/>
                <w:kern w:val="0"/>
                <w:sz w:val="28"/>
                <w:szCs w:val="28"/>
                <w:vertAlign w:val="subscript"/>
              </w:rPr>
              <w:t>X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：0t/a、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非甲烷总烃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t/a、颗粒物：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25" w:rightChars="12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115" w:rightChars="55" w:firstLine="6160" w:firstLineChars="2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公 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05" w:leftChars="50" w:right="115" w:rightChars="55" w:firstLine="5577" w:firstLineChars="19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日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24F4E51"/>
    <w:rsid w:val="03387F27"/>
    <w:rsid w:val="064755A9"/>
    <w:rsid w:val="079E4B0C"/>
    <w:rsid w:val="07B578BD"/>
    <w:rsid w:val="09171E60"/>
    <w:rsid w:val="09312325"/>
    <w:rsid w:val="09B800A8"/>
    <w:rsid w:val="0BE23CE5"/>
    <w:rsid w:val="0D530553"/>
    <w:rsid w:val="0F493C28"/>
    <w:rsid w:val="10FF1595"/>
    <w:rsid w:val="1220043A"/>
    <w:rsid w:val="15076089"/>
    <w:rsid w:val="173E1C2D"/>
    <w:rsid w:val="17AF3738"/>
    <w:rsid w:val="17B1521F"/>
    <w:rsid w:val="18101B13"/>
    <w:rsid w:val="1AE37DD8"/>
    <w:rsid w:val="1D1456FD"/>
    <w:rsid w:val="203B5D22"/>
    <w:rsid w:val="217156E7"/>
    <w:rsid w:val="235465F4"/>
    <w:rsid w:val="23E22B19"/>
    <w:rsid w:val="24CD65F5"/>
    <w:rsid w:val="26AE0C96"/>
    <w:rsid w:val="28FD1BAE"/>
    <w:rsid w:val="2BB80B2B"/>
    <w:rsid w:val="2C112B63"/>
    <w:rsid w:val="2F0B1F33"/>
    <w:rsid w:val="33B86748"/>
    <w:rsid w:val="35555B84"/>
    <w:rsid w:val="355D57EF"/>
    <w:rsid w:val="355D77EB"/>
    <w:rsid w:val="3981372B"/>
    <w:rsid w:val="39D034D5"/>
    <w:rsid w:val="3A5B6E1D"/>
    <w:rsid w:val="3E867954"/>
    <w:rsid w:val="3EDF7EC6"/>
    <w:rsid w:val="420A52BF"/>
    <w:rsid w:val="42FB3768"/>
    <w:rsid w:val="439240E9"/>
    <w:rsid w:val="45FF115A"/>
    <w:rsid w:val="46237A4B"/>
    <w:rsid w:val="475517B8"/>
    <w:rsid w:val="49164C99"/>
    <w:rsid w:val="49AA34E0"/>
    <w:rsid w:val="4D7F4465"/>
    <w:rsid w:val="4E2535AA"/>
    <w:rsid w:val="4E7647A0"/>
    <w:rsid w:val="4EE22E86"/>
    <w:rsid w:val="4EF13A58"/>
    <w:rsid w:val="4F3D0F11"/>
    <w:rsid w:val="541E66AD"/>
    <w:rsid w:val="56353A1E"/>
    <w:rsid w:val="590F23C1"/>
    <w:rsid w:val="5B6049F7"/>
    <w:rsid w:val="5BAB2391"/>
    <w:rsid w:val="5D026B35"/>
    <w:rsid w:val="5D4957F3"/>
    <w:rsid w:val="624A2AAA"/>
    <w:rsid w:val="65BF31AD"/>
    <w:rsid w:val="65CC7DA3"/>
    <w:rsid w:val="65FC0A89"/>
    <w:rsid w:val="66E05523"/>
    <w:rsid w:val="67276552"/>
    <w:rsid w:val="67AC4BE7"/>
    <w:rsid w:val="69172112"/>
    <w:rsid w:val="6A673252"/>
    <w:rsid w:val="6CD067AF"/>
    <w:rsid w:val="6D476083"/>
    <w:rsid w:val="6DBF0BF8"/>
    <w:rsid w:val="72A00E03"/>
    <w:rsid w:val="72F82AB2"/>
    <w:rsid w:val="73083A80"/>
    <w:rsid w:val="743E352A"/>
    <w:rsid w:val="746439DF"/>
    <w:rsid w:val="753C416B"/>
    <w:rsid w:val="78197D2E"/>
    <w:rsid w:val="79DD513E"/>
    <w:rsid w:val="79F0112C"/>
    <w:rsid w:val="7B504771"/>
    <w:rsid w:val="7B8E6067"/>
    <w:rsid w:val="7C1B6B6A"/>
    <w:rsid w:val="7D5E5EC6"/>
    <w:rsid w:val="7DD84CF3"/>
    <w:rsid w:val="7E617B69"/>
    <w:rsid w:val="7FD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0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32</TotalTime>
  <ScaleCrop>false</ScaleCrop>
  <LinksUpToDate>false</LinksUpToDate>
  <CharactersWithSpaces>1275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2021-02-23T02:18:00Z</cp:lastPrinted>
  <dcterms:modified xsi:type="dcterms:W3CDTF">2021-11-11T06:56:59Z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0E4D8753DEA242EAAF832C33B4ACE5DC</vt:lpwstr>
  </property>
</Properties>
</file>