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val="en-US"/>
        </w:rPr>
        <w:t>2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r>
        <w:rPr>
          <w:rFonts w:hint="eastAsia" w:ascii="黑体" w:hAnsi="黑体" w:eastAsia="黑体"/>
          <w:b/>
          <w:sz w:val="36"/>
          <w:szCs w:val="36"/>
        </w:rPr>
        <w:t>0</w:t>
      </w:r>
      <w:r>
        <w:rPr>
          <w:rFonts w:hint="default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保定市远业电力器材制造有限公司技改项目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保定市远业电力器材制造有限公司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保定市远业电力器材制造有限公司技改项目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环境影响报告书》收悉。根据环境影响评价结论、专家技术评审意见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一、项目位于保定市满城区方顺桥镇沟河庄村东，保定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市远业电力器材制造有限公司现有厂区内。，厂址中心地理坐标为东经 115°16′43.07"，北纬 38°45′56.59"。技改项目厂区北、西两侧为耕地，东侧邻乡村路，南侧为已停产的塑料厂。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二、本项目工程总投资300万元，其中环保投资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00万元，技改内容包括：在现有车间内新建酸洗房1座，淘汰现有酸洗槽、助镀液槽、锌锅等18台（套）设备，购置安装酸洗槽、清洗槽、锌锅、钝化液槽等生产设备30台（套）及相关辅助设备。技改完成后项目生产规模不变，仍为年加工 14000 吨电力金具。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保定市远业电力器材制造有限公司技改项目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酸洗工序、助镀工序废气经碱水喷淋塔处理后由16m高排气筒排放，热镀锌工序废气经布袋除尘器+水喷淋塔处理后由16m高排气筒排放，抛丸机废气经布袋除尘器处理后由16m高排气筒排放，天然气直燃炉采用清洁能源天然气+16m高排气筒排放，废气执行《钢铁工业大气污染物超低排放标准》（DB13/2169-2018）中污染物排放限值相关要求及《恶臭污染物排放标准》（GB14554-1993）表2恶臭污染物排放标准；盐酸储罐、污水处理产生的废气经碱水喷淋塔处理后由16m高排气筒排放，氯化氢执行《大气污染物综合排放标准》（GB16297-1996）表 2 二级排放限值。无组织废气执行《钢铁工业大气污染物超低排放标准》（DB13/2169-2018）表5企业大气污染物无组织排放浓度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限值要求及《恶臭污染物排放标准》（GB14554-1993）表1恶臭污染标准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3、废水：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生活废水排入厂区防渗旱厕，定期清掏用于农肥；水洗池</w:t>
      </w:r>
      <w:r>
        <w:rPr>
          <w:rFonts w:hint="eastAsia" w:ascii="仿宋_GB2312" w:hAnsi="宋体" w:eastAsia="仿宋_GB2312"/>
          <w:sz w:val="32"/>
          <w:szCs w:val="32"/>
        </w:rPr>
        <w:t>废水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和酸雾吸收塔废水经厂区污水处理站（</w:t>
      </w:r>
      <w:r>
        <w:rPr>
          <w:rFonts w:hint="eastAsia" w:ascii="仿宋_GB2312" w:hAnsi="宋体" w:eastAsia="仿宋_GB2312"/>
          <w:sz w:val="32"/>
          <w:szCs w:val="32"/>
        </w:rPr>
        <w:t>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中和调节</w:t>
      </w:r>
      <w:r>
        <w:rPr>
          <w:rFonts w:hint="eastAsia" w:ascii="仿宋_GB2312" w:hAnsi="宋体" w:eastAsia="仿宋_GB2312"/>
          <w:sz w:val="32"/>
          <w:szCs w:val="32"/>
        </w:rPr>
        <w:t>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絮凝沉淀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+过滤</w:t>
      </w:r>
      <w:r>
        <w:rPr>
          <w:rFonts w:hint="eastAsia" w:ascii="仿宋_GB2312" w:hAnsi="宋体" w:eastAsia="仿宋_GB2312"/>
          <w:sz w:val="32"/>
          <w:szCs w:val="32"/>
        </w:rPr>
        <w:t>”工艺处理，处理规模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）处理后全部回用于水洗工序不外排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4、噪声：采取设备基础减震、厂房隔声等措施降噪。厂界噪声执行《工业企业厂界噪声排放标准》（GB12348-2008）3类标准要求。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边角料、废包装、锌渣收集后外售，</w:t>
      </w:r>
      <w:r>
        <w:rPr>
          <w:rFonts w:hint="eastAsia" w:ascii="仿宋_GB2312" w:hAnsi="宋体" w:eastAsia="仿宋_GB2312"/>
          <w:sz w:val="32"/>
          <w:szCs w:val="32"/>
        </w:rPr>
        <w:t>职工生活垃圾定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期由环卫部门清运；废酸及槽渣密闭灌装收集，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助镀液除铁压滤残渣、除尘灰、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槽渣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、废水处理污泥及蒸发残渣、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润滑等危险废物暂存于危废间内定期由有资质</w:t>
      </w:r>
      <w:r>
        <w:rPr>
          <w:rFonts w:hint="eastAsia" w:ascii="仿宋_GB2312" w:hAnsi="宋体" w:eastAsia="仿宋_GB2312"/>
          <w:sz w:val="32"/>
          <w:szCs w:val="32"/>
        </w:rPr>
        <w:t>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技改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 xml:space="preserve">、总氮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.022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.336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.864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B875DF"/>
    <w:rsid w:val="01EC2AB3"/>
    <w:rsid w:val="02011231"/>
    <w:rsid w:val="05BC74FE"/>
    <w:rsid w:val="05D4108A"/>
    <w:rsid w:val="07A1353C"/>
    <w:rsid w:val="07B176A4"/>
    <w:rsid w:val="0AEB5425"/>
    <w:rsid w:val="0B481D63"/>
    <w:rsid w:val="0C16593E"/>
    <w:rsid w:val="0C97755A"/>
    <w:rsid w:val="0D30246C"/>
    <w:rsid w:val="0E583979"/>
    <w:rsid w:val="108F528A"/>
    <w:rsid w:val="10EA255E"/>
    <w:rsid w:val="1185303E"/>
    <w:rsid w:val="127D3D10"/>
    <w:rsid w:val="14526756"/>
    <w:rsid w:val="161A65EC"/>
    <w:rsid w:val="17646AA5"/>
    <w:rsid w:val="17B66943"/>
    <w:rsid w:val="180A1BA7"/>
    <w:rsid w:val="18233BF1"/>
    <w:rsid w:val="186B2112"/>
    <w:rsid w:val="19E36B84"/>
    <w:rsid w:val="1B435ABA"/>
    <w:rsid w:val="1B555BC5"/>
    <w:rsid w:val="1C756F99"/>
    <w:rsid w:val="1F65395D"/>
    <w:rsid w:val="203A4448"/>
    <w:rsid w:val="21C108BC"/>
    <w:rsid w:val="21C43240"/>
    <w:rsid w:val="226763F9"/>
    <w:rsid w:val="227109E5"/>
    <w:rsid w:val="22944E71"/>
    <w:rsid w:val="254210F2"/>
    <w:rsid w:val="26D409E8"/>
    <w:rsid w:val="26E70D8B"/>
    <w:rsid w:val="277C5613"/>
    <w:rsid w:val="277D747A"/>
    <w:rsid w:val="279C3337"/>
    <w:rsid w:val="27C35008"/>
    <w:rsid w:val="27D93A9E"/>
    <w:rsid w:val="29A34BAE"/>
    <w:rsid w:val="2A09078E"/>
    <w:rsid w:val="2B4F2732"/>
    <w:rsid w:val="2B5A7FCE"/>
    <w:rsid w:val="2C0E4CD2"/>
    <w:rsid w:val="2D5354E7"/>
    <w:rsid w:val="2D64027C"/>
    <w:rsid w:val="2F5514CF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3C769F"/>
    <w:rsid w:val="43722580"/>
    <w:rsid w:val="44E1667F"/>
    <w:rsid w:val="46A730DE"/>
    <w:rsid w:val="46E432E1"/>
    <w:rsid w:val="46EE4140"/>
    <w:rsid w:val="474E443F"/>
    <w:rsid w:val="47542DA3"/>
    <w:rsid w:val="47D40710"/>
    <w:rsid w:val="49B358F8"/>
    <w:rsid w:val="4CA57439"/>
    <w:rsid w:val="4E4B482B"/>
    <w:rsid w:val="4FEE733A"/>
    <w:rsid w:val="50462D53"/>
    <w:rsid w:val="513F288E"/>
    <w:rsid w:val="51CE702E"/>
    <w:rsid w:val="52E82BD1"/>
    <w:rsid w:val="54F71E77"/>
    <w:rsid w:val="56371692"/>
    <w:rsid w:val="583E6983"/>
    <w:rsid w:val="593F1DB2"/>
    <w:rsid w:val="59830D92"/>
    <w:rsid w:val="59F30509"/>
    <w:rsid w:val="5B5A72FA"/>
    <w:rsid w:val="5C201F92"/>
    <w:rsid w:val="5D926314"/>
    <w:rsid w:val="5E7D2A6E"/>
    <w:rsid w:val="5FD04FB0"/>
    <w:rsid w:val="6084659E"/>
    <w:rsid w:val="6096628C"/>
    <w:rsid w:val="60B24EE3"/>
    <w:rsid w:val="62F95F32"/>
    <w:rsid w:val="632C4F41"/>
    <w:rsid w:val="6433723C"/>
    <w:rsid w:val="64697016"/>
    <w:rsid w:val="69CE16C4"/>
    <w:rsid w:val="6AEA42FE"/>
    <w:rsid w:val="6B6925A7"/>
    <w:rsid w:val="6BA37A4C"/>
    <w:rsid w:val="6BDC272A"/>
    <w:rsid w:val="6C2F044B"/>
    <w:rsid w:val="6CEE121D"/>
    <w:rsid w:val="6DE626F6"/>
    <w:rsid w:val="6EAE4423"/>
    <w:rsid w:val="72AD6AD3"/>
    <w:rsid w:val="746A461D"/>
    <w:rsid w:val="74CE0E17"/>
    <w:rsid w:val="75A5459B"/>
    <w:rsid w:val="77006CA8"/>
    <w:rsid w:val="784B5AAC"/>
    <w:rsid w:val="79324EE8"/>
    <w:rsid w:val="79903EE4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1341</Words>
  <Characters>1507</Characters>
  <Lines>1</Lines>
  <Paragraphs>2</Paragraphs>
  <TotalTime>8</TotalTime>
  <ScaleCrop>false</ScaleCrop>
  <LinksUpToDate>false</LinksUpToDate>
  <CharactersWithSpaces>1553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悠幽</cp:lastModifiedBy>
  <cp:lastPrinted>2021-03-01T01:51:00Z</cp:lastPrinted>
  <dcterms:modified xsi:type="dcterms:W3CDTF">2022-05-17T02:07:07Z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077B7F5A994742C68317A4428B2F6CAF</vt:lpwstr>
  </property>
</Properties>
</file>