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30" w:hRule="atLeast"/>
        </w:trPr>
        <w:tc>
          <w:tcPr>
            <w:tcW w:w="8522" w:type="dxa"/>
          </w:tcPr>
          <w:p>
            <w:pPr>
              <w:tabs>
                <w:tab w:val="left" w:pos="3960"/>
              </w:tabs>
              <w:spacing w:line="600" w:lineRule="exact"/>
              <w:ind w:left="105" w:leftChars="50" w:right="115" w:rightChars="55"/>
              <w:rPr>
                <w:rFonts w:hint="eastAsia" w:ascii="宋体" w:hAnsi="宋体"/>
                <w:kern w:val="0"/>
                <w:sz w:val="30"/>
                <w:szCs w:val="30"/>
              </w:rPr>
            </w:pPr>
            <w:r>
              <w:rPr>
                <w:rFonts w:hint="eastAsia" w:ascii="宋体" w:hAnsi="宋体"/>
                <w:kern w:val="0"/>
                <w:sz w:val="30"/>
                <w:szCs w:val="30"/>
              </w:rPr>
              <w:t>审批意见：</w:t>
            </w:r>
          </w:p>
          <w:p>
            <w:pPr>
              <w:keepNext w:val="0"/>
              <w:keepLines w:val="0"/>
              <w:pageBreakBefore w:val="0"/>
              <w:widowControl w:val="0"/>
              <w:kinsoku/>
              <w:wordWrap/>
              <w:overflowPunct/>
              <w:topLinePunct w:val="0"/>
              <w:autoSpaceDE/>
              <w:autoSpaceDN/>
              <w:bidi w:val="0"/>
              <w:adjustRightInd/>
              <w:snapToGrid/>
              <w:spacing w:line="560" w:lineRule="exact"/>
              <w:ind w:left="178" w:leftChars="85" w:right="71" w:rightChars="34" w:firstLine="579" w:firstLineChars="193"/>
              <w:jc w:val="right"/>
              <w:textAlignment w:val="auto"/>
              <w:rPr>
                <w:rFonts w:hint="eastAsia" w:ascii="宋体" w:hAnsi="宋体"/>
                <w:kern w:val="0"/>
                <w:sz w:val="30"/>
                <w:szCs w:val="30"/>
              </w:rPr>
            </w:pPr>
            <w:r>
              <w:rPr>
                <w:rFonts w:hint="eastAsia" w:ascii="宋体" w:hAnsi="宋体"/>
                <w:kern w:val="0"/>
                <w:sz w:val="30"/>
                <w:szCs w:val="30"/>
              </w:rPr>
              <w:t>保满审环表字[202</w:t>
            </w:r>
            <w:r>
              <w:rPr>
                <w:rFonts w:hint="eastAsia" w:ascii="宋体" w:hAnsi="宋体"/>
                <w:kern w:val="0"/>
                <w:sz w:val="30"/>
                <w:szCs w:val="30"/>
                <w:lang w:val="en-US" w:eastAsia="zh-CN"/>
              </w:rPr>
              <w:t>2</w:t>
            </w:r>
            <w:r>
              <w:rPr>
                <w:rFonts w:hint="eastAsia" w:ascii="宋体" w:hAnsi="宋体"/>
                <w:kern w:val="0"/>
                <w:sz w:val="30"/>
                <w:szCs w:val="30"/>
              </w:rPr>
              <w:t>]</w:t>
            </w:r>
            <w:r>
              <w:rPr>
                <w:rFonts w:hint="eastAsia" w:ascii="宋体" w:hAnsi="宋体"/>
                <w:kern w:val="0"/>
                <w:sz w:val="30"/>
                <w:szCs w:val="30"/>
                <w:lang w:val="en-US" w:eastAsia="zh-CN"/>
              </w:rPr>
              <w:t>16</w:t>
            </w:r>
            <w:r>
              <w:rPr>
                <w:rFonts w:hint="eastAsia" w:ascii="宋体" w:hAnsi="宋体"/>
                <w:kern w:val="0"/>
                <w:sz w:val="30"/>
                <w:szCs w:val="30"/>
              </w:rPr>
              <w:t>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both"/>
              <w:textAlignment w:val="auto"/>
              <w:rPr>
                <w:rFonts w:hint="eastAsia" w:ascii="宋体" w:hAnsi="宋体" w:cs="Times New Roman"/>
                <w:kern w:val="0"/>
                <w:sz w:val="30"/>
                <w:szCs w:val="30"/>
                <w:lang w:val="en-US" w:eastAsia="zh-CN"/>
              </w:rPr>
            </w:pPr>
            <w:r>
              <w:rPr>
                <w:rFonts w:hint="eastAsia" w:ascii="宋体" w:hAnsi="宋体" w:cs="Times New Roman"/>
                <w:kern w:val="0"/>
                <w:sz w:val="30"/>
                <w:szCs w:val="30"/>
              </w:rPr>
              <w:t>所报《</w:t>
            </w:r>
            <w:r>
              <w:rPr>
                <w:rFonts w:hint="eastAsia" w:ascii="宋体" w:hAnsi="宋体" w:cs="Times New Roman"/>
                <w:kern w:val="0"/>
                <w:sz w:val="30"/>
                <w:szCs w:val="30"/>
                <w:lang w:val="en-US" w:eastAsia="zh-CN"/>
              </w:rPr>
              <w:t>保定绿保建筑材料制造有限公司绿保建材项目</w:t>
            </w:r>
            <w:r>
              <w:rPr>
                <w:rFonts w:hint="eastAsia" w:ascii="宋体" w:hAnsi="宋体" w:cs="Times New Roman"/>
                <w:kern w:val="0"/>
                <w:sz w:val="30"/>
                <w:szCs w:val="30"/>
              </w:rPr>
              <w:t>环境影响报告表》收悉，根据报告表结论，经局领导审核通过后，研究批复如下：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both"/>
              <w:textAlignment w:val="auto"/>
              <w:rPr>
                <w:rFonts w:hint="eastAsia" w:ascii="宋体" w:hAnsi="宋体" w:cs="Times New Roman"/>
                <w:kern w:val="0"/>
                <w:sz w:val="30"/>
                <w:szCs w:val="30"/>
                <w:lang w:val="en-US" w:eastAsia="zh-CN"/>
              </w:rPr>
            </w:pPr>
            <w:r>
              <w:rPr>
                <w:rFonts w:hint="eastAsia" w:ascii="宋体" w:hAnsi="宋体" w:cs="Times New Roman"/>
                <w:kern w:val="0"/>
                <w:sz w:val="30"/>
                <w:szCs w:val="30"/>
                <w:lang w:val="en-US" w:eastAsia="zh-CN"/>
              </w:rPr>
              <w:t xml:space="preserve">一、项目位于保定市满城新兴产业园区纬七路南侧、经八街西侧，厂区中心地理坐标为：东经：115°18′36.51″，北纬 </w:t>
            </w:r>
            <w:r>
              <w:rPr>
                <w:rFonts w:hint="default" w:ascii="宋体" w:hAnsi="宋体" w:cs="Times New Roman"/>
                <w:kern w:val="0"/>
                <w:sz w:val="30"/>
                <w:szCs w:val="30"/>
                <w:lang w:val="en-US" w:eastAsia="zh-CN"/>
              </w:rPr>
              <w:t>38°5</w:t>
            </w:r>
            <w:r>
              <w:rPr>
                <w:rFonts w:hint="eastAsia" w:ascii="宋体" w:hAnsi="宋体" w:cs="Times New Roman"/>
                <w:kern w:val="0"/>
                <w:sz w:val="30"/>
                <w:szCs w:val="30"/>
                <w:lang w:val="en-US" w:eastAsia="zh-CN"/>
              </w:rPr>
              <w:t>2</w:t>
            </w:r>
            <w:r>
              <w:rPr>
                <w:rFonts w:hint="default" w:ascii="宋体" w:hAnsi="宋体" w:cs="Times New Roman"/>
                <w:kern w:val="0"/>
                <w:sz w:val="30"/>
                <w:szCs w:val="30"/>
                <w:lang w:val="en-US" w:eastAsia="zh-CN"/>
              </w:rPr>
              <w:t>′</w:t>
            </w:r>
            <w:r>
              <w:rPr>
                <w:rFonts w:hint="eastAsia" w:ascii="宋体" w:hAnsi="宋体" w:cs="Times New Roman"/>
                <w:kern w:val="0"/>
                <w:sz w:val="30"/>
                <w:szCs w:val="30"/>
                <w:lang w:val="en-US" w:eastAsia="zh-CN"/>
              </w:rPr>
              <w:t>10.72</w:t>
            </w:r>
            <w:r>
              <w:rPr>
                <w:rFonts w:hint="default" w:ascii="宋体" w:hAnsi="宋体" w:cs="Times New Roman"/>
                <w:kern w:val="0"/>
                <w:sz w:val="30"/>
                <w:szCs w:val="30"/>
                <w:lang w:val="en-US" w:eastAsia="zh-CN"/>
              </w:rPr>
              <w:t>″</w:t>
            </w:r>
            <w:r>
              <w:rPr>
                <w:rFonts w:hint="eastAsia" w:ascii="宋体" w:hAnsi="宋体" w:cs="Times New Roman"/>
                <w:kern w:val="0"/>
                <w:sz w:val="30"/>
                <w:szCs w:val="30"/>
                <w:lang w:val="en-US" w:eastAsia="zh-CN"/>
              </w:rPr>
              <w:t>。项目南侧为保阜公路，北侧为空地，西侧为农田，东侧为规划的经八街。</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both"/>
              <w:textAlignment w:val="auto"/>
              <w:rPr>
                <w:rFonts w:hint="eastAsia" w:ascii="宋体" w:hAnsi="宋体" w:cs="Times New Roman"/>
                <w:kern w:val="0"/>
                <w:sz w:val="30"/>
                <w:szCs w:val="30"/>
                <w:lang w:val="en-US" w:eastAsia="zh-CN"/>
              </w:rPr>
            </w:pPr>
            <w:r>
              <w:rPr>
                <w:rFonts w:hint="eastAsia" w:ascii="宋体" w:hAnsi="宋体" w:cs="Times New Roman"/>
                <w:kern w:val="0"/>
                <w:sz w:val="30"/>
                <w:szCs w:val="30"/>
                <w:lang w:val="en-US" w:eastAsia="zh-CN"/>
              </w:rPr>
              <w:t>二、项目总投资11500万元，其中环保投资115万元。购置并安装PC构件模具80套、标准模台1台、布料机1台、振动台1套、振动赶平机1台、养护系统1套、打磨修光机1台、混凝土搅拌站1套、电子配料系统1套、混凝土搅拌机2台、加强版双车位振动砂石分离机1台、浆水搅拌回收系统1套、筒仓10个、储罐4个、龙门洗车机、数字式电子汽车衡系统等设备。项目建成后，年产混凝土</w:t>
            </w:r>
            <w:r>
              <w:rPr>
                <w:rFonts w:hint="default" w:ascii="宋体" w:hAnsi="宋体" w:cs="Times New Roman"/>
                <w:kern w:val="0"/>
                <w:sz w:val="30"/>
                <w:szCs w:val="30"/>
                <w:lang w:val="en-US" w:eastAsia="zh-CN"/>
              </w:rPr>
              <w:t>80</w:t>
            </w:r>
            <w:r>
              <w:rPr>
                <w:rFonts w:hint="eastAsia" w:ascii="宋体" w:hAnsi="宋体" w:cs="Times New Roman"/>
                <w:kern w:val="0"/>
                <w:sz w:val="30"/>
                <w:szCs w:val="30"/>
                <w:lang w:val="en-US" w:eastAsia="zh-CN"/>
              </w:rPr>
              <w:t>万立方米（非加气混凝土）、装配式绿色建筑构件1万件。项目已由河北满城经济开发区管理委员会行政审批局备案，备案编号：满经开备【2022】10</w:t>
            </w:r>
            <w:bookmarkStart w:id="0" w:name="_GoBack"/>
            <w:bookmarkEnd w:id="0"/>
            <w:r>
              <w:rPr>
                <w:rFonts w:hint="eastAsia" w:ascii="宋体" w:hAnsi="宋体" w:cs="Times New Roman"/>
                <w:kern w:val="0"/>
                <w:sz w:val="30"/>
                <w:szCs w:val="30"/>
                <w:lang w:val="en-US" w:eastAsia="zh-CN"/>
              </w:rPr>
              <w:t>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both"/>
              <w:textAlignment w:val="auto"/>
              <w:rPr>
                <w:rFonts w:hint="eastAsia" w:ascii="宋体" w:hAnsi="宋体" w:cs="Times New Roman"/>
                <w:kern w:val="0"/>
                <w:sz w:val="30"/>
                <w:szCs w:val="30"/>
                <w:lang w:val="en-US" w:eastAsia="zh-CN"/>
              </w:rPr>
            </w:pPr>
            <w:r>
              <w:rPr>
                <w:rFonts w:hint="eastAsia" w:ascii="宋体" w:hAnsi="宋体" w:cs="Times New Roman"/>
                <w:kern w:val="0"/>
                <w:sz w:val="30"/>
                <w:szCs w:val="30"/>
                <w:lang w:val="en-US" w:eastAsia="zh-CN"/>
              </w:rPr>
              <w:t>三、你单位在建设及运营过程中要严格按本项</w:t>
            </w:r>
            <w:r>
              <w:rPr>
                <w:rFonts w:hint="eastAsia" w:ascii="宋体" w:hAnsi="宋体"/>
                <w:kern w:val="0"/>
                <w:sz w:val="30"/>
                <w:szCs w:val="30"/>
              </w:rPr>
              <w:t>目环境影响报告表规定的内容，认真落实各项污染防治措施，确保污染物稳定达标</w:t>
            </w:r>
            <w:r>
              <w:rPr>
                <w:rFonts w:hint="eastAsia" w:ascii="宋体" w:hAnsi="宋体" w:cs="Times New Roman"/>
                <w:kern w:val="0"/>
                <w:sz w:val="30"/>
                <w:szCs w:val="30"/>
                <w:lang w:val="en-US" w:eastAsia="zh-CN"/>
              </w:rPr>
              <w:t>排放。</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both"/>
              <w:textAlignment w:val="auto"/>
              <w:rPr>
                <w:rFonts w:hint="eastAsia" w:ascii="宋体" w:hAnsi="宋体" w:cs="Times New Roman"/>
                <w:kern w:val="0"/>
                <w:sz w:val="30"/>
                <w:szCs w:val="30"/>
                <w:lang w:val="en-US" w:eastAsia="zh-CN"/>
              </w:rPr>
            </w:pPr>
            <w:r>
              <w:rPr>
                <w:rFonts w:hint="eastAsia" w:ascii="宋体" w:hAnsi="宋体" w:cs="Times New Roman"/>
                <w:kern w:val="0"/>
                <w:sz w:val="30"/>
                <w:szCs w:val="30"/>
                <w:lang w:val="en-US" w:eastAsia="zh-CN"/>
              </w:rPr>
              <w:t>1、废水：混凝土罐车清洗废水排入沉淀池沉淀处理后回用于车辆清洗；设备清洗废水经砂石分离机分离后，直接回用于搅拌工序；生活污水排入化粪池定期清掏，不外排。</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both"/>
              <w:textAlignment w:val="auto"/>
              <w:rPr>
                <w:rFonts w:hint="eastAsia" w:ascii="宋体" w:hAnsi="宋体" w:cs="Times New Roman"/>
                <w:kern w:val="0"/>
                <w:sz w:val="30"/>
                <w:szCs w:val="30"/>
                <w:lang w:val="en-US" w:eastAsia="zh-CN"/>
              </w:rPr>
            </w:pPr>
            <w:r>
              <w:rPr>
                <w:rFonts w:hint="eastAsia" w:ascii="宋体" w:hAnsi="宋体" w:cs="Times New Roman"/>
                <w:kern w:val="0"/>
                <w:sz w:val="30"/>
                <w:szCs w:val="30"/>
                <w:lang w:val="en-US" w:eastAsia="zh-CN"/>
              </w:rPr>
              <w:t>2、废气：水泥、粉煤灰、矿粉筒仓分别经各自的布袋除尘器，搅拌工序废气经布袋除尘器处理后共同经</w:t>
            </w:r>
            <w:r>
              <w:rPr>
                <w:rFonts w:hint="default" w:ascii="宋体" w:hAnsi="宋体" w:cs="Times New Roman"/>
                <w:kern w:val="0"/>
                <w:sz w:val="30"/>
                <w:szCs w:val="30"/>
                <w:lang w:val="en-US" w:eastAsia="zh-CN"/>
              </w:rPr>
              <w:t>1</w:t>
            </w:r>
            <w:r>
              <w:rPr>
                <w:rFonts w:hint="eastAsia" w:ascii="宋体" w:hAnsi="宋体" w:cs="Times New Roman"/>
                <w:kern w:val="0"/>
                <w:sz w:val="30"/>
                <w:szCs w:val="30"/>
                <w:lang w:val="en-US" w:eastAsia="zh-CN"/>
              </w:rPr>
              <w:t>根排气筒（</w:t>
            </w:r>
            <w:r>
              <w:rPr>
                <w:rFonts w:hint="default" w:ascii="宋体" w:hAnsi="宋体" w:cs="Times New Roman"/>
                <w:kern w:val="0"/>
                <w:sz w:val="30"/>
                <w:szCs w:val="30"/>
                <w:lang w:val="en-US" w:eastAsia="zh-CN"/>
              </w:rPr>
              <w:t>P1</w:t>
            </w:r>
            <w:r>
              <w:rPr>
                <w:rFonts w:hint="eastAsia" w:ascii="宋体" w:hAnsi="宋体" w:cs="Times New Roman"/>
                <w:kern w:val="0"/>
                <w:sz w:val="30"/>
                <w:szCs w:val="30"/>
                <w:lang w:val="en-US" w:eastAsia="zh-CN"/>
              </w:rPr>
              <w:t>）排放。水泥、粉煤灰、矿粉筒仓分别经各自的布袋除尘器，搅拌工序废气经布袋除尘器处理后共同经</w:t>
            </w:r>
            <w:r>
              <w:rPr>
                <w:rFonts w:hint="default" w:ascii="宋体" w:hAnsi="宋体" w:cs="Times New Roman"/>
                <w:kern w:val="0"/>
                <w:sz w:val="30"/>
                <w:szCs w:val="30"/>
                <w:lang w:val="en-US" w:eastAsia="zh-CN"/>
              </w:rPr>
              <w:t>1</w:t>
            </w:r>
            <w:r>
              <w:rPr>
                <w:rFonts w:hint="eastAsia" w:ascii="宋体" w:hAnsi="宋体" w:cs="Times New Roman"/>
                <w:kern w:val="0"/>
                <w:sz w:val="30"/>
                <w:szCs w:val="30"/>
                <w:lang w:val="en-US" w:eastAsia="zh-CN"/>
              </w:rPr>
              <w:t>根排气筒（</w:t>
            </w:r>
            <w:r>
              <w:rPr>
                <w:rFonts w:hint="default" w:ascii="宋体" w:hAnsi="宋体" w:cs="Times New Roman"/>
                <w:kern w:val="0"/>
                <w:sz w:val="30"/>
                <w:szCs w:val="30"/>
                <w:lang w:val="en-US" w:eastAsia="zh-CN"/>
              </w:rPr>
              <w:t>P2</w:t>
            </w:r>
            <w:r>
              <w:rPr>
                <w:rFonts w:hint="eastAsia" w:ascii="宋体" w:hAnsi="宋体" w:cs="Times New Roman"/>
                <w:kern w:val="0"/>
                <w:sz w:val="30"/>
                <w:szCs w:val="30"/>
                <w:lang w:val="en-US" w:eastAsia="zh-CN"/>
              </w:rPr>
              <w:t>）排放。装载机上料口设置集气罩收集后经布袋除尘器处理后废气与膨胀剂筒仓分别经各自的布袋除尘器处理后的废气共同经</w:t>
            </w:r>
            <w:r>
              <w:rPr>
                <w:rFonts w:hint="default" w:ascii="宋体" w:hAnsi="宋体" w:cs="Times New Roman"/>
                <w:kern w:val="0"/>
                <w:sz w:val="30"/>
                <w:szCs w:val="30"/>
                <w:lang w:val="en-US" w:eastAsia="zh-CN"/>
              </w:rPr>
              <w:t>1</w:t>
            </w:r>
            <w:r>
              <w:rPr>
                <w:rFonts w:hint="eastAsia" w:ascii="宋体" w:hAnsi="宋体" w:cs="Times New Roman"/>
                <w:kern w:val="0"/>
                <w:sz w:val="30"/>
                <w:szCs w:val="30"/>
                <w:lang w:val="en-US" w:eastAsia="zh-CN"/>
              </w:rPr>
              <w:t>根排气筒（</w:t>
            </w:r>
            <w:r>
              <w:rPr>
                <w:rFonts w:hint="default" w:ascii="宋体" w:hAnsi="宋体" w:cs="Times New Roman"/>
                <w:kern w:val="0"/>
                <w:sz w:val="30"/>
                <w:szCs w:val="30"/>
                <w:lang w:val="en-US" w:eastAsia="zh-CN"/>
              </w:rPr>
              <w:t>P3</w:t>
            </w:r>
            <w:r>
              <w:rPr>
                <w:rFonts w:hint="eastAsia" w:ascii="宋体" w:hAnsi="宋体" w:cs="Times New Roman"/>
                <w:kern w:val="0"/>
                <w:sz w:val="30"/>
                <w:szCs w:val="30"/>
                <w:lang w:val="en-US" w:eastAsia="zh-CN"/>
              </w:rPr>
              <w:t>）排放。有组织废气执行《水泥工业大气污染物超低排放标准》（DB13/2167-20</w:t>
            </w:r>
            <w:r>
              <w:rPr>
                <w:rFonts w:hint="default" w:ascii="宋体" w:hAnsi="宋体" w:cs="Times New Roman"/>
                <w:kern w:val="0"/>
                <w:sz w:val="30"/>
                <w:szCs w:val="30"/>
                <w:lang w:val="en-US" w:eastAsia="zh-CN"/>
              </w:rPr>
              <w:t>20</w:t>
            </w:r>
            <w:r>
              <w:rPr>
                <w:rFonts w:hint="eastAsia" w:ascii="宋体" w:hAnsi="宋体" w:cs="Times New Roman"/>
                <w:kern w:val="0"/>
                <w:sz w:val="30"/>
                <w:szCs w:val="30"/>
                <w:lang w:val="en-US" w:eastAsia="zh-CN"/>
              </w:rPr>
              <w:t>）表</w:t>
            </w:r>
            <w:r>
              <w:rPr>
                <w:rFonts w:hint="default" w:ascii="宋体" w:hAnsi="宋体" w:cs="Times New Roman"/>
                <w:kern w:val="0"/>
                <w:sz w:val="30"/>
                <w:szCs w:val="30"/>
                <w:lang w:val="en-US" w:eastAsia="zh-CN"/>
              </w:rPr>
              <w:t>1</w:t>
            </w:r>
            <w:r>
              <w:rPr>
                <w:rFonts w:hint="eastAsia" w:ascii="宋体" w:hAnsi="宋体" w:cs="Times New Roman"/>
                <w:kern w:val="0"/>
                <w:sz w:val="30"/>
                <w:szCs w:val="30"/>
                <w:lang w:val="en-US" w:eastAsia="zh-CN"/>
              </w:rPr>
              <w:t>中</w:t>
            </w:r>
            <w:r>
              <w:rPr>
                <w:rFonts w:hint="default" w:ascii="宋体" w:hAnsi="宋体" w:cs="Times New Roman"/>
                <w:kern w:val="0"/>
                <w:sz w:val="30"/>
                <w:szCs w:val="30"/>
                <w:lang w:val="en-US" w:eastAsia="zh-CN"/>
              </w:rPr>
              <w:t>“</w:t>
            </w:r>
            <w:r>
              <w:rPr>
                <w:rFonts w:hint="eastAsia" w:ascii="宋体" w:hAnsi="宋体" w:cs="Times New Roman"/>
                <w:kern w:val="0"/>
                <w:sz w:val="30"/>
                <w:szCs w:val="30"/>
                <w:lang w:val="en-US" w:eastAsia="zh-CN"/>
              </w:rPr>
              <w:t>散装水泥中转站及水泥制品生产</w:t>
            </w:r>
            <w:r>
              <w:rPr>
                <w:rFonts w:hint="default" w:ascii="宋体" w:hAnsi="宋体" w:cs="Times New Roman"/>
                <w:kern w:val="0"/>
                <w:sz w:val="30"/>
                <w:szCs w:val="30"/>
                <w:lang w:val="en-US" w:eastAsia="zh-CN"/>
              </w:rPr>
              <w:t>”</w:t>
            </w:r>
            <w:r>
              <w:rPr>
                <w:rFonts w:hint="eastAsia" w:ascii="宋体" w:hAnsi="宋体" w:cs="Times New Roman"/>
                <w:kern w:val="0"/>
                <w:sz w:val="30"/>
                <w:szCs w:val="30"/>
                <w:lang w:val="en-US" w:eastAsia="zh-CN"/>
              </w:rPr>
              <w:t>排放限值。砂石料卸料、堆放、上料过程均在封闭车间区内进行；原料区顶部设水喷淋系统，定时洒水抑尘；无组织废气执行《水泥工业大气污染物超低排放标准》（DB13/2167-2</w:t>
            </w:r>
            <w:r>
              <w:rPr>
                <w:rFonts w:hint="default" w:ascii="宋体" w:hAnsi="宋体" w:cs="Times New Roman"/>
                <w:kern w:val="0"/>
                <w:sz w:val="30"/>
                <w:szCs w:val="30"/>
                <w:lang w:val="en-US" w:eastAsia="zh-CN"/>
              </w:rPr>
              <w:t>020</w:t>
            </w:r>
            <w:r>
              <w:rPr>
                <w:rFonts w:hint="eastAsia" w:ascii="宋体" w:hAnsi="宋体" w:cs="Times New Roman"/>
                <w:kern w:val="0"/>
                <w:sz w:val="30"/>
                <w:szCs w:val="30"/>
                <w:lang w:val="en-US" w:eastAsia="zh-CN"/>
              </w:rPr>
              <w:t>）表</w:t>
            </w:r>
            <w:r>
              <w:rPr>
                <w:rFonts w:hint="default" w:ascii="宋体" w:hAnsi="宋体" w:cs="Times New Roman"/>
                <w:kern w:val="0"/>
                <w:sz w:val="30"/>
                <w:szCs w:val="30"/>
                <w:lang w:val="en-US" w:eastAsia="zh-CN"/>
              </w:rPr>
              <w:t>2</w:t>
            </w:r>
            <w:r>
              <w:rPr>
                <w:rFonts w:hint="eastAsia" w:ascii="宋体" w:hAnsi="宋体" w:cs="Times New Roman"/>
                <w:kern w:val="0"/>
                <w:sz w:val="30"/>
                <w:szCs w:val="30"/>
                <w:lang w:val="en-US" w:eastAsia="zh-CN"/>
              </w:rPr>
              <w:t>大气污染物无组织排放限值。</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both"/>
              <w:textAlignment w:val="auto"/>
              <w:rPr>
                <w:rFonts w:hint="eastAsia" w:ascii="宋体" w:hAnsi="宋体" w:cs="Times New Roman"/>
                <w:kern w:val="0"/>
                <w:sz w:val="30"/>
                <w:szCs w:val="30"/>
                <w:lang w:val="en-US" w:eastAsia="zh-CN"/>
              </w:rPr>
            </w:pPr>
            <w:r>
              <w:rPr>
                <w:rFonts w:hint="eastAsia" w:ascii="宋体" w:hAnsi="宋体"/>
                <w:kern w:val="0"/>
                <w:sz w:val="30"/>
                <w:szCs w:val="30"/>
              </w:rPr>
              <w:t>3、噪声：</w:t>
            </w:r>
            <w:r>
              <w:rPr>
                <w:rFonts w:hint="eastAsia" w:ascii="宋体" w:hAnsi="宋体" w:cs="Times New Roman"/>
                <w:kern w:val="0"/>
                <w:sz w:val="30"/>
                <w:szCs w:val="30"/>
                <w:lang w:val="en-US" w:eastAsia="zh-CN"/>
              </w:rPr>
              <w:t>主要为生产时设备产生的噪声，采用厂房隔声、基础减震等措施，厂界执行《工业企业厂界环境噪声排放标准》（GB12348-2008）3类、4类标准。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both"/>
              <w:textAlignment w:val="auto"/>
              <w:rPr>
                <w:rFonts w:hint="eastAsia" w:ascii="宋体" w:hAnsi="宋体" w:cs="Times New Roman"/>
                <w:kern w:val="0"/>
                <w:sz w:val="30"/>
                <w:szCs w:val="30"/>
                <w:lang w:val="en-US" w:eastAsia="zh-CN"/>
              </w:rPr>
            </w:pPr>
            <w:r>
              <w:rPr>
                <w:rFonts w:hint="eastAsia" w:ascii="宋体" w:hAnsi="宋体" w:cs="Times New Roman"/>
                <w:kern w:val="0"/>
                <w:sz w:val="30"/>
                <w:szCs w:val="30"/>
                <w:lang w:val="en-US" w:eastAsia="zh-CN"/>
              </w:rPr>
              <w:t>4、固体废物：除尘灰、沉渣、砂石回用于生产；职工生活垃圾交由当地环卫部门清运处理。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both"/>
              <w:textAlignment w:val="auto"/>
              <w:rPr>
                <w:rFonts w:hint="eastAsia" w:ascii="宋体" w:hAnsi="宋体" w:cs="Times New Roman"/>
                <w:kern w:val="0"/>
                <w:sz w:val="30"/>
                <w:szCs w:val="30"/>
                <w:lang w:val="en-US" w:eastAsia="zh-CN"/>
              </w:rPr>
            </w:pPr>
            <w:r>
              <w:rPr>
                <w:rFonts w:hint="eastAsia" w:ascii="宋体" w:hAnsi="宋体" w:cs="Times New Roman"/>
                <w:kern w:val="0"/>
                <w:sz w:val="30"/>
                <w:szCs w:val="30"/>
                <w:lang w:val="en-US" w:eastAsia="zh-CN"/>
              </w:rPr>
              <w:t>四、污染物排放总量控制指标为：SO</w:t>
            </w:r>
            <w:r>
              <w:rPr>
                <w:rFonts w:hint="default" w:ascii="宋体" w:hAnsi="宋体" w:cs="Times New Roman"/>
                <w:kern w:val="0"/>
                <w:sz w:val="30"/>
                <w:szCs w:val="30"/>
                <w:vertAlign w:val="subscript"/>
                <w:lang w:val="en-US" w:eastAsia="zh-CN"/>
              </w:rPr>
              <w:t>2</w:t>
            </w:r>
            <w:r>
              <w:rPr>
                <w:rFonts w:hint="eastAsia" w:ascii="宋体" w:hAnsi="宋体" w:cs="Times New Roman"/>
                <w:kern w:val="0"/>
                <w:sz w:val="30"/>
                <w:szCs w:val="30"/>
                <w:lang w:val="en-US" w:eastAsia="zh-CN"/>
              </w:rPr>
              <w:t>：</w:t>
            </w:r>
            <w:r>
              <w:rPr>
                <w:rFonts w:hint="default" w:ascii="宋体" w:hAnsi="宋体" w:cs="Times New Roman"/>
                <w:kern w:val="0"/>
                <w:sz w:val="30"/>
                <w:szCs w:val="30"/>
                <w:lang w:val="en-US" w:eastAsia="zh-CN"/>
              </w:rPr>
              <w:t>0t/a</w:t>
            </w:r>
            <w:r>
              <w:rPr>
                <w:rFonts w:hint="eastAsia" w:ascii="宋体" w:hAnsi="宋体" w:cs="Times New Roman"/>
                <w:kern w:val="0"/>
                <w:sz w:val="30"/>
                <w:szCs w:val="30"/>
                <w:lang w:val="en-US" w:eastAsia="zh-CN"/>
              </w:rPr>
              <w:t>、</w:t>
            </w:r>
            <w:r>
              <w:rPr>
                <w:rFonts w:hint="default" w:ascii="宋体" w:hAnsi="宋体" w:cs="Times New Roman"/>
                <w:kern w:val="0"/>
                <w:sz w:val="30"/>
                <w:szCs w:val="30"/>
                <w:lang w:val="en-US" w:eastAsia="zh-CN"/>
              </w:rPr>
              <w:t>NO</w:t>
            </w:r>
            <w:r>
              <w:rPr>
                <w:rFonts w:hint="default" w:ascii="宋体" w:hAnsi="宋体" w:cs="Times New Roman"/>
                <w:kern w:val="0"/>
                <w:sz w:val="30"/>
                <w:szCs w:val="30"/>
                <w:vertAlign w:val="subscript"/>
                <w:lang w:val="en-US" w:eastAsia="zh-CN"/>
              </w:rPr>
              <w:t>X</w:t>
            </w:r>
            <w:r>
              <w:rPr>
                <w:rFonts w:hint="eastAsia" w:ascii="宋体" w:hAnsi="宋体" w:cs="Times New Roman"/>
                <w:kern w:val="0"/>
                <w:sz w:val="30"/>
                <w:szCs w:val="30"/>
                <w:lang w:val="en-US" w:eastAsia="zh-CN"/>
              </w:rPr>
              <w:t>：</w:t>
            </w:r>
            <w:r>
              <w:rPr>
                <w:rFonts w:hint="default" w:ascii="宋体" w:hAnsi="宋体" w:cs="Times New Roman"/>
                <w:kern w:val="0"/>
                <w:sz w:val="30"/>
                <w:szCs w:val="30"/>
                <w:lang w:val="en-US" w:eastAsia="zh-CN"/>
              </w:rPr>
              <w:t>0t/a</w:t>
            </w:r>
            <w:r>
              <w:rPr>
                <w:rFonts w:hint="eastAsia" w:ascii="宋体" w:hAnsi="宋体" w:cs="Times New Roman"/>
                <w:kern w:val="0"/>
                <w:sz w:val="30"/>
                <w:szCs w:val="30"/>
                <w:lang w:val="en-US" w:eastAsia="zh-CN"/>
              </w:rPr>
              <w:t>、颗粒物：</w:t>
            </w:r>
            <w:r>
              <w:rPr>
                <w:rFonts w:hint="default" w:ascii="宋体" w:hAnsi="宋体" w:cs="Times New Roman"/>
                <w:kern w:val="0"/>
                <w:sz w:val="30"/>
                <w:szCs w:val="30"/>
                <w:lang w:val="en-US" w:eastAsia="zh-CN"/>
              </w:rPr>
              <w:t>0.291t/a</w:t>
            </w:r>
            <w:r>
              <w:rPr>
                <w:rFonts w:hint="eastAsia" w:ascii="宋体" w:hAnsi="宋体" w:cs="Times New Roman"/>
                <w:kern w:val="0"/>
                <w:sz w:val="30"/>
                <w:szCs w:val="30"/>
                <w:lang w:val="en-US" w:eastAsia="zh-CN"/>
              </w:rPr>
              <w:t>、</w:t>
            </w:r>
            <w:r>
              <w:rPr>
                <w:rFonts w:hint="default" w:ascii="宋体" w:hAnsi="宋体" w:cs="Times New Roman"/>
                <w:kern w:val="0"/>
                <w:sz w:val="30"/>
                <w:szCs w:val="30"/>
                <w:lang w:val="en-US" w:eastAsia="zh-CN"/>
              </w:rPr>
              <w:t>VOCs</w:t>
            </w:r>
            <w:r>
              <w:rPr>
                <w:rFonts w:hint="eastAsia" w:ascii="宋体" w:hAnsi="宋体" w:cs="Times New Roman"/>
                <w:kern w:val="0"/>
                <w:sz w:val="30"/>
                <w:szCs w:val="30"/>
                <w:lang w:val="en-US" w:eastAsia="zh-CN"/>
              </w:rPr>
              <w:t>：</w:t>
            </w:r>
            <w:r>
              <w:rPr>
                <w:rFonts w:hint="default" w:ascii="宋体" w:hAnsi="宋体" w:cs="Times New Roman"/>
                <w:kern w:val="0"/>
                <w:sz w:val="30"/>
                <w:szCs w:val="30"/>
                <w:lang w:val="en-US" w:eastAsia="zh-CN"/>
              </w:rPr>
              <w:t>0t/a</w:t>
            </w:r>
            <w:r>
              <w:rPr>
                <w:rFonts w:hint="eastAsia" w:ascii="宋体" w:hAnsi="宋体" w:cs="Times New Roman"/>
                <w:kern w:val="0"/>
                <w:sz w:val="30"/>
                <w:szCs w:val="30"/>
                <w:lang w:val="en-US" w:eastAsia="zh-CN"/>
              </w:rPr>
              <w:t>、</w:t>
            </w:r>
            <w:r>
              <w:rPr>
                <w:rFonts w:hint="default" w:ascii="宋体" w:hAnsi="宋体" w:cs="Times New Roman"/>
                <w:kern w:val="0"/>
                <w:sz w:val="30"/>
                <w:szCs w:val="30"/>
                <w:lang w:val="en-US" w:eastAsia="zh-CN"/>
              </w:rPr>
              <w:t>COD</w:t>
            </w:r>
            <w:r>
              <w:rPr>
                <w:rFonts w:hint="eastAsia" w:ascii="宋体" w:hAnsi="宋体" w:cs="Times New Roman"/>
                <w:kern w:val="0"/>
                <w:sz w:val="30"/>
                <w:szCs w:val="30"/>
                <w:lang w:val="en-US" w:eastAsia="zh-CN"/>
              </w:rPr>
              <w:t>：</w:t>
            </w:r>
            <w:r>
              <w:rPr>
                <w:rFonts w:hint="default" w:ascii="宋体" w:hAnsi="宋体" w:cs="Times New Roman"/>
                <w:kern w:val="0"/>
                <w:sz w:val="30"/>
                <w:szCs w:val="30"/>
                <w:lang w:val="en-US" w:eastAsia="zh-CN"/>
              </w:rPr>
              <w:t>0t/a</w:t>
            </w:r>
            <w:r>
              <w:rPr>
                <w:rFonts w:hint="eastAsia" w:ascii="宋体" w:hAnsi="宋体" w:cs="Times New Roman"/>
                <w:kern w:val="0"/>
                <w:sz w:val="30"/>
                <w:szCs w:val="30"/>
                <w:lang w:val="en-US" w:eastAsia="zh-CN"/>
              </w:rPr>
              <w:t>、</w:t>
            </w:r>
            <w:r>
              <w:rPr>
                <w:rFonts w:hint="default" w:ascii="宋体" w:hAnsi="宋体" w:cs="Times New Roman"/>
                <w:kern w:val="0"/>
                <w:sz w:val="30"/>
                <w:szCs w:val="30"/>
                <w:lang w:val="en-US" w:eastAsia="zh-CN"/>
              </w:rPr>
              <w:t>NH</w:t>
            </w:r>
            <w:r>
              <w:rPr>
                <w:rFonts w:hint="default" w:ascii="宋体" w:hAnsi="宋体" w:cs="Times New Roman"/>
                <w:kern w:val="0"/>
                <w:sz w:val="30"/>
                <w:szCs w:val="30"/>
                <w:vertAlign w:val="subscript"/>
                <w:lang w:val="en-US" w:eastAsia="zh-CN"/>
              </w:rPr>
              <w:t>3</w:t>
            </w:r>
            <w:r>
              <w:rPr>
                <w:rFonts w:hint="default" w:ascii="宋体" w:hAnsi="宋体" w:cs="Times New Roman"/>
                <w:kern w:val="0"/>
                <w:sz w:val="30"/>
                <w:szCs w:val="30"/>
                <w:lang w:val="en-US" w:eastAsia="zh-CN"/>
              </w:rPr>
              <w:t>-N</w:t>
            </w:r>
            <w:r>
              <w:rPr>
                <w:rFonts w:hint="eastAsia" w:ascii="宋体" w:hAnsi="宋体" w:cs="Times New Roman"/>
                <w:kern w:val="0"/>
                <w:sz w:val="30"/>
                <w:szCs w:val="30"/>
                <w:lang w:val="en-US" w:eastAsia="zh-CN"/>
              </w:rPr>
              <w:t>：</w:t>
            </w:r>
            <w:r>
              <w:rPr>
                <w:rFonts w:hint="default" w:ascii="宋体" w:hAnsi="宋体" w:cs="Times New Roman"/>
                <w:kern w:val="0"/>
                <w:sz w:val="30"/>
                <w:szCs w:val="30"/>
                <w:lang w:val="en-US" w:eastAsia="zh-CN"/>
              </w:rPr>
              <w:t>0t/a</w:t>
            </w:r>
            <w:r>
              <w:rPr>
                <w:rFonts w:hint="eastAsia" w:ascii="宋体" w:hAnsi="宋体" w:cs="Times New Roman"/>
                <w:kern w:val="0"/>
                <w:sz w:val="30"/>
                <w:szCs w:val="30"/>
                <w:lang w:val="en-US" w:eastAsia="zh-CN"/>
              </w:rPr>
              <w:t>、</w:t>
            </w:r>
            <w:r>
              <w:rPr>
                <w:rFonts w:hint="default" w:ascii="宋体" w:hAnsi="宋体" w:cs="Times New Roman"/>
                <w:kern w:val="0"/>
                <w:sz w:val="30"/>
                <w:szCs w:val="30"/>
                <w:lang w:val="en-US" w:eastAsia="zh-CN"/>
              </w:rPr>
              <w:t>TN</w:t>
            </w:r>
            <w:r>
              <w:rPr>
                <w:rFonts w:hint="eastAsia" w:ascii="宋体" w:hAnsi="宋体" w:cs="Times New Roman"/>
                <w:kern w:val="0"/>
                <w:sz w:val="30"/>
                <w:szCs w:val="30"/>
                <w:lang w:val="en-US" w:eastAsia="zh-CN"/>
              </w:rPr>
              <w:t>：</w:t>
            </w:r>
            <w:r>
              <w:rPr>
                <w:rFonts w:hint="default" w:ascii="宋体" w:hAnsi="宋体" w:cs="Times New Roman"/>
                <w:kern w:val="0"/>
                <w:sz w:val="30"/>
                <w:szCs w:val="30"/>
                <w:lang w:val="en-US" w:eastAsia="zh-CN"/>
              </w:rPr>
              <w:t>0t/a</w:t>
            </w:r>
            <w:r>
              <w:rPr>
                <w:rFonts w:hint="eastAsia" w:ascii="宋体" w:hAnsi="宋体" w:cs="Times New Roman"/>
                <w:kern w:val="0"/>
                <w:sz w:val="30"/>
                <w:szCs w:val="30"/>
                <w:lang w:val="en-US" w:eastAsia="zh-CN"/>
              </w:rPr>
              <w:t>、</w:t>
            </w:r>
            <w:r>
              <w:rPr>
                <w:rFonts w:hint="default" w:ascii="宋体" w:hAnsi="宋体" w:cs="Times New Roman"/>
                <w:kern w:val="0"/>
                <w:sz w:val="30"/>
                <w:szCs w:val="30"/>
                <w:lang w:val="en-US" w:eastAsia="zh-CN"/>
              </w:rPr>
              <w:t>TP</w:t>
            </w:r>
            <w:r>
              <w:rPr>
                <w:rFonts w:hint="eastAsia" w:ascii="宋体" w:hAnsi="宋体" w:cs="Times New Roman"/>
                <w:kern w:val="0"/>
                <w:sz w:val="30"/>
                <w:szCs w:val="30"/>
                <w:lang w:val="en-US" w:eastAsia="zh-CN"/>
              </w:rPr>
              <w:t>：</w:t>
            </w:r>
            <w:r>
              <w:rPr>
                <w:rFonts w:hint="default" w:ascii="宋体" w:hAnsi="宋体" w:cs="Times New Roman"/>
                <w:kern w:val="0"/>
                <w:sz w:val="30"/>
                <w:szCs w:val="30"/>
                <w:lang w:val="en-US" w:eastAsia="zh-CN"/>
              </w:rPr>
              <w:t>0t/a</w:t>
            </w:r>
            <w:r>
              <w:rPr>
                <w:rFonts w:hint="eastAsia" w:ascii="宋体" w:hAnsi="宋体" w:cs="Times New Roman"/>
                <w:kern w:val="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25" w:rightChars="12" w:firstLine="576" w:firstLineChars="192"/>
              <w:jc w:val="both"/>
              <w:textAlignment w:val="auto"/>
              <w:rPr>
                <w:rFonts w:hint="eastAsia" w:ascii="宋体" w:hAnsi="宋体"/>
                <w:kern w:val="0"/>
                <w:sz w:val="30"/>
                <w:szCs w:val="30"/>
              </w:rPr>
            </w:pPr>
            <w:r>
              <w:rPr>
                <w:rFonts w:hint="eastAsia" w:ascii="宋体" w:hAnsi="宋体"/>
                <w:kern w:val="0"/>
                <w:sz w:val="30"/>
                <w:szCs w:val="30"/>
              </w:rPr>
              <w:t>五、项目建成后应先行按照排污许可管理要求，办理排污许可证，并按照《建设项目环境保护管理条例》（国令第682号）及相关文件要求落实竣工环境保护验收工作。</w:t>
            </w:r>
          </w:p>
          <w:p>
            <w:pPr>
              <w:keepNext w:val="0"/>
              <w:keepLines w:val="0"/>
              <w:pageBreakBefore w:val="0"/>
              <w:kinsoku/>
              <w:wordWrap/>
              <w:overflowPunct/>
              <w:topLinePunct w:val="0"/>
              <w:autoSpaceDE/>
              <w:autoSpaceDN/>
              <w:bidi w:val="0"/>
              <w:adjustRightInd/>
              <w:snapToGrid/>
              <w:spacing w:line="560" w:lineRule="exact"/>
              <w:ind w:right="115" w:rightChars="55" w:firstLine="6600" w:firstLineChars="2200"/>
              <w:jc w:val="both"/>
              <w:textAlignment w:val="auto"/>
              <w:rPr>
                <w:rFonts w:hint="eastAsia" w:ascii="宋体" w:hAnsi="宋体"/>
                <w:kern w:val="0"/>
                <w:sz w:val="30"/>
                <w:szCs w:val="30"/>
              </w:rPr>
            </w:pPr>
          </w:p>
          <w:p>
            <w:pPr>
              <w:keepNext w:val="0"/>
              <w:keepLines w:val="0"/>
              <w:pageBreakBefore w:val="0"/>
              <w:kinsoku/>
              <w:wordWrap/>
              <w:overflowPunct/>
              <w:topLinePunct w:val="0"/>
              <w:autoSpaceDE/>
              <w:autoSpaceDN/>
              <w:bidi w:val="0"/>
              <w:adjustRightInd/>
              <w:snapToGrid/>
              <w:spacing w:line="560" w:lineRule="exact"/>
              <w:ind w:right="115" w:rightChars="55" w:firstLine="6600" w:firstLineChars="2200"/>
              <w:jc w:val="both"/>
              <w:textAlignment w:val="auto"/>
              <w:rPr>
                <w:rFonts w:hint="eastAsia" w:ascii="宋体" w:hAnsi="宋体"/>
                <w:kern w:val="0"/>
                <w:sz w:val="30"/>
                <w:szCs w:val="30"/>
              </w:rPr>
            </w:pPr>
            <w:r>
              <w:rPr>
                <w:rFonts w:hint="eastAsia" w:ascii="宋体" w:hAnsi="宋体"/>
                <w:kern w:val="0"/>
                <w:sz w:val="30"/>
                <w:szCs w:val="30"/>
              </w:rPr>
              <w:t xml:space="preserve">公   章   </w:t>
            </w:r>
          </w:p>
          <w:p>
            <w:pPr>
              <w:keepNext w:val="0"/>
              <w:keepLines w:val="0"/>
              <w:pageBreakBefore w:val="0"/>
              <w:kinsoku/>
              <w:wordWrap/>
              <w:overflowPunct/>
              <w:topLinePunct w:val="0"/>
              <w:autoSpaceDE/>
              <w:autoSpaceDN/>
              <w:bidi w:val="0"/>
              <w:adjustRightInd/>
              <w:snapToGrid/>
              <w:spacing w:line="560" w:lineRule="exact"/>
              <w:ind w:right="115" w:rightChars="55" w:firstLine="5700" w:firstLineChars="1900"/>
              <w:jc w:val="both"/>
              <w:textAlignment w:val="auto"/>
              <w:rPr>
                <w:rFonts w:hint="eastAsia" w:ascii="宋体" w:hAnsi="宋体"/>
                <w:kern w:val="0"/>
                <w:sz w:val="30"/>
                <w:szCs w:val="30"/>
                <w:lang w:eastAsia="zh-CN"/>
              </w:rPr>
            </w:pPr>
            <w:r>
              <w:rPr>
                <w:rFonts w:hint="eastAsia" w:ascii="宋体" w:hAnsi="宋体"/>
                <w:kern w:val="0"/>
                <w:sz w:val="30"/>
                <w:szCs w:val="30"/>
              </w:rPr>
              <w:t>202</w:t>
            </w:r>
            <w:r>
              <w:rPr>
                <w:rFonts w:hint="eastAsia" w:ascii="宋体" w:hAnsi="宋体"/>
                <w:kern w:val="0"/>
                <w:sz w:val="30"/>
                <w:szCs w:val="30"/>
                <w:lang w:val="en-US" w:eastAsia="zh-CN"/>
              </w:rPr>
              <w:t>2</w:t>
            </w:r>
            <w:r>
              <w:rPr>
                <w:rFonts w:hint="eastAsia" w:ascii="宋体" w:hAnsi="宋体"/>
                <w:kern w:val="0"/>
                <w:sz w:val="30"/>
                <w:szCs w:val="30"/>
              </w:rPr>
              <w:t>年</w:t>
            </w:r>
            <w:r>
              <w:rPr>
                <w:rFonts w:hint="eastAsia" w:ascii="宋体" w:hAnsi="宋体"/>
                <w:kern w:val="0"/>
                <w:sz w:val="30"/>
                <w:szCs w:val="30"/>
                <w:lang w:val="en-US" w:eastAsia="zh-CN"/>
              </w:rPr>
              <w:t>6</w:t>
            </w:r>
            <w:r>
              <w:rPr>
                <w:rFonts w:hint="eastAsia" w:ascii="宋体" w:hAnsi="宋体"/>
                <w:kern w:val="0"/>
                <w:sz w:val="30"/>
                <w:szCs w:val="30"/>
              </w:rPr>
              <w:t>月</w:t>
            </w:r>
            <w:r>
              <w:rPr>
                <w:rFonts w:hint="eastAsia" w:ascii="宋体" w:hAnsi="宋体"/>
                <w:kern w:val="0"/>
                <w:sz w:val="30"/>
                <w:szCs w:val="30"/>
                <w:lang w:val="en-US" w:eastAsia="zh-CN"/>
              </w:rPr>
              <w:t>22</w:t>
            </w:r>
            <w:r>
              <w:rPr>
                <w:rFonts w:hint="eastAsia" w:ascii="宋体" w:hAnsi="宋体"/>
                <w:kern w:val="0"/>
                <w:sz w:val="30"/>
                <w:szCs w:val="30"/>
                <w:lang w:eastAsia="zh-CN"/>
              </w:rPr>
              <w:t>日</w:t>
            </w:r>
          </w:p>
          <w:p>
            <w:pPr>
              <w:pStyle w:val="2"/>
              <w:rPr>
                <w:rFonts w:hint="eastAsia"/>
                <w:lang w:eastAsia="zh-CN"/>
              </w:rPr>
            </w:pPr>
          </w:p>
          <w:p>
            <w:pPr>
              <w:keepNext w:val="0"/>
              <w:keepLines w:val="0"/>
              <w:pageBreakBefore w:val="0"/>
              <w:kinsoku/>
              <w:wordWrap/>
              <w:overflowPunct/>
              <w:topLinePunct w:val="0"/>
              <w:autoSpaceDE/>
              <w:autoSpaceDN/>
              <w:bidi w:val="0"/>
              <w:adjustRightInd/>
              <w:snapToGrid/>
              <w:spacing w:line="560" w:lineRule="exact"/>
              <w:ind w:right="115" w:rightChars="55" w:firstLine="5320" w:firstLineChars="1900"/>
              <w:jc w:val="both"/>
              <w:textAlignment w:val="auto"/>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A57FBE"/>
    <w:rsid w:val="00E17C62"/>
    <w:rsid w:val="012B29D6"/>
    <w:rsid w:val="015F46FC"/>
    <w:rsid w:val="029403CC"/>
    <w:rsid w:val="032A66E7"/>
    <w:rsid w:val="03387F27"/>
    <w:rsid w:val="0434207B"/>
    <w:rsid w:val="046751DB"/>
    <w:rsid w:val="04A174DA"/>
    <w:rsid w:val="04AB543A"/>
    <w:rsid w:val="05437F25"/>
    <w:rsid w:val="05A25E62"/>
    <w:rsid w:val="061D2742"/>
    <w:rsid w:val="064755A9"/>
    <w:rsid w:val="072F2CD8"/>
    <w:rsid w:val="079E4B0C"/>
    <w:rsid w:val="07B578BD"/>
    <w:rsid w:val="09312325"/>
    <w:rsid w:val="096950D8"/>
    <w:rsid w:val="09BC1B4C"/>
    <w:rsid w:val="09D107A1"/>
    <w:rsid w:val="09E93B99"/>
    <w:rsid w:val="0A8825DA"/>
    <w:rsid w:val="0B4E7EDC"/>
    <w:rsid w:val="0BE23CE5"/>
    <w:rsid w:val="0C476815"/>
    <w:rsid w:val="0D9F2711"/>
    <w:rsid w:val="0F34482F"/>
    <w:rsid w:val="0F493C28"/>
    <w:rsid w:val="0FC803F4"/>
    <w:rsid w:val="0FD4785D"/>
    <w:rsid w:val="10B412F6"/>
    <w:rsid w:val="10FF1595"/>
    <w:rsid w:val="119345A4"/>
    <w:rsid w:val="135C7E86"/>
    <w:rsid w:val="13757309"/>
    <w:rsid w:val="14384D7E"/>
    <w:rsid w:val="1554322F"/>
    <w:rsid w:val="15EB46BE"/>
    <w:rsid w:val="173E1C2D"/>
    <w:rsid w:val="17565D53"/>
    <w:rsid w:val="17A11EE1"/>
    <w:rsid w:val="17AF3738"/>
    <w:rsid w:val="17C14291"/>
    <w:rsid w:val="17DC0F76"/>
    <w:rsid w:val="18324D9A"/>
    <w:rsid w:val="1AE37DD8"/>
    <w:rsid w:val="1B133A32"/>
    <w:rsid w:val="1B77514B"/>
    <w:rsid w:val="1D1456FD"/>
    <w:rsid w:val="1D611B4F"/>
    <w:rsid w:val="1E47298E"/>
    <w:rsid w:val="1EAA314D"/>
    <w:rsid w:val="1EBC3294"/>
    <w:rsid w:val="203B5D22"/>
    <w:rsid w:val="21E73723"/>
    <w:rsid w:val="21F676C8"/>
    <w:rsid w:val="22703D10"/>
    <w:rsid w:val="267823BD"/>
    <w:rsid w:val="273745E8"/>
    <w:rsid w:val="2774458D"/>
    <w:rsid w:val="28FD1BAE"/>
    <w:rsid w:val="29B20EA5"/>
    <w:rsid w:val="2A727189"/>
    <w:rsid w:val="2B3B2C50"/>
    <w:rsid w:val="2BB80B2B"/>
    <w:rsid w:val="2C7C0D72"/>
    <w:rsid w:val="2DCB325A"/>
    <w:rsid w:val="2DFC4C38"/>
    <w:rsid w:val="2F0B1F33"/>
    <w:rsid w:val="30630933"/>
    <w:rsid w:val="30F23D38"/>
    <w:rsid w:val="32C34A26"/>
    <w:rsid w:val="333D5661"/>
    <w:rsid w:val="33B86748"/>
    <w:rsid w:val="33F111FC"/>
    <w:rsid w:val="354405A7"/>
    <w:rsid w:val="35555B84"/>
    <w:rsid w:val="355D57EF"/>
    <w:rsid w:val="35F25834"/>
    <w:rsid w:val="363E2872"/>
    <w:rsid w:val="3981372B"/>
    <w:rsid w:val="39D034D5"/>
    <w:rsid w:val="3A34292A"/>
    <w:rsid w:val="3AA53DE2"/>
    <w:rsid w:val="3D4D7E27"/>
    <w:rsid w:val="3DAF16B0"/>
    <w:rsid w:val="3FA82BAA"/>
    <w:rsid w:val="405C3B0A"/>
    <w:rsid w:val="407928BB"/>
    <w:rsid w:val="43EF008E"/>
    <w:rsid w:val="4504049F"/>
    <w:rsid w:val="45D859DE"/>
    <w:rsid w:val="46CC1D76"/>
    <w:rsid w:val="474A6B18"/>
    <w:rsid w:val="475517B8"/>
    <w:rsid w:val="48DE281B"/>
    <w:rsid w:val="4B0B5B7A"/>
    <w:rsid w:val="4B274B07"/>
    <w:rsid w:val="4B9D4BEE"/>
    <w:rsid w:val="4C4D6887"/>
    <w:rsid w:val="4D20667C"/>
    <w:rsid w:val="4E7647A0"/>
    <w:rsid w:val="4EF13A58"/>
    <w:rsid w:val="4F3D0F11"/>
    <w:rsid w:val="50C1350C"/>
    <w:rsid w:val="510433C3"/>
    <w:rsid w:val="55694929"/>
    <w:rsid w:val="55FC2F89"/>
    <w:rsid w:val="561F325D"/>
    <w:rsid w:val="563D6040"/>
    <w:rsid w:val="563F464A"/>
    <w:rsid w:val="57030014"/>
    <w:rsid w:val="576E51BC"/>
    <w:rsid w:val="58654B9E"/>
    <w:rsid w:val="59841A63"/>
    <w:rsid w:val="5A7D04A5"/>
    <w:rsid w:val="5BAB2391"/>
    <w:rsid w:val="5D026B35"/>
    <w:rsid w:val="5E105F28"/>
    <w:rsid w:val="5F724A2D"/>
    <w:rsid w:val="60855A12"/>
    <w:rsid w:val="60D45635"/>
    <w:rsid w:val="610D1522"/>
    <w:rsid w:val="62A545D5"/>
    <w:rsid w:val="63BA49D1"/>
    <w:rsid w:val="64A43C51"/>
    <w:rsid w:val="65CC7DA3"/>
    <w:rsid w:val="674F6807"/>
    <w:rsid w:val="67AC4BE7"/>
    <w:rsid w:val="69480729"/>
    <w:rsid w:val="6ADC5A34"/>
    <w:rsid w:val="6B106003"/>
    <w:rsid w:val="6CD067AF"/>
    <w:rsid w:val="6D110E1C"/>
    <w:rsid w:val="6D476083"/>
    <w:rsid w:val="6D9A4A60"/>
    <w:rsid w:val="6DBF0BF8"/>
    <w:rsid w:val="6EE078B4"/>
    <w:rsid w:val="6EEE2BF4"/>
    <w:rsid w:val="6F7B35DD"/>
    <w:rsid w:val="6FCE63F7"/>
    <w:rsid w:val="701B7FA7"/>
    <w:rsid w:val="708829E3"/>
    <w:rsid w:val="715772F4"/>
    <w:rsid w:val="71634D13"/>
    <w:rsid w:val="72BA0799"/>
    <w:rsid w:val="73083A80"/>
    <w:rsid w:val="746439DF"/>
    <w:rsid w:val="776167AF"/>
    <w:rsid w:val="789B4371"/>
    <w:rsid w:val="78CC71A9"/>
    <w:rsid w:val="78FB2D4A"/>
    <w:rsid w:val="790A4B0B"/>
    <w:rsid w:val="79F0112C"/>
    <w:rsid w:val="7A1B6D76"/>
    <w:rsid w:val="7A95559F"/>
    <w:rsid w:val="7B453F4C"/>
    <w:rsid w:val="7BD13846"/>
    <w:rsid w:val="7BE0299A"/>
    <w:rsid w:val="7C1B6B6A"/>
    <w:rsid w:val="7C353A05"/>
    <w:rsid w:val="7D5E5EC6"/>
    <w:rsid w:val="7D685F3B"/>
    <w:rsid w:val="7D711EA5"/>
    <w:rsid w:val="7DD84CF3"/>
    <w:rsid w:val="7E521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9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lock Text"/>
    <w:basedOn w:val="1"/>
    <w:next w:val="1"/>
    <w:qFormat/>
    <w:uiPriority w:val="0"/>
    <w:pPr>
      <w:ind w:left="113" w:right="113" w:firstLine="555"/>
      <w:jc w:val="left"/>
    </w:pPr>
    <w:rPr>
      <w:sz w:val="28"/>
    </w:rPr>
  </w:style>
  <w:style w:type="paragraph" w:styleId="3">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toc 2"/>
    <w:basedOn w:val="1"/>
    <w:next w:val="1"/>
    <w:unhideWhenUsed/>
    <w:qFormat/>
    <w:uiPriority w:val="99"/>
    <w:pPr>
      <w:spacing w:line="360" w:lineRule="auto"/>
      <w:jc w:val="center"/>
    </w:pPr>
    <w:rPr>
      <w:b/>
      <w:bCs/>
      <w:szCs w:val="21"/>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semiHidden/>
    <w:qFormat/>
    <w:uiPriority w:val="99"/>
    <w:rPr>
      <w:sz w:val="18"/>
      <w:szCs w:val="18"/>
    </w:rPr>
  </w:style>
  <w:style w:type="paragraph" w:customStyle="1" w:styleId="11">
    <w:name w:val=" Char2"/>
    <w:basedOn w:val="1"/>
    <w:qFormat/>
    <w:uiPriority w:val="0"/>
    <w:rPr>
      <w:rFonts w:ascii="宋体" w:hAnsi="宋体" w:cs="Courier New"/>
      <w:sz w:val="32"/>
      <w:szCs w:val="32"/>
    </w:rPr>
  </w:style>
  <w:style w:type="paragraph" w:customStyle="1" w:styleId="12">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0</TotalTime>
  <ScaleCrop>false</ScaleCrop>
  <LinksUpToDate>false</LinksUpToDate>
  <CharactersWithSpaces>1275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2022-05-23T02:15:00Z</cp:lastPrinted>
  <dcterms:modified xsi:type="dcterms:W3CDTF">2022-06-17T03:01:31Z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