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1</w:t>
            </w:r>
            <w:r>
              <w:rPr>
                <w:rFonts w:hint="eastAsia" w:ascii="宋体" w:hAnsi="宋体" w:cs="Times New Roman"/>
                <w:kern w:val="0"/>
                <w:sz w:val="28"/>
                <w:szCs w:val="28"/>
                <w:lang w:val="en-US" w:eastAsia="zh-CN"/>
              </w:rPr>
              <w:t>7</w:t>
            </w:r>
            <w:r>
              <w:rPr>
                <w:rFonts w:hint="eastAsia" w:ascii="宋体" w:hAnsi="宋体" w:eastAsia="宋体" w:cs="Times New Roman"/>
                <w:kern w:val="0"/>
                <w:sz w:val="28"/>
                <w:szCs w:val="28"/>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所报《保定市满城区富泰水泥制品厂技改扩建项目环境影响报告表》收悉，根据报告表结论，经局领导审核通过后，研究批复如下：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一、项目位于保定市满城区大册营镇夜借村</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在原有厂址进行，不新增占地</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 xml:space="preserve">中心地理坐标为：东经 115°22′12.961″，北纬 </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9°0′26.960″。项目北侧为纸厂，东侧西侧和南侧均为农田</w:t>
            </w:r>
            <w:r>
              <w:rPr>
                <w:rFonts w:hint="eastAsia" w:ascii="宋体" w:hAnsi="宋体" w:cs="Times New Roman"/>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二、本次技改扩建项目总投资10</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0万元，环保投资20</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万，新建1座生产车间，</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座成品库，</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座原料库，新装建筑垃圾处理生产</w:t>
            </w:r>
            <w:bookmarkStart w:id="0" w:name="_GoBack"/>
            <w:bookmarkEnd w:id="0"/>
            <w:r>
              <w:rPr>
                <w:rFonts w:hint="eastAsia" w:ascii="宋体" w:hAnsi="宋体" w:eastAsia="宋体" w:cs="Times New Roman"/>
                <w:kern w:val="0"/>
                <w:sz w:val="28"/>
                <w:szCs w:val="28"/>
                <w:lang w:val="en-US" w:eastAsia="zh-CN"/>
              </w:rPr>
              <w:t>线、机制砂生产线各</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条、改造</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条水泥砖生产线及其他相关配套辅助设备； 技改扩建完成后全厂年处理建筑废弃物50万吨，年产机制砂</w:t>
            </w:r>
            <w:r>
              <w:rPr>
                <w:rFonts w:hint="default" w:ascii="宋体" w:hAnsi="宋体" w:eastAsia="宋体" w:cs="Times New Roman"/>
                <w:kern w:val="0"/>
                <w:sz w:val="28"/>
                <w:szCs w:val="28"/>
                <w:lang w:val="en-US" w:eastAsia="zh-CN"/>
              </w:rPr>
              <w:t>20</w:t>
            </w:r>
            <w:r>
              <w:rPr>
                <w:rFonts w:hint="eastAsia" w:ascii="宋体" w:hAnsi="宋体" w:eastAsia="宋体" w:cs="Times New Roman"/>
                <w:kern w:val="0"/>
                <w:sz w:val="28"/>
                <w:szCs w:val="28"/>
                <w:lang w:val="en-US" w:eastAsia="zh-CN"/>
              </w:rPr>
              <w:t>万吨、各种骨料</w:t>
            </w:r>
            <w:r>
              <w:rPr>
                <w:rFonts w:hint="default" w:ascii="宋体" w:hAnsi="宋体" w:eastAsia="宋体" w:cs="Times New Roman"/>
                <w:kern w:val="0"/>
                <w:sz w:val="28"/>
                <w:szCs w:val="28"/>
                <w:lang w:val="en-US" w:eastAsia="zh-CN"/>
              </w:rPr>
              <w:t>20</w:t>
            </w:r>
            <w:r>
              <w:rPr>
                <w:rFonts w:hint="eastAsia" w:ascii="宋体" w:hAnsi="宋体" w:eastAsia="宋体" w:cs="Times New Roman"/>
                <w:kern w:val="0"/>
                <w:sz w:val="28"/>
                <w:szCs w:val="28"/>
                <w:lang w:val="en-US" w:eastAsia="zh-CN"/>
              </w:rPr>
              <w:t>万吨；年产水泥砖</w:t>
            </w:r>
            <w:r>
              <w:rPr>
                <w:rFonts w:hint="default" w:ascii="宋体" w:hAnsi="宋体" w:eastAsia="宋体" w:cs="Times New Roman"/>
                <w:kern w:val="0"/>
                <w:sz w:val="28"/>
                <w:szCs w:val="28"/>
                <w:lang w:val="en-US" w:eastAsia="zh-CN"/>
              </w:rPr>
              <w:t>500</w:t>
            </w:r>
            <w:r>
              <w:rPr>
                <w:rFonts w:hint="eastAsia" w:ascii="宋体" w:hAnsi="宋体" w:eastAsia="宋体" w:cs="Times New Roman"/>
                <w:kern w:val="0"/>
                <w:sz w:val="28"/>
                <w:szCs w:val="28"/>
                <w:lang w:val="en-US" w:eastAsia="zh-CN"/>
              </w:rPr>
              <w:t xml:space="preserve">万块。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建筑垃圾处理生产线产生的废气集气罩收集后，经1台袋式除尘器处理后，通过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w:t>
            </w:r>
            <w:r>
              <w:rPr>
                <w:rFonts w:hint="default" w:ascii="宋体" w:hAnsi="宋体" w:eastAsia="宋体" w:cs="Times New Roman"/>
                <w:kern w:val="0"/>
                <w:sz w:val="28"/>
                <w:szCs w:val="28"/>
                <w:lang w:val="en-US" w:eastAsia="zh-CN"/>
              </w:rPr>
              <w:t>DA001</w:t>
            </w:r>
            <w:r>
              <w:rPr>
                <w:rFonts w:hint="eastAsia" w:ascii="宋体" w:hAnsi="宋体" w:eastAsia="宋体" w:cs="Times New Roman"/>
                <w:kern w:val="0"/>
                <w:sz w:val="28"/>
                <w:szCs w:val="28"/>
                <w:lang w:val="en-US" w:eastAsia="zh-CN"/>
              </w:rPr>
              <w:t>）排放，机制砂生产线产生的废气集气罩收集后，经1台袋式除尘器处理后，通过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w:t>
            </w:r>
            <w:r>
              <w:rPr>
                <w:rFonts w:hint="default" w:ascii="宋体" w:hAnsi="宋体" w:eastAsia="宋体" w:cs="Times New Roman"/>
                <w:kern w:val="0"/>
                <w:sz w:val="28"/>
                <w:szCs w:val="28"/>
                <w:lang w:val="en-US" w:eastAsia="zh-CN"/>
              </w:rPr>
              <w:t>DA00</w:t>
            </w:r>
            <w:r>
              <w:rPr>
                <w:rFonts w:hint="eastAsia" w:ascii="宋体" w:hAnsi="宋体" w:eastAsia="宋体" w:cs="Times New Roman"/>
                <w:kern w:val="0"/>
                <w:sz w:val="28"/>
                <w:szCs w:val="28"/>
                <w:lang w:val="en-US" w:eastAsia="zh-CN"/>
              </w:rPr>
              <w:t>2）排放，水泥砖筒仓产生的废气经自带的除尘器处理后，通过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 xml:space="preserve">15m </w:t>
            </w:r>
            <w:r>
              <w:rPr>
                <w:rFonts w:hint="eastAsia" w:ascii="宋体" w:hAnsi="宋体" w:eastAsia="宋体" w:cs="Times New Roman"/>
                <w:kern w:val="0"/>
                <w:sz w:val="28"/>
                <w:szCs w:val="28"/>
                <w:lang w:val="en-US" w:eastAsia="zh-CN"/>
              </w:rPr>
              <w:t>高排气筒（</w:t>
            </w:r>
            <w:r>
              <w:rPr>
                <w:rFonts w:hint="default" w:ascii="宋体" w:hAnsi="宋体" w:eastAsia="宋体" w:cs="Times New Roman"/>
                <w:kern w:val="0"/>
                <w:sz w:val="28"/>
                <w:szCs w:val="28"/>
                <w:lang w:val="en-US" w:eastAsia="zh-CN"/>
              </w:rPr>
              <w:t>DA003</w:t>
            </w:r>
            <w:r>
              <w:rPr>
                <w:rFonts w:hint="eastAsia" w:ascii="宋体" w:hAnsi="宋体" w:eastAsia="宋体" w:cs="Times New Roman"/>
                <w:kern w:val="0"/>
                <w:sz w:val="28"/>
                <w:szCs w:val="28"/>
                <w:lang w:val="en-US" w:eastAsia="zh-CN"/>
              </w:rPr>
              <w:t>）排放，水泥砖配料、搅拌工序废气经集气罩收集后，进入布袋除尘器处理后，通过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w:t>
            </w:r>
            <w:r>
              <w:rPr>
                <w:rFonts w:hint="eastAsia" w:ascii="宋体" w:hAnsi="宋体" w:eastAsia="宋体" w:cs="Times New Roman"/>
                <w:kern w:val="0"/>
                <w:sz w:val="28"/>
                <w:szCs w:val="28"/>
                <w:lang w:val="en-US" w:eastAsia="zh-CN"/>
              </w:rPr>
              <w:t>米高排气筒（</w:t>
            </w:r>
            <w:r>
              <w:rPr>
                <w:rFonts w:hint="default" w:ascii="宋体" w:hAnsi="宋体" w:eastAsia="宋体" w:cs="Times New Roman"/>
                <w:kern w:val="0"/>
                <w:sz w:val="28"/>
                <w:szCs w:val="28"/>
                <w:lang w:val="en-US" w:eastAsia="zh-CN"/>
              </w:rPr>
              <w:t>DA004</w:t>
            </w:r>
            <w:r>
              <w:rPr>
                <w:rFonts w:hint="eastAsia" w:ascii="宋体" w:hAnsi="宋体" w:eastAsia="宋体" w:cs="Times New Roman"/>
                <w:kern w:val="0"/>
                <w:sz w:val="28"/>
                <w:szCs w:val="28"/>
                <w:lang w:val="en-US" w:eastAsia="zh-CN"/>
              </w:rPr>
              <w:t>）排放。有组织颗粒物执行《水泥工业大气污染物超低排放标准》（DB13/2167-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排放浓度限值要求。原料库房、车间、成品库房均整体密闭，并在车间内配套喷雾抑尘装置，定时喷淋。厂界无组织颗粒物执行《水泥工业大气污染物超低排放标准》（DB13/2167-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冲洗水经沉淀池沉淀后循环使用，职工</w:t>
            </w:r>
            <w:r>
              <w:rPr>
                <w:rFonts w:hint="eastAsia" w:ascii="宋体" w:hAnsi="宋体" w:eastAsia="宋体" w:cs="Times New Roman"/>
                <w:kern w:val="0"/>
                <w:sz w:val="28"/>
                <w:szCs w:val="28"/>
                <w:lang w:val="en-US" w:eastAsia="zh-CN"/>
              </w:rPr>
              <w:t>生活</w:t>
            </w:r>
            <w:r>
              <w:rPr>
                <w:rFonts w:hint="eastAsia" w:ascii="宋体" w:hAnsi="宋体" w:cs="Times New Roman"/>
                <w:kern w:val="0"/>
                <w:sz w:val="28"/>
                <w:szCs w:val="28"/>
                <w:lang w:val="en-US" w:eastAsia="zh-CN"/>
              </w:rPr>
              <w:t>污</w:t>
            </w:r>
            <w:r>
              <w:rPr>
                <w:rFonts w:hint="eastAsia" w:ascii="宋体" w:hAnsi="宋体" w:eastAsia="宋体" w:cs="Times New Roman"/>
                <w:kern w:val="0"/>
                <w:sz w:val="28"/>
                <w:szCs w:val="28"/>
                <w:lang w:val="en-US" w:eastAsia="zh-CN"/>
              </w:rPr>
              <w:t>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选用低噪设备、基础减振、厂房隔声和合理布局、风机软连接等措施。</w:t>
            </w:r>
            <w:r>
              <w:rPr>
                <w:rFonts w:hint="eastAsia" w:ascii="宋体" w:hAnsi="宋体" w:eastAsia="宋体" w:cs="Times New Roman"/>
                <w:kern w:val="0"/>
                <w:sz w:val="28"/>
                <w:szCs w:val="28"/>
                <w:lang w:val="en-US" w:eastAsia="zh-CN"/>
              </w:rPr>
              <w:t>执行《工业企业厂界环境噪声排放标准》（GB12348-2008)</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类标准。</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生产过程中产生的废钢筋、预埋件等铁质物品、压滤泥饼、除尘灰集中收集后外售；职工生活垃圾收集后由当地环卫部门定期清运。废润滑油和废油桶在危废间内暂存，定期交有资质单位处置。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w:t>
            </w:r>
            <w:r>
              <w:rPr>
                <w:rFonts w:hint="eastAsia" w:ascii="宋体" w:hAnsi="宋体" w:cs="Times New Roman"/>
                <w:kern w:val="0"/>
                <w:sz w:val="28"/>
                <w:szCs w:val="28"/>
                <w:lang w:val="en-US" w:eastAsia="zh-CN"/>
              </w:rPr>
              <w:t>技改</w:t>
            </w:r>
            <w:r>
              <w:rPr>
                <w:rFonts w:hint="eastAsia" w:ascii="宋体" w:hAnsi="宋体" w:eastAsia="宋体" w:cs="Times New Roman"/>
                <w:kern w:val="0"/>
                <w:sz w:val="28"/>
                <w:szCs w:val="28"/>
                <w:lang w:val="en-US" w:eastAsia="zh-CN"/>
              </w:rPr>
              <w:t>扩建完成后，全厂污染物总量控制指标为：SO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w:t>
            </w:r>
            <w:r>
              <w:rPr>
                <w:rFonts w:hint="default" w:ascii="宋体" w:hAnsi="宋体" w:eastAsia="宋体" w:cs="Times New Roman"/>
                <w:kern w:val="0"/>
                <w:sz w:val="28"/>
                <w:szCs w:val="28"/>
                <w:lang w:val="en-US" w:eastAsia="zh-CN"/>
              </w:rPr>
              <w:t>0.660t/a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五、项目建成后应先行按照排污许可管理要求，办理排污许可证，并按照《建设项目环境保护管理条例》（国令第682号）及相关文件要求落实竣工环境保护验收工作。                      </w:t>
            </w: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center"/>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center"/>
              <w:textAlignment w:val="auto"/>
              <w:rPr>
                <w:rFonts w:hint="eastAsia" w:ascii="宋体" w:hAnsi="宋体" w:cs="Times New Roman"/>
                <w:kern w:val="0"/>
                <w:sz w:val="28"/>
                <w:szCs w:val="28"/>
                <w:lang w:val="en-US" w:eastAsia="zh-CN"/>
              </w:rPr>
            </w:pP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公   章   </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6</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22</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4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010651"/>
    <w:rsid w:val="00010651"/>
    <w:rsid w:val="003536F4"/>
    <w:rsid w:val="008F0F7B"/>
    <w:rsid w:val="00A57FBE"/>
    <w:rsid w:val="00E17C62"/>
    <w:rsid w:val="012B29D6"/>
    <w:rsid w:val="0240562C"/>
    <w:rsid w:val="03387F27"/>
    <w:rsid w:val="04F21E83"/>
    <w:rsid w:val="064755A9"/>
    <w:rsid w:val="0776564B"/>
    <w:rsid w:val="079E4B0C"/>
    <w:rsid w:val="07B578BD"/>
    <w:rsid w:val="082D68F4"/>
    <w:rsid w:val="082F4C39"/>
    <w:rsid w:val="09171E60"/>
    <w:rsid w:val="09312325"/>
    <w:rsid w:val="0BE23CE5"/>
    <w:rsid w:val="0C3F29C6"/>
    <w:rsid w:val="0D530553"/>
    <w:rsid w:val="0E8D2D25"/>
    <w:rsid w:val="0F493C28"/>
    <w:rsid w:val="10FF1595"/>
    <w:rsid w:val="1220043A"/>
    <w:rsid w:val="136966C2"/>
    <w:rsid w:val="162C7D6D"/>
    <w:rsid w:val="173E1C2D"/>
    <w:rsid w:val="17AF3738"/>
    <w:rsid w:val="18081B6D"/>
    <w:rsid w:val="18101B13"/>
    <w:rsid w:val="19E17DCD"/>
    <w:rsid w:val="1AE37DD8"/>
    <w:rsid w:val="1C276344"/>
    <w:rsid w:val="1D1456FD"/>
    <w:rsid w:val="1D6A6635"/>
    <w:rsid w:val="1F2B7DB8"/>
    <w:rsid w:val="203B5D22"/>
    <w:rsid w:val="203E6D6F"/>
    <w:rsid w:val="217156E7"/>
    <w:rsid w:val="220E127E"/>
    <w:rsid w:val="229A4F1C"/>
    <w:rsid w:val="23E22B19"/>
    <w:rsid w:val="246B0CE6"/>
    <w:rsid w:val="26AE0C96"/>
    <w:rsid w:val="28092CBD"/>
    <w:rsid w:val="28FD1BAE"/>
    <w:rsid w:val="2B6B44D1"/>
    <w:rsid w:val="2BB80B2B"/>
    <w:rsid w:val="2C533233"/>
    <w:rsid w:val="2E534625"/>
    <w:rsid w:val="2EE91E31"/>
    <w:rsid w:val="2F0B1F33"/>
    <w:rsid w:val="300F5F3C"/>
    <w:rsid w:val="31E473EE"/>
    <w:rsid w:val="33B86748"/>
    <w:rsid w:val="342F5213"/>
    <w:rsid w:val="34D62C9B"/>
    <w:rsid w:val="35555B84"/>
    <w:rsid w:val="355D57EF"/>
    <w:rsid w:val="355D77EB"/>
    <w:rsid w:val="35970969"/>
    <w:rsid w:val="35DC4C70"/>
    <w:rsid w:val="3981372B"/>
    <w:rsid w:val="39D034D5"/>
    <w:rsid w:val="39EB6E01"/>
    <w:rsid w:val="3BFA1DF4"/>
    <w:rsid w:val="3C207A33"/>
    <w:rsid w:val="3EDF7EC6"/>
    <w:rsid w:val="3FD2521B"/>
    <w:rsid w:val="41591509"/>
    <w:rsid w:val="423E3C66"/>
    <w:rsid w:val="43486BF3"/>
    <w:rsid w:val="45194D4B"/>
    <w:rsid w:val="46237A4B"/>
    <w:rsid w:val="4630402F"/>
    <w:rsid w:val="46ED530F"/>
    <w:rsid w:val="47106758"/>
    <w:rsid w:val="47432C38"/>
    <w:rsid w:val="475517B8"/>
    <w:rsid w:val="49590B0C"/>
    <w:rsid w:val="49AA34E0"/>
    <w:rsid w:val="4B46177B"/>
    <w:rsid w:val="4D7F4465"/>
    <w:rsid w:val="4E2535AA"/>
    <w:rsid w:val="4E7647A0"/>
    <w:rsid w:val="4EE22E86"/>
    <w:rsid w:val="4EF13A58"/>
    <w:rsid w:val="4F3D0F11"/>
    <w:rsid w:val="50F62920"/>
    <w:rsid w:val="515B2EE9"/>
    <w:rsid w:val="528C4BC7"/>
    <w:rsid w:val="553C1FF8"/>
    <w:rsid w:val="56353A1E"/>
    <w:rsid w:val="56A46A44"/>
    <w:rsid w:val="58262C6B"/>
    <w:rsid w:val="58B56A8C"/>
    <w:rsid w:val="58E76D66"/>
    <w:rsid w:val="5B6049F7"/>
    <w:rsid w:val="5BAB2391"/>
    <w:rsid w:val="5D026B35"/>
    <w:rsid w:val="5E1850A2"/>
    <w:rsid w:val="5E85558B"/>
    <w:rsid w:val="601A5808"/>
    <w:rsid w:val="60F13CFA"/>
    <w:rsid w:val="61E378A1"/>
    <w:rsid w:val="624A2AAA"/>
    <w:rsid w:val="64422DB9"/>
    <w:rsid w:val="64561F2A"/>
    <w:rsid w:val="65CC7DA3"/>
    <w:rsid w:val="65E44F9F"/>
    <w:rsid w:val="65FA0A48"/>
    <w:rsid w:val="65FC0A89"/>
    <w:rsid w:val="66E05523"/>
    <w:rsid w:val="67697197"/>
    <w:rsid w:val="67AC4BE7"/>
    <w:rsid w:val="68051BC4"/>
    <w:rsid w:val="6A673252"/>
    <w:rsid w:val="6AD7271F"/>
    <w:rsid w:val="6B3933DF"/>
    <w:rsid w:val="6CD067AF"/>
    <w:rsid w:val="6D476083"/>
    <w:rsid w:val="6DBF0BF8"/>
    <w:rsid w:val="6F032D52"/>
    <w:rsid w:val="71BC0741"/>
    <w:rsid w:val="73083A80"/>
    <w:rsid w:val="746439DF"/>
    <w:rsid w:val="756844CE"/>
    <w:rsid w:val="773E7B9C"/>
    <w:rsid w:val="77D71771"/>
    <w:rsid w:val="790066BD"/>
    <w:rsid w:val="79F0112C"/>
    <w:rsid w:val="7A326FA7"/>
    <w:rsid w:val="7B504771"/>
    <w:rsid w:val="7C1B6B6A"/>
    <w:rsid w:val="7D5E5EC6"/>
    <w:rsid w:val="7DD84CF3"/>
    <w:rsid w:val="7E581431"/>
    <w:rsid w:val="7F0C1AE8"/>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972</Words>
  <Characters>1114</Characters>
  <Lines>9</Lines>
  <Paragraphs>2</Paragraphs>
  <TotalTime>10</TotalTime>
  <ScaleCrop>false</ScaleCrop>
  <LinksUpToDate>false</LinksUpToDate>
  <CharactersWithSpaces>1291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2022-05-06T01:11:00Z</cp:lastPrinted>
  <dcterms:modified xsi:type="dcterms:W3CDTF">2022-06-23T01:53:12Z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7EB994B8ABEA400987AE617245DCF357</vt:lpwstr>
  </property>
</Properties>
</file>