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5408" behindDoc="0" locked="0" layoutInCell="1" allowOverlap="1">
            <wp:simplePos x="0" y="0"/>
            <wp:positionH relativeFrom="column">
              <wp:posOffset>-923290</wp:posOffset>
            </wp:positionH>
            <wp:positionV relativeFrom="paragraph">
              <wp:posOffset>-1334770</wp:posOffset>
            </wp:positionV>
            <wp:extent cx="8763635" cy="10765155"/>
            <wp:effectExtent l="0" t="0" r="14605" b="9525"/>
            <wp:wrapNone/>
            <wp:docPr id="5" name="图片 5" descr="c3faba8c4e0919ac348dbcded2e6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3faba8c4e0919ac348dbcded2e63cf"/>
                    <pic:cNvPicPr>
                      <a:picLocks noChangeAspect="1"/>
                    </pic:cNvPicPr>
                  </pic:nvPicPr>
                  <pic:blipFill>
                    <a:blip r:embed="rId14"/>
                    <a:stretch>
                      <a:fillRect/>
                    </a:stretch>
                  </pic:blipFill>
                  <pic:spPr>
                    <a:xfrm>
                      <a:off x="0" y="0"/>
                      <a:ext cx="8763635" cy="10765155"/>
                    </a:xfrm>
                    <a:prstGeom prst="rect">
                      <a:avLst/>
                    </a:prstGeom>
                  </pic:spPr>
                </pic:pic>
              </a:graphicData>
            </a:graphic>
          </wp:anchor>
        </w:drawing>
      </w:r>
      <w:r>
        <w:br w:type="page"/>
      </w:r>
    </w:p>
    <w:p>
      <w:pPr>
        <w:jc w:val="center"/>
        <w:rPr>
          <w:rFonts w:hint="eastAsia" w:ascii="黑体" w:hAnsi="黑体" w:eastAsia="黑体" w:cs="黑体"/>
          <w:sz w:val="72"/>
          <w:szCs w:val="96"/>
        </w:rPr>
      </w:pPr>
      <w:r>
        <w:rPr>
          <w:rFonts w:hint="eastAsia" w:ascii="黑体" w:hAnsi="黑体" w:eastAsia="黑体" w:cs="黑体"/>
          <w:sz w:val="72"/>
          <w:szCs w:val="96"/>
        </w:rPr>
        <w:t>保定市满城区</w:t>
      </w:r>
    </w:p>
    <w:p>
      <w:pPr>
        <w:jc w:val="center"/>
        <w:rPr>
          <w:rFonts w:ascii="黑体" w:hAnsi="黑体" w:eastAsia="黑体" w:cs="黑体"/>
          <w:sz w:val="72"/>
          <w:szCs w:val="96"/>
          <w:highlight w:val="yellow"/>
        </w:rPr>
      </w:pPr>
      <w:r>
        <w:rPr>
          <w:rFonts w:hint="eastAsia" w:ascii="黑体" w:hAnsi="黑体" w:eastAsia="黑体" w:cs="黑体"/>
          <w:sz w:val="72"/>
          <w:szCs w:val="96"/>
        </w:rPr>
        <w:t>大册营镇人民政府</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5"/>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（二）加强党对基层治理的全面领导，统筹抓好基层党建工作和基层党组织建设各项制度。推进全面从严治党，强化“两个责任”，确保党的路线方针政策在基层得到全面贯彻落实。</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（三）讨论和决定本镇经济建设、政治建设、文化建设、社会建设、生态文明建设和党的建设以及乡村振兴中的重大问题。</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（四）组织召开本级人民代表大会，充分行使重大事项决定权、监督权和任免权，做好人大代表工作，联系选民、反映群众意见和要求。</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（九）按照干部管理权限，负责对干部的教育、培训、选拔、考核和监督工作。协助管理上级有关部门驻镇单位的干部。做好人才服务工作。</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（十二）承办上级党委、人大、政府交办的其他事项。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保定市满城区大册营镇</w:t>
            </w:r>
          </w:p>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lang w:eastAsia="zh-CN"/>
              </w:rPr>
              <w:t>人民政府</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5"/>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pageBreakBefore w:val="0"/>
        <w:widowControl w:val="0"/>
        <w:kinsoku/>
        <w:wordWrap/>
        <w:overflowPunct/>
        <w:topLinePunct w:val="0"/>
        <w:autoSpaceDE/>
        <w:autoSpaceDN/>
        <w:bidi w:val="0"/>
        <w:adjustRightInd/>
        <w:snapToGrid w:val="0"/>
        <w:spacing w:line="600" w:lineRule="exact"/>
        <w:ind w:firstLine="420" w:firstLineChars="200"/>
        <w:textAlignment w:val="auto"/>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1440.09</w:t>
      </w:r>
      <w:bookmarkStart w:id="1" w:name="_GoBack"/>
      <w:bookmarkEnd w:id="1"/>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202.65</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16.38</w:t>
      </w:r>
      <w:r>
        <w:rPr>
          <w:rFonts w:hint="eastAsia" w:ascii="仿宋_GB2312" w:hAnsi="Times New Roman" w:eastAsia="仿宋_GB2312" w:cs="Wingdings"/>
          <w:sz w:val="32"/>
          <w:szCs w:val="32"/>
        </w:rPr>
        <w:t>%，主要原因是人员工资和保险调整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w:t>
      </w:r>
    </w:p>
    <w:p>
      <w:pPr>
        <w:adjustRightInd w:val="0"/>
        <w:snapToGrid w:val="0"/>
        <w:spacing w:line="600" w:lineRule="exact"/>
        <w:ind w:firstLine="640" w:firstLineChars="200"/>
        <w:rPr>
          <w:rFonts w:hint="eastAsia" w:ascii="仿宋_GB2312" w:hAnsi="Times New Roman" w:eastAsia="仿宋_GB2312" w:cs="Wingdings"/>
          <w:sz w:val="32"/>
          <w:szCs w:val="32"/>
        </w:rPr>
      </w:pPr>
    </w:p>
    <w:p>
      <w:pPr>
        <w:keepNext/>
        <w:keepLines/>
        <w:pageBreakBefore w:val="0"/>
        <w:widowControl w:val="0"/>
        <w:kinsoku/>
        <w:wordWrap/>
        <w:overflowPunct/>
        <w:topLinePunct w:val="0"/>
        <w:autoSpaceDE/>
        <w:autoSpaceDN/>
        <w:bidi w:val="0"/>
        <w:adjustRightInd/>
        <w:snapToGrid w:val="0"/>
        <w:spacing w:line="240" w:lineRule="auto"/>
        <w:ind w:firstLine="420" w:firstLineChars="200"/>
        <w:textAlignment w:val="auto"/>
        <w:outlineLvl w:val="1"/>
        <w:rPr>
          <w:rFonts w:ascii="黑体" w:hAnsi="Calibri" w:eastAsia="黑体" w:cs="Times New Roman"/>
          <w:sz w:val="32"/>
          <w:szCs w:val="32"/>
        </w:rPr>
      </w:pPr>
      <w:r>
        <w:drawing>
          <wp:inline distT="0" distB="0" distL="114300" distR="114300">
            <wp:extent cx="4572000" cy="2743200"/>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二、收入决算情况说明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本部门2020年度本年收入合计1440.09万元，其中：财政拨款收入1440.09万元，占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本部门2020年度本年支出合计1440.09万元，其中：基本支出875.57万元，占60.80%；项目支出564.52万元，占39.20%；经营支出0万元，占0%。如图所示：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Times New Roman" w:eastAsia="仿宋_GB2312" w:cs="Wingding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1260" w:firstLineChars="600"/>
        <w:textAlignment w:val="auto"/>
        <w:rPr>
          <w:rFonts w:ascii="仿宋_GB2312" w:hAnsi="Times New Roman" w:eastAsia="仿宋_GB2312" w:cs="Wingdings"/>
          <w:sz w:val="32"/>
          <w:szCs w:val="32"/>
        </w:rPr>
      </w:pPr>
      <w:r>
        <w:drawing>
          <wp:inline distT="0" distB="0" distL="114300" distR="114300">
            <wp:extent cx="4572000" cy="2743200"/>
            <wp:effectExtent l="0" t="0" r="0" b="0"/>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1920" w:firstLineChars="600"/>
        <w:textAlignment w:val="auto"/>
        <w:rPr>
          <w:rFonts w:ascii="仿宋_GB2312" w:hAnsi="Times New Roman" w:eastAsia="仿宋_GB2312" w:cs="Wingding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本部门2020年度财政拨款收支均为一般公共预算财政拨款，其中本年收入1440.09万元,比2019年度增加202.65万元，增长</w:t>
      </w:r>
      <w:r>
        <w:rPr>
          <w:rFonts w:hint="eastAsia" w:ascii="仿宋_GB2312" w:hAnsi="Times New Roman" w:eastAsia="仿宋_GB2312" w:cs="Wingdings"/>
          <w:sz w:val="32"/>
          <w:szCs w:val="32"/>
          <w:lang w:val="en-US" w:eastAsia="zh-CN"/>
        </w:rPr>
        <w:t>16.38</w:t>
      </w:r>
      <w:r>
        <w:rPr>
          <w:rFonts w:hint="eastAsia" w:ascii="仿宋_GB2312" w:hAnsi="Times New Roman" w:eastAsia="仿宋_GB2312" w:cs="Wingdings"/>
          <w:sz w:val="32"/>
          <w:szCs w:val="32"/>
        </w:rPr>
        <w:t>%，主要是一般公共预算财政拨款收入</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1440.09</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202.65</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16.38</w:t>
      </w:r>
      <w:r>
        <w:rPr>
          <w:rFonts w:hint="eastAsia" w:ascii="仿宋_GB2312" w:hAnsi="Times New Roman" w:eastAsia="仿宋_GB2312" w:cs="Wingdings"/>
          <w:sz w:val="32"/>
          <w:szCs w:val="32"/>
        </w:rPr>
        <w:t>%，主要是人员工资和保险调整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本部门2020年度一般公共预算财政拨款收入1440.09万元，完成年初预算的</w:t>
      </w:r>
      <w:r>
        <w:rPr>
          <w:rFonts w:hint="eastAsia" w:ascii="仿宋_GB2312" w:hAnsi="Times New Roman" w:eastAsia="仿宋_GB2312" w:cs="Wingdings"/>
          <w:sz w:val="32"/>
          <w:szCs w:val="32"/>
          <w:lang w:val="en-US" w:eastAsia="zh-CN"/>
        </w:rPr>
        <w:t>108.04</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107.11</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color w:val="auto"/>
          <w:sz w:val="32"/>
          <w:szCs w:val="32"/>
          <w:highlight w:val="none"/>
          <w:lang w:eastAsia="zh-CN"/>
        </w:rPr>
        <w:t>追加财政拨款收入</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1440.09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108.04</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107.11</w:t>
      </w:r>
      <w:r>
        <w:rPr>
          <w:rFonts w:hint="eastAsia" w:ascii="仿宋_GB2312" w:hAnsi="Times New Roman" w:eastAsia="仿宋_GB2312" w:cs="Wingdings"/>
          <w:sz w:val="32"/>
          <w:szCs w:val="32"/>
        </w:rPr>
        <w:t>万元，决算数大于预算数主要原因是主要是人员工资和保险调整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年度财政拨款支出1440.09万元，主要用于以下方面</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一般公共服务支出732.84万元，占50.89%；教育支出9.92万元，占0.69%；文化旅游体育与传媒支出16.00万元，占1.11%；社会保障和就业支出105.78万元，占7.35%；卫生健康支出37.23万元，占2.59%；节能环保支出15.00万元，占1.04%；农林水支出484.89万元，占33.67%；住房保障支出38.43万元，占2.67%。</w:t>
      </w:r>
    </w:p>
    <w:p>
      <w:pPr>
        <w:adjustRightInd w:val="0"/>
        <w:snapToGrid w:val="0"/>
        <w:spacing w:line="600" w:lineRule="exact"/>
        <w:rPr>
          <w:rFonts w:ascii="楷体_GB2312" w:hAnsi="Times New Roman" w:eastAsia="楷体_GB2312" w:cs="Mongolian Baiti"/>
          <w:b/>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Times New Roman" w:eastAsia="楷体_GB2312" w:cs="Mongolian Baiti"/>
          <w:b/>
          <w:bCs/>
          <w:sz w:val="32"/>
          <w:szCs w:val="32"/>
        </w:rPr>
      </w:pPr>
      <w:r>
        <w:drawing>
          <wp:inline distT="0" distB="0" distL="114300" distR="114300">
            <wp:extent cx="4600575" cy="2743200"/>
            <wp:effectExtent l="0" t="0" r="9525"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年度财政拨款基本支出1440.09万元，其中：人员经费</w:t>
      </w:r>
      <w:r>
        <w:rPr>
          <w:rFonts w:hint="eastAsia" w:ascii="仿宋_GB2312" w:hAnsi="Times New Roman" w:eastAsia="仿宋_GB2312" w:cs="Wingdings"/>
          <w:sz w:val="32"/>
          <w:szCs w:val="32"/>
          <w:lang w:val="en-US" w:eastAsia="zh-CN"/>
        </w:rPr>
        <w:t>830.63</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住房公积金、其他社会保障缴费、退休费、生活补助、奖励金、其他对个人和家庭的补助支出；公用经费</w:t>
      </w:r>
      <w:r>
        <w:rPr>
          <w:rFonts w:hint="eastAsia" w:ascii="仿宋_GB2312" w:hAnsi="Times New Roman" w:eastAsia="仿宋_GB2312" w:cs="Wingdings"/>
          <w:sz w:val="32"/>
          <w:szCs w:val="32"/>
          <w:lang w:val="en-US" w:eastAsia="zh-CN"/>
        </w:rPr>
        <w:t>44.94</w:t>
      </w:r>
      <w:r>
        <w:rPr>
          <w:rFonts w:hint="eastAsia" w:ascii="仿宋_GB2312" w:hAnsi="Times New Roman" w:eastAsia="仿宋_GB2312" w:cs="Wingdings"/>
          <w:sz w:val="32"/>
          <w:szCs w:val="32"/>
        </w:rPr>
        <w:t>万元，主要包括办公费</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邮电费、取暖费、公务用车运行维护费、其他交通费用、其他商品和服务支出。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6.00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5.99万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99.83</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0.01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0.17</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厉行节约</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0.50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公务用车运行费略有增加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年未发生因公出国（境）费</w:t>
      </w:r>
      <w:r>
        <w:rPr>
          <w:rFonts w:hint="eastAsia" w:ascii="仿宋_GB2312" w:hAnsi="仿宋_GB2312" w:eastAsia="仿宋_GB2312" w:cs="仿宋_GB2312"/>
          <w:b w:val="0"/>
          <w:bCs w:val="0"/>
          <w:sz w:val="32"/>
          <w:szCs w:val="32"/>
        </w:rPr>
        <w:t>支出。</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人/无本单位组织的出国（境）团组无本单位组织的出国（境）团组。与年初预算持平，与2019年度决算支出持平。</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5.99</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99.83</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0.01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0.17</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厉行节俭</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0.50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车辆老化维修增加</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w:t>
      </w:r>
      <w:r>
        <w:rPr>
          <w:rFonts w:hint="eastAsia" w:ascii="仿宋_GB2312" w:hAnsi="Times New Roman" w:eastAsia="仿宋_GB2312" w:cs="Wingdings"/>
          <w:sz w:val="32"/>
          <w:szCs w:val="32"/>
          <w:lang w:eastAsia="zh-CN"/>
        </w:rPr>
        <w:t>未发生</w:t>
      </w:r>
      <w:r>
        <w:rPr>
          <w:rFonts w:hint="eastAsia" w:ascii="仿宋_GB2312" w:hAnsi="Times New Roman" w:eastAsia="仿宋_GB2312" w:cs="Wingdings"/>
          <w:sz w:val="32"/>
          <w:szCs w:val="32"/>
        </w:rPr>
        <w:t>“公务用车购置”经费支出。与年初预算持平，与2019年度决算支出持平。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,发生运行维护费支出5.99万元，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0.01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0.17</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厉行节俭</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0.50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车辆老化维修增加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eastAsia="zh-CN"/>
        </w:rPr>
        <w:t>未</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w:t>
      </w:r>
      <w:r>
        <w:rPr>
          <w:rFonts w:hint="eastAsia" w:ascii="仿宋_GB2312" w:hAnsi="Times New Roman" w:eastAsia="仿宋_GB2312" w:cs="Wingdings"/>
          <w:sz w:val="32"/>
          <w:szCs w:val="32"/>
          <w:lang w:eastAsia="zh-CN"/>
        </w:rPr>
        <w:t>费支出，</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人次。与年初预算持平，与2019年度决算支出持平。</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个，共涉及资金</w:t>
      </w:r>
      <w:r>
        <w:rPr>
          <w:rFonts w:hint="eastAsia" w:ascii="仿宋_GB2312" w:hAnsi="Times New Roman" w:eastAsia="仿宋_GB2312"/>
          <w:sz w:val="32"/>
          <w:szCs w:val="32"/>
          <w:lang w:val="en-US" w:eastAsia="zh-CN"/>
        </w:rPr>
        <w:t>347.86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61.62%</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本部门在今年部门决算公开中反映基层组织运转经费和党建提升经费项目及</w:t>
      </w:r>
      <w:r>
        <w:rPr>
          <w:rFonts w:hint="eastAsia" w:ascii="仿宋_GB2312" w:hAnsi="仿宋_GB2312" w:eastAsia="仿宋_GB2312" w:cs="仿宋_GB2312"/>
          <w:sz w:val="32"/>
          <w:szCs w:val="32"/>
          <w:lang w:eastAsia="zh-CN"/>
        </w:rPr>
        <w:t>农村文化建设资金项目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个项目绩效自评结果。</w:t>
      </w:r>
    </w:p>
    <w:p>
      <w:pPr>
        <w:pStyle w:val="8"/>
        <w:ind w:left="420" w:firstLine="480" w:firstLineChars="150"/>
        <w:jc w:val="lef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农村综合改革一事一议资金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农村综合改革一事一议资金</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8.67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8.67</w:t>
      </w:r>
      <w:r>
        <w:rPr>
          <w:rFonts w:hint="eastAsia" w:ascii="仿宋_GB2312" w:hAnsi="仿宋_GB2312" w:eastAsia="仿宋_GB2312" w:cs="仿宋_GB2312"/>
          <w:sz w:val="32"/>
          <w:szCs w:val="32"/>
        </w:rPr>
        <w:t>万元，完成预算的100%。项目绩效目标完成情况：加强村级治理，为乡村振兴提供有力组织保障，推动乡村工作。</w:t>
      </w:r>
    </w:p>
    <w:p>
      <w:pPr>
        <w:numPr>
          <w:ilvl w:val="0"/>
          <w:numId w:val="2"/>
        </w:numPr>
        <w:ind w:firstLine="640"/>
        <w:jc w:val="lef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大学生村官</w:t>
      </w:r>
      <w:r>
        <w:rPr>
          <w:rFonts w:hint="eastAsia" w:ascii="仿宋_GB2312" w:hAnsi="仿宋_GB2312" w:eastAsia="仿宋_GB2312" w:cs="仿宋_GB2312"/>
          <w:sz w:val="32"/>
          <w:szCs w:val="32"/>
          <w:lang w:eastAsia="zh-CN"/>
        </w:rPr>
        <w:t>工资</w:t>
      </w:r>
      <w:r>
        <w:rPr>
          <w:rFonts w:hint="eastAsia" w:ascii="仿宋_GB2312" w:hAnsi="仿宋_GB2312" w:eastAsia="仿宋_GB2312" w:cs="仿宋_GB2312"/>
          <w:sz w:val="32"/>
          <w:szCs w:val="32"/>
        </w:rPr>
        <w:t>项目自评综述：根据年初设定的绩效目标，大学生村官项目绩效自评得分为100分，全年预算数为</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8.84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87.52</w:t>
      </w:r>
      <w:r>
        <w:rPr>
          <w:rFonts w:hint="eastAsia" w:ascii="仿宋_GB2312" w:hAnsi="仿宋_GB2312" w:eastAsia="仿宋_GB2312" w:cs="仿宋_GB2312"/>
          <w:sz w:val="32"/>
          <w:szCs w:val="32"/>
        </w:rPr>
        <w:t>%。项目绩效目标完成情况：有人员调动，所以支付了</w:t>
      </w:r>
      <w:r>
        <w:rPr>
          <w:rFonts w:hint="eastAsia" w:ascii="仿宋_GB2312" w:hAnsi="仿宋_GB2312" w:eastAsia="仿宋_GB2312" w:cs="仿宋_GB2312"/>
          <w:sz w:val="32"/>
          <w:szCs w:val="32"/>
          <w:lang w:val="en-US" w:eastAsia="zh-CN"/>
        </w:rPr>
        <w:t>87.52</w:t>
      </w:r>
      <w:r>
        <w:rPr>
          <w:rFonts w:hint="eastAsia" w:ascii="仿宋_GB2312" w:hAnsi="仿宋_GB2312" w:eastAsia="仿宋_GB2312" w:cs="仿宋_GB2312"/>
          <w:sz w:val="32"/>
          <w:szCs w:val="32"/>
        </w:rPr>
        <w:t>%。</w:t>
      </w:r>
      <w:bookmarkStart w:id="0" w:name="_Toc70331020"/>
    </w:p>
    <w:p>
      <w:pPr>
        <w:numPr>
          <w:ilvl w:val="0"/>
          <w:numId w:val="2"/>
        </w:numPr>
        <w:ind w:firstLine="640"/>
        <w:jc w:val="lef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大学生村官保险项目自评综述：根据年初设定的绩效目标，大学生村官保险项目绩效自评得分为100分，全年预算数为</w:t>
      </w:r>
      <w:r>
        <w:rPr>
          <w:rFonts w:hint="eastAsia" w:ascii="仿宋_GB2312" w:hAnsi="仿宋_GB2312" w:eastAsia="仿宋_GB2312" w:cs="仿宋_GB2312"/>
          <w:sz w:val="32"/>
          <w:szCs w:val="32"/>
          <w:lang w:val="en-US" w:eastAsia="zh-CN"/>
        </w:rPr>
        <w:t>2.88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50.69</w:t>
      </w:r>
      <w:r>
        <w:rPr>
          <w:rFonts w:hint="eastAsia" w:ascii="仿宋_GB2312" w:hAnsi="仿宋_GB2312" w:eastAsia="仿宋_GB2312" w:cs="仿宋_GB2312"/>
          <w:sz w:val="32"/>
          <w:szCs w:val="32"/>
        </w:rPr>
        <w:t>%。项目绩效目标完成情况：有人员调动，所以支付了</w:t>
      </w:r>
      <w:r>
        <w:rPr>
          <w:rFonts w:hint="eastAsia" w:ascii="仿宋_GB2312" w:hAnsi="仿宋_GB2312" w:eastAsia="仿宋_GB2312" w:cs="仿宋_GB2312"/>
          <w:sz w:val="32"/>
          <w:szCs w:val="32"/>
          <w:lang w:val="en-US" w:eastAsia="zh-CN"/>
        </w:rPr>
        <w:t>50.69</w:t>
      </w:r>
      <w:r>
        <w:rPr>
          <w:rFonts w:hint="eastAsia" w:ascii="仿宋_GB2312" w:hAnsi="仿宋_GB2312" w:eastAsia="仿宋_GB2312" w:cs="仿宋_GB2312"/>
          <w:sz w:val="32"/>
          <w:szCs w:val="32"/>
        </w:rPr>
        <w:t>%。</w:t>
      </w:r>
    </w:p>
    <w:bookmarkEnd w:id="0"/>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张志青家庭救助款</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张志青家庭救助款</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“村干部养老保险经费”项目自评综述：根据年初设定的绩效目标，“村干部养老保险经费”项目绩效自评得分为90分。全年预算数为</w:t>
      </w:r>
      <w:r>
        <w:rPr>
          <w:rFonts w:hint="eastAsia" w:ascii="仿宋_GB2312" w:hAnsi="仿宋_GB2312" w:eastAsia="仿宋_GB2312" w:cs="仿宋_GB2312"/>
          <w:sz w:val="32"/>
          <w:szCs w:val="32"/>
          <w:lang w:val="en-US" w:eastAsia="zh-CN"/>
        </w:rPr>
        <w:t>16.20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24.57</w:t>
      </w:r>
      <w:r>
        <w:rPr>
          <w:rFonts w:hint="eastAsia" w:ascii="仿宋_GB2312" w:hAnsi="仿宋_GB2312" w:eastAsia="仿宋_GB2312" w:cs="仿宋_GB2312"/>
          <w:sz w:val="32"/>
          <w:szCs w:val="32"/>
        </w:rPr>
        <w:t>%。项目绩效目标完成情况：一是保障了村干部的日常生活，使村干部老有所养，老有所依；二是促使村干部积极主动的开展村内各项工作，发挥积极带头作用。发现的主要问题及原因：无。下一步改进措施：无。</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2020年7-10月份财政局农村“两委”干部补贴资金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2020年7-10月份财政局“两委”干部补贴资金</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51.10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51.10</w:t>
      </w:r>
      <w:r>
        <w:rPr>
          <w:rFonts w:hint="eastAsia" w:ascii="仿宋_GB2312" w:hAnsi="仿宋_GB2312" w:eastAsia="仿宋_GB2312" w:cs="仿宋_GB2312"/>
          <w:sz w:val="32"/>
          <w:szCs w:val="32"/>
        </w:rPr>
        <w:t>万元，完成预算的100%。</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2019年1-3月村两委干部基础职务补贴</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2019年1-3月村两委干部基础职务补贴项目</w:t>
      </w:r>
      <w:r>
        <w:rPr>
          <w:rFonts w:hint="eastAsia" w:ascii="仿宋_GB2312" w:hAnsi="仿宋_GB2312" w:eastAsia="仿宋_GB2312" w:cs="仿宋_GB2312"/>
          <w:sz w:val="32"/>
          <w:szCs w:val="32"/>
        </w:rPr>
        <w:t>绩效自评得分为100分。全年预算数为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万元，完成预算的100%。</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正常离任村干部生活补贴</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正常离任村干部生活补贴</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8.90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32.47</w:t>
      </w:r>
      <w:r>
        <w:rPr>
          <w:rFonts w:hint="eastAsia" w:ascii="仿宋_GB2312" w:hAnsi="仿宋_GB2312" w:eastAsia="仿宋_GB2312" w:cs="仿宋_GB2312"/>
          <w:sz w:val="32"/>
          <w:szCs w:val="32"/>
        </w:rPr>
        <w:t>%。项目绩效目标完成情况：一是保障了正常离任村干部的日常生活；二是体现了党组织对离任村干部的关怀。发现的主要问题及原因：无。下一步改进措施：无。</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服务群众专项、村级办公、党组织活动经费</w:t>
      </w:r>
      <w:r>
        <w:rPr>
          <w:rFonts w:hint="eastAsia" w:ascii="仿宋_GB2312" w:hAnsi="仿宋_GB2312" w:eastAsia="仿宋_GB2312" w:cs="仿宋_GB2312"/>
          <w:sz w:val="32"/>
          <w:szCs w:val="32"/>
        </w:rPr>
        <w:t>绩效自评综述：根据年初设定的绩效目标，</w:t>
      </w:r>
      <w:r>
        <w:rPr>
          <w:rFonts w:hint="eastAsia" w:ascii="仿宋_GB2312" w:hAnsi="仿宋_GB2312" w:eastAsia="仿宋_GB2312" w:cs="仿宋_GB2312"/>
          <w:sz w:val="32"/>
          <w:szCs w:val="32"/>
          <w:lang w:eastAsia="zh-CN"/>
        </w:rPr>
        <w:t>服务群众专项、村级办公、党组织活动经费</w:t>
      </w:r>
      <w:r>
        <w:rPr>
          <w:rFonts w:hint="eastAsia" w:ascii="仿宋_GB2312" w:hAnsi="仿宋_GB2312" w:eastAsia="仿宋_GB2312" w:cs="仿宋_GB2312"/>
          <w:sz w:val="32"/>
          <w:szCs w:val="32"/>
        </w:rPr>
        <w:t>绩效自评得分为100分，全年预算数为</w:t>
      </w:r>
      <w:r>
        <w:rPr>
          <w:rFonts w:hint="eastAsia" w:ascii="仿宋_GB2312" w:hAnsi="仿宋_GB2312" w:eastAsia="仿宋_GB2312" w:cs="仿宋_GB2312"/>
          <w:sz w:val="32"/>
          <w:szCs w:val="32"/>
          <w:lang w:val="en-US" w:eastAsia="zh-CN"/>
        </w:rPr>
        <w:t>35.61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35.61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京昆高速引线两侧王辛庄路段绿化补偿款费用绩效自评综述：根据年初设定的绩效目标，京昆高速引线两侧王辛庄路段绿化补偿款项目绩效自评得分为100分，全年预算数为5.46万元，执行数为5.46万元，完成预算的100%，项目绩效目标完成情况：一是保障环境；二是美化。发现的主要问题及原因：无。下一步改进措施：无。</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乡镇中学占地补偿款项目自评综述：根据年初设定的绩效目标，乡镇中学占地补偿款项目绩效自评得分为100分。全年预算数为9.92万元，执行数为9.92万元，完成预算的100%。</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杨宗生维稳经费自评综述：</w:t>
      </w:r>
      <w:r>
        <w:rPr>
          <w:rFonts w:hint="eastAsia" w:ascii="仿宋_GB2312" w:hAnsi="仿宋_GB2312" w:eastAsia="仿宋_GB2312" w:cs="仿宋_GB2312"/>
          <w:sz w:val="32"/>
          <w:szCs w:val="32"/>
        </w:rPr>
        <w:t>根据年初设定的绩效目标，杨宗生维稳经费项目绩效自评得分为100分。全年预算数为5万元，执行数为5万元，完成预算的100%。</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信访</w:t>
      </w:r>
      <w:r>
        <w:rPr>
          <w:rFonts w:hint="eastAsia" w:ascii="仿宋_GB2312" w:hAnsi="仿宋_GB2312" w:eastAsia="仿宋_GB2312" w:cs="仿宋_GB2312"/>
          <w:sz w:val="32"/>
          <w:szCs w:val="32"/>
          <w:highlight w:val="none"/>
        </w:rPr>
        <w:t>维稳资金自评综述：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highlight w:val="none"/>
          <w:lang w:eastAsia="zh-CN"/>
        </w:rPr>
        <w:t>信访</w:t>
      </w:r>
      <w:r>
        <w:rPr>
          <w:rFonts w:hint="eastAsia" w:ascii="仿宋_GB2312" w:hAnsi="仿宋_GB2312" w:eastAsia="仿宋_GB2312" w:cs="仿宋_GB2312"/>
          <w:sz w:val="32"/>
          <w:szCs w:val="32"/>
          <w:highlight w:val="none"/>
        </w:rPr>
        <w:t>维稳资金</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70.60</w:t>
      </w:r>
      <w:r>
        <w:rPr>
          <w:rFonts w:hint="eastAsia" w:ascii="仿宋_GB2312" w:hAnsi="仿宋_GB2312" w:eastAsia="仿宋_GB2312" w:cs="仿宋_GB2312"/>
          <w:sz w:val="32"/>
          <w:szCs w:val="32"/>
        </w:rPr>
        <w:t>%。项目绩效目标完成情况：一是保障了信访稳定工作的正常开展，维护了社会安定；二是有力的配合了区委、区政府的信访稳定工作。发现的主要问题及原因：无。下一步改进措施：无。</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驻京</w:t>
      </w:r>
      <w:r>
        <w:rPr>
          <w:rFonts w:hint="eastAsia" w:ascii="仿宋_GB2312" w:hAnsi="仿宋_GB2312" w:eastAsia="仿宋_GB2312" w:cs="仿宋_GB2312"/>
          <w:sz w:val="32"/>
          <w:szCs w:val="32"/>
        </w:rPr>
        <w:t>维稳</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驻京</w:t>
      </w:r>
      <w:r>
        <w:rPr>
          <w:rFonts w:hint="eastAsia" w:ascii="仿宋_GB2312" w:hAnsi="仿宋_GB2312" w:eastAsia="仿宋_GB2312" w:cs="仿宋_GB2312"/>
          <w:sz w:val="32"/>
          <w:szCs w:val="32"/>
        </w:rPr>
        <w:t>维稳</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项目绩效自评得分为100分。全年预算数为3</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97.33</w:t>
      </w:r>
      <w:r>
        <w:rPr>
          <w:rFonts w:hint="eastAsia" w:ascii="仿宋_GB2312" w:hAnsi="仿宋_GB2312" w:eastAsia="仿宋_GB2312" w:cs="仿宋_GB2312"/>
          <w:sz w:val="32"/>
          <w:szCs w:val="32"/>
        </w:rPr>
        <w:t>%。项目绩效目标完成情况：一是保障了信访稳定工作的正常开展，维护了社会安定；二是有力的配合了区委、区政府的信访稳定工作。发现的主要问题及原因：无。下一步改进措施：无。</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雷玉水</w:t>
      </w:r>
      <w:r>
        <w:rPr>
          <w:rFonts w:hint="eastAsia" w:ascii="仿宋_GB2312" w:hAnsi="仿宋_GB2312" w:eastAsia="仿宋_GB2312" w:cs="仿宋_GB2312"/>
          <w:sz w:val="32"/>
          <w:szCs w:val="32"/>
        </w:rPr>
        <w:t>维稳</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eastAsia="zh-CN"/>
        </w:rPr>
        <w:t>雷玉水</w:t>
      </w:r>
      <w:r>
        <w:rPr>
          <w:rFonts w:hint="eastAsia" w:ascii="仿宋_GB2312" w:hAnsi="仿宋_GB2312" w:eastAsia="仿宋_GB2312" w:cs="仿宋_GB2312"/>
          <w:sz w:val="32"/>
          <w:szCs w:val="32"/>
        </w:rPr>
        <w:t>维稳</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“村干部</w:t>
      </w:r>
      <w:r>
        <w:rPr>
          <w:rFonts w:hint="eastAsia" w:ascii="仿宋_GB2312" w:hAnsi="仿宋_GB2312" w:eastAsia="仿宋_GB2312" w:cs="仿宋_GB2312"/>
          <w:sz w:val="32"/>
          <w:szCs w:val="32"/>
          <w:lang w:eastAsia="zh-CN"/>
        </w:rPr>
        <w:t>基础职务补贴</w:t>
      </w:r>
      <w:r>
        <w:rPr>
          <w:rFonts w:hint="eastAsia" w:ascii="仿宋_GB2312" w:hAnsi="仿宋_GB2312" w:eastAsia="仿宋_GB2312" w:cs="仿宋_GB2312"/>
          <w:sz w:val="32"/>
          <w:szCs w:val="32"/>
        </w:rPr>
        <w:t>”项目自评综述：根据年初设定的绩效目标， “村干部</w:t>
      </w:r>
      <w:r>
        <w:rPr>
          <w:rFonts w:hint="eastAsia" w:ascii="仿宋_GB2312" w:hAnsi="仿宋_GB2312" w:eastAsia="仿宋_GB2312" w:cs="仿宋_GB2312"/>
          <w:sz w:val="32"/>
          <w:szCs w:val="32"/>
          <w:lang w:eastAsia="zh-CN"/>
        </w:rPr>
        <w:t>基础职务补贴</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118.61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106.98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90.19</w:t>
      </w:r>
      <w:r>
        <w:rPr>
          <w:rFonts w:hint="eastAsia" w:ascii="仿宋_GB2312" w:hAnsi="仿宋_GB2312" w:eastAsia="仿宋_GB2312" w:cs="仿宋_GB2312"/>
          <w:sz w:val="32"/>
          <w:szCs w:val="32"/>
        </w:rPr>
        <w:t>%。项目绩效目标完成情况：一是保障了村干部的日常生活，使村干部老有所养，老有所依；二是促使村干部积极主动的开展村内各项工作，发挥积极带头作用。发现的主要问题及原因：无。下一步改进措施：无。</w:t>
      </w:r>
    </w:p>
    <w:p>
      <w:pPr>
        <w:pStyle w:val="8"/>
        <w:numPr>
          <w:ilvl w:val="0"/>
          <w:numId w:val="2"/>
        </w:numPr>
        <w:ind w:firstLineChars="0"/>
        <w:jc w:val="lef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基层组织运转和党建提升经费项目自评综述：根据年初设定的绩效目标，基层组织运转和党建提升经费项目绩效自评得分为100分。全年预算数为</w:t>
      </w:r>
      <w:r>
        <w:rPr>
          <w:rFonts w:hint="eastAsia" w:ascii="仿宋_GB2312" w:hAnsi="仿宋_GB2312" w:eastAsia="仿宋_GB2312" w:cs="仿宋_GB2312"/>
          <w:sz w:val="32"/>
          <w:szCs w:val="32"/>
          <w:lang w:val="en-US" w:eastAsia="zh-CN"/>
        </w:rPr>
        <w:t>19.61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19.61</w:t>
      </w:r>
      <w:r>
        <w:rPr>
          <w:rFonts w:hint="eastAsia" w:ascii="仿宋_GB2312" w:hAnsi="仿宋_GB2312" w:eastAsia="仿宋_GB2312" w:cs="仿宋_GB2312"/>
          <w:sz w:val="32"/>
          <w:szCs w:val="32"/>
        </w:rPr>
        <w:t>万元，完成预算的100%。项目绩效目标完成情况：一是改善基层党组织活动环境；二是加强村级治理，为乡村振兴提供有力组织保障，推动乡村工作。</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岗头村公路占地补偿款项目自评综述：根据年初设定的绩效目标，岗头村公路占地补偿款项目绩效自评得分为100分。全年预算数为1.8万元，执行数为1.8万元，完成预算的100%。</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河道清理整治启动</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sz w:val="32"/>
          <w:szCs w:val="32"/>
          <w:lang w:eastAsia="zh-CN"/>
        </w:rPr>
        <w:t>河道清理整治启动</w:t>
      </w:r>
      <w:r>
        <w:rPr>
          <w:rFonts w:hint="eastAsia" w:ascii="仿宋_GB2312" w:hAnsi="仿宋_GB2312" w:eastAsia="仿宋_GB2312" w:cs="仿宋_GB2312"/>
          <w:sz w:val="32"/>
          <w:szCs w:val="32"/>
        </w:rPr>
        <w:t>经费项目绩效自评得分为100分。全年预算数为</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%。项目绩效目标完成情况：一是保障环境；二是美化。一是发现的主要问题及原因：无。下一步改进措施：无</w:t>
      </w:r>
    </w:p>
    <w:p>
      <w:pPr>
        <w:pStyle w:val="8"/>
        <w:numPr>
          <w:ilvl w:val="0"/>
          <w:numId w:val="2"/>
        </w:numPr>
        <w:ind w:firstLineChars="0"/>
        <w:jc w:val="lef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农村文化建设</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农村文化建设</w:t>
      </w:r>
      <w:r>
        <w:rPr>
          <w:rFonts w:hint="eastAsia" w:ascii="仿宋_GB2312" w:hAnsi="仿宋_GB2312" w:eastAsia="仿宋_GB2312" w:cs="仿宋_GB2312"/>
          <w:sz w:val="32"/>
          <w:szCs w:val="32"/>
        </w:rPr>
        <w:t>项目绩效自评得分为100分。全年预算数为</w:t>
      </w:r>
      <w:r>
        <w:rPr>
          <w:rFonts w:hint="eastAsia" w:ascii="仿宋_GB2312" w:hAnsi="仿宋_GB2312" w:eastAsia="仿宋_GB2312" w:cs="仿宋_GB2312"/>
          <w:sz w:val="32"/>
          <w:szCs w:val="32"/>
          <w:lang w:val="en-US" w:eastAsia="zh-CN"/>
        </w:rPr>
        <w:t>16.00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16.00</w:t>
      </w:r>
      <w:r>
        <w:rPr>
          <w:rFonts w:hint="eastAsia" w:ascii="仿宋_GB2312" w:hAnsi="仿宋_GB2312" w:eastAsia="仿宋_GB2312" w:cs="仿宋_GB2312"/>
          <w:sz w:val="32"/>
          <w:szCs w:val="32"/>
        </w:rPr>
        <w:t>万元，完成预算的100%。项目绩效目标完成情况：一是改善基层</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环境；二是加强村级</w:t>
      </w:r>
      <w:r>
        <w:rPr>
          <w:rFonts w:hint="eastAsia" w:ascii="仿宋_GB2312" w:hAnsi="仿宋_GB2312" w:eastAsia="仿宋_GB2312" w:cs="仿宋_GB2312"/>
          <w:sz w:val="32"/>
          <w:szCs w:val="32"/>
          <w:lang w:eastAsia="zh-CN"/>
        </w:rPr>
        <w:t>精神文明建设</w:t>
      </w:r>
      <w:r>
        <w:rPr>
          <w:rFonts w:hint="eastAsia" w:ascii="仿宋_GB2312" w:hAnsi="仿宋_GB2312" w:eastAsia="仿宋_GB2312" w:cs="仿宋_GB2312"/>
          <w:sz w:val="32"/>
          <w:szCs w:val="32"/>
        </w:rPr>
        <w:t>，为乡村振兴提供有力组织保障，推动乡村工作。</w:t>
      </w:r>
    </w:p>
    <w:p>
      <w:pPr>
        <w:numPr>
          <w:ilvl w:val="0"/>
          <w:numId w:val="2"/>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重点项目工作经费（安大线征地项目）</w:t>
      </w:r>
      <w:r>
        <w:rPr>
          <w:rFonts w:hint="eastAsia" w:ascii="仿宋_GB2312" w:hAnsi="仿宋_GB2312" w:eastAsia="仿宋_GB2312" w:cs="仿宋_GB2312"/>
          <w:sz w:val="32"/>
          <w:szCs w:val="32"/>
        </w:rPr>
        <w:t>绩效自评综述：根据年初设定的绩效目标，</w:t>
      </w:r>
      <w:r>
        <w:rPr>
          <w:rFonts w:hint="eastAsia" w:ascii="仿宋_GB2312" w:hAnsi="仿宋_GB2312" w:eastAsia="仿宋_GB2312" w:cs="仿宋_GB2312"/>
          <w:sz w:val="32"/>
          <w:szCs w:val="32"/>
          <w:lang w:eastAsia="zh-CN"/>
        </w:rPr>
        <w:t>重点项目工作经费（安大线征地项目）</w:t>
      </w:r>
      <w:r>
        <w:rPr>
          <w:rFonts w:hint="eastAsia" w:ascii="仿宋_GB2312" w:hAnsi="仿宋_GB2312" w:eastAsia="仿宋_GB2312" w:cs="仿宋_GB2312"/>
          <w:sz w:val="32"/>
          <w:szCs w:val="32"/>
        </w:rPr>
        <w:t>绩效自评得分为100分，全年预算数为5.</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万元，执行数为5.</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lang w:eastAsia="zh-CN"/>
        </w:rPr>
        <w:t>保障安大线建设</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left="1050"/>
        <w:rPr>
          <w:rFonts w:ascii="仿宋_GB2312" w:hAnsi="仿宋_GB2312" w:eastAsia="仿宋_GB2312" w:cs="仿宋_GB2312"/>
          <w:sz w:val="32"/>
          <w:szCs w:val="32"/>
        </w:rPr>
      </w:pPr>
      <w:r>
        <w:rPr>
          <w:rFonts w:hint="eastAsia" w:ascii="仿宋_GB2312" w:hAnsi="仿宋_GB2312" w:eastAsia="仿宋_GB2312" w:cs="仿宋_GB2312"/>
          <w:sz w:val="32"/>
          <w:szCs w:val="32"/>
        </w:rPr>
        <w:t>具体统计表如下：</w:t>
      </w:r>
    </w:p>
    <w:tbl>
      <w:tblPr>
        <w:tblStyle w:val="5"/>
        <w:tblW w:w="7624" w:type="dxa"/>
        <w:tblInd w:w="93" w:type="dxa"/>
        <w:tblLayout w:type="autofit"/>
        <w:tblCellMar>
          <w:top w:w="0" w:type="dxa"/>
          <w:left w:w="108" w:type="dxa"/>
          <w:bottom w:w="0" w:type="dxa"/>
          <w:right w:w="108" w:type="dxa"/>
        </w:tblCellMar>
      </w:tblPr>
      <w:tblGrid>
        <w:gridCol w:w="1481"/>
        <w:gridCol w:w="2055"/>
        <w:gridCol w:w="1589"/>
        <w:gridCol w:w="833"/>
        <w:gridCol w:w="833"/>
        <w:gridCol w:w="833"/>
      </w:tblGrid>
      <w:tr>
        <w:tblPrEx>
          <w:tblCellMar>
            <w:top w:w="0" w:type="dxa"/>
            <w:left w:w="108" w:type="dxa"/>
            <w:bottom w:w="0" w:type="dxa"/>
            <w:right w:w="108" w:type="dxa"/>
          </w:tblCellMar>
        </w:tblPrEx>
        <w:trPr>
          <w:trHeight w:val="795" w:hRule="atLeast"/>
        </w:trPr>
        <w:tc>
          <w:tcPr>
            <w:tcW w:w="1481"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部门名称</w:t>
            </w:r>
          </w:p>
        </w:tc>
        <w:tc>
          <w:tcPr>
            <w:tcW w:w="2055"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1589"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资金数额（万元）</w:t>
            </w:r>
          </w:p>
        </w:tc>
        <w:tc>
          <w:tcPr>
            <w:tcW w:w="2499"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预计年底绩效目标实现情况</w:t>
            </w:r>
          </w:p>
        </w:tc>
      </w:tr>
      <w:tr>
        <w:tblPrEx>
          <w:tblCellMar>
            <w:top w:w="0" w:type="dxa"/>
            <w:left w:w="108" w:type="dxa"/>
            <w:bottom w:w="0" w:type="dxa"/>
            <w:right w:w="108" w:type="dxa"/>
          </w:tblCellMar>
        </w:tblPrEx>
        <w:trPr>
          <w:trHeight w:val="660" w:hRule="atLeast"/>
        </w:trPr>
        <w:tc>
          <w:tcPr>
            <w:tcW w:w="1481"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400" w:lineRule="exact"/>
              <w:jc w:val="left"/>
              <w:rPr>
                <w:rFonts w:hint="eastAsia" w:ascii="仿宋_GB2312" w:hAnsi="宋体" w:eastAsia="仿宋_GB2312" w:cs="宋体"/>
                <w:color w:val="000000"/>
                <w:kern w:val="0"/>
                <w:sz w:val="28"/>
                <w:szCs w:val="28"/>
              </w:rPr>
            </w:pPr>
          </w:p>
        </w:tc>
        <w:tc>
          <w:tcPr>
            <w:tcW w:w="2055"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400" w:lineRule="exact"/>
              <w:jc w:val="left"/>
              <w:rPr>
                <w:rFonts w:hint="eastAsia" w:ascii="仿宋_GB2312" w:hAnsi="宋体" w:eastAsia="仿宋_GB2312" w:cs="宋体"/>
                <w:color w:val="000000"/>
                <w:kern w:val="0"/>
                <w:sz w:val="28"/>
                <w:szCs w:val="28"/>
              </w:rPr>
            </w:pPr>
          </w:p>
        </w:tc>
        <w:tc>
          <w:tcPr>
            <w:tcW w:w="1589"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400" w:lineRule="exact"/>
              <w:jc w:val="left"/>
              <w:rPr>
                <w:rFonts w:hint="eastAsia" w:ascii="仿宋_GB2312" w:hAnsi="宋体" w:eastAsia="仿宋_GB2312" w:cs="宋体"/>
                <w:color w:val="000000"/>
                <w:kern w:val="0"/>
                <w:sz w:val="28"/>
                <w:szCs w:val="28"/>
              </w:rPr>
            </w:pP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能实现</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不能完全实现</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差距较大</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2019年1-3月村两委干部基础职务补贴</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2020年7-10月份区财政局农村“两委”干部补贴资金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51.10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村干部保险</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16.20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村干部基础职务补贴</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118.61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大学生村官保险</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2.88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大学生村官工资</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10.10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服务群众专项、村级办公、党组织活动经费</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35.61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岗头村公路占地补偿款</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1.80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河道清理整治启动经费</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15.00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基层组织运转经费和党建提升</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19.61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京昆高速引线两侧王辛庄路段绿化补偿款</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5.46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雷玉水维稳资金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4.00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农村文化建设资金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16.00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农村综合改革一事一议资金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8.67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乡镇中学占地补偿款</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9.92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信访维稳资金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5.00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杨宗生维稳资金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5.00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张志青家庭救助款</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5.00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正常离任村干部生活补贴</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8.90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重点项目工作经费（安大线征地项目）</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5.00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CellMar>
            <w:top w:w="0" w:type="dxa"/>
            <w:left w:w="108" w:type="dxa"/>
            <w:bottom w:w="0" w:type="dxa"/>
            <w:right w:w="108" w:type="dxa"/>
          </w:tblCellMar>
        </w:tblPrEx>
        <w:trPr>
          <w:trHeight w:val="660" w:hRule="atLeast"/>
        </w:trPr>
        <w:tc>
          <w:tcPr>
            <w:tcW w:w="148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满城区大册营镇</w:t>
            </w:r>
          </w:p>
        </w:tc>
        <w:tc>
          <w:tcPr>
            <w:tcW w:w="2055"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驻京维稳资金</w:t>
            </w:r>
          </w:p>
        </w:tc>
        <w:tc>
          <w:tcPr>
            <w:tcW w:w="1589"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3.00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lang w:val="en-US" w:eastAsia="zh-CN" w:bidi="ar-SA"/>
              </w:rPr>
            </w:pPr>
            <w:r>
              <w:rPr>
                <w:rFonts w:hint="eastAsia" w:ascii="宋体" w:hAnsi="宋体" w:cs="宋体"/>
                <w:color w:val="000000"/>
                <w:kern w:val="0"/>
                <w:sz w:val="22"/>
              </w:rPr>
              <w:t>√</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33" w:type="dxa"/>
            <w:tcBorders>
              <w:top w:val="nil"/>
              <w:left w:val="nil"/>
              <w:bottom w:val="single" w:color="auto" w:sz="8" w:space="0"/>
              <w:right w:val="single" w:color="auto" w:sz="8" w:space="0"/>
            </w:tcBorders>
            <w:shd w:val="clear" w:color="auto" w:fill="auto"/>
            <w:noWrap w:val="0"/>
            <w:vAlign w:val="center"/>
          </w:tcPr>
          <w:p>
            <w:pPr>
              <w:widowControl/>
              <w:spacing w:line="4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bl>
    <w:p>
      <w:pPr>
        <w:numPr>
          <w:ilvl w:val="0"/>
          <w:numId w:val="0"/>
        </w:numPr>
        <w:adjustRightInd w:val="0"/>
        <w:snapToGrid w:val="0"/>
        <w:spacing w:line="580" w:lineRule="exact"/>
        <w:ind w:left="1050" w:leftChars="0"/>
        <w:rPr>
          <w:rFonts w:ascii="仿宋_GB2312" w:hAnsi="仿宋_GB2312" w:eastAsia="仿宋_GB2312" w:cs="仿宋_GB2312"/>
          <w:sz w:val="32"/>
          <w:szCs w:val="32"/>
        </w:rPr>
      </w:pPr>
    </w:p>
    <w:p>
      <w:pPr>
        <w:numPr>
          <w:ilvl w:val="0"/>
          <w:numId w:val="0"/>
        </w:numPr>
        <w:adjustRightInd w:val="0"/>
        <w:snapToGrid w:val="0"/>
        <w:spacing w:line="580" w:lineRule="exact"/>
        <w:ind w:left="1050" w:leftChars="0"/>
        <w:rPr>
          <w:rFonts w:ascii="仿宋_GB2312" w:hAnsi="仿宋_GB2312" w:eastAsia="仿宋_GB2312" w:cs="仿宋_GB2312"/>
          <w:sz w:val="32"/>
          <w:szCs w:val="32"/>
        </w:rPr>
      </w:pPr>
    </w:p>
    <w:p>
      <w:pPr>
        <w:numPr>
          <w:ilvl w:val="0"/>
          <w:numId w:val="0"/>
        </w:numPr>
        <w:adjustRightInd w:val="0"/>
        <w:snapToGrid w:val="0"/>
        <w:spacing w:line="600" w:lineRule="exact"/>
        <w:ind w:leftChars="200"/>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我单位无财政评价项目绩效</w:t>
      </w:r>
      <w:r>
        <w:rPr>
          <w:rFonts w:hint="eastAsia" w:ascii="仿宋_GB2312" w:hAnsi="仿宋_GB2312" w:eastAsia="仿宋_GB2312" w:cs="仿宋_GB2312"/>
          <w:sz w:val="32"/>
          <w:szCs w:val="32"/>
          <w:lang w:eastAsia="zh-CN"/>
        </w:rPr>
        <w:t>。</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hint="default" w:ascii="仿宋_GB2312" w:hAnsi="Times New Roman" w:eastAsia="仿宋_GB2312" w:cs="DengXian-Regular"/>
          <w:sz w:val="32"/>
          <w:szCs w:val="32"/>
          <w:lang w:val="en-US"/>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44.94</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13.24</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22.76</w:t>
      </w:r>
      <w:r>
        <w:rPr>
          <w:rFonts w:hint="eastAsia" w:ascii="仿宋_GB2312" w:hAnsi="仿宋_GB2312" w:eastAsia="仿宋_GB2312" w:cs="仿宋_GB2312"/>
          <w:sz w:val="32"/>
          <w:szCs w:val="32"/>
        </w:rPr>
        <w:t>%。主要原因是</w:t>
      </w:r>
      <w:r>
        <w:rPr>
          <w:rFonts w:hint="eastAsia" w:ascii="仿宋_GB2312" w:hAnsi="Times New Roman" w:eastAsia="仿宋_GB2312" w:cs="DengXian-Regular"/>
          <w:sz w:val="32"/>
          <w:szCs w:val="32"/>
          <w:lang w:val="en-US" w:eastAsia="zh-CN"/>
        </w:rPr>
        <w:t>厉行节俭。</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Times New Roman" w:eastAsia="仿宋_GB2312" w:cs="DengXian-Regular"/>
          <w:sz w:val="32"/>
          <w:szCs w:val="32"/>
        </w:rPr>
        <w:t>其他用车主要是</w:t>
      </w:r>
      <w:r>
        <w:rPr>
          <w:rFonts w:hint="eastAsia" w:ascii="仿宋_GB2312" w:eastAsia="仿宋_GB2312" w:cs="DengXian-Regular"/>
          <w:sz w:val="32"/>
          <w:szCs w:val="32"/>
        </w:rPr>
        <w:t>公务用车应急保障</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（一）</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2020</w:t>
      </w:r>
      <w:r>
        <w:rPr>
          <w:rFonts w:hint="eastAsia" w:ascii="仿宋_GB2312" w:hAnsi="Times New Roman" w:eastAsia="仿宋_GB2312" w:cs="DengXian-Regular"/>
          <w:sz w:val="32"/>
          <w:szCs w:val="32"/>
        </w:rPr>
        <w:t>年度国有资本经营预算无收支及结转结余情况，故国有资本经营预算财政拨款收支决算表以空表列示。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DengXian-Regular"/>
          <w:sz w:val="32"/>
          <w:szCs w:val="32"/>
          <w:lang w:eastAsia="zh-CN"/>
        </w:rPr>
        <w:t>（二）</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5"/>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2" w:type="default"/>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eastAsia="zh-CN" w:bidi="ar"/>
              </w:rPr>
              <w:t>保定市满城区大册营镇人民政府</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1440.09</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732.84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9.92</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16.00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105.78</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37.23</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15.00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484.89</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38.43</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1440.09</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1440.09</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18"/>
                <w:szCs w:val="18"/>
                <w:lang w:eastAsia="zh-CN"/>
              </w:rPr>
            </w:pPr>
            <w:r>
              <w:rPr>
                <w:rFonts w:hint="eastAsia" w:ascii="宋体" w:hAnsi="宋体" w:eastAsia="宋体" w:cs="宋体"/>
                <w:b w:val="0"/>
                <w:bCs/>
                <w:color w:val="000000"/>
                <w:kern w:val="0"/>
                <w:sz w:val="18"/>
                <w:szCs w:val="18"/>
                <w:lang w:eastAsia="zh-CN" w:bidi="ar"/>
              </w:rPr>
              <w:t>使用非财政拨款结余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1440.09</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1440.09</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p>
      <w:pPr>
        <w:jc w:val="left"/>
      </w:pPr>
    </w:p>
    <w:tbl>
      <w:tblPr>
        <w:tblStyle w:val="5"/>
        <w:tblW w:w="0" w:type="auto"/>
        <w:tblInd w:w="91" w:type="dxa"/>
        <w:shd w:val="clear" w:color="auto" w:fill="auto"/>
        <w:tblLayout w:type="autofit"/>
        <w:tblCellMar>
          <w:top w:w="0" w:type="dxa"/>
          <w:left w:w="108" w:type="dxa"/>
          <w:bottom w:w="0" w:type="dxa"/>
          <w:right w:w="108" w:type="dxa"/>
        </w:tblCellMar>
      </w:tblPr>
      <w:tblGrid>
        <w:gridCol w:w="1134"/>
        <w:gridCol w:w="222"/>
        <w:gridCol w:w="222"/>
        <w:gridCol w:w="2268"/>
        <w:gridCol w:w="1143"/>
        <w:gridCol w:w="1144"/>
        <w:gridCol w:w="498"/>
        <w:gridCol w:w="498"/>
        <w:gridCol w:w="523"/>
        <w:gridCol w:w="692"/>
        <w:gridCol w:w="625"/>
      </w:tblGrid>
      <w:tr>
        <w:tblPrEx>
          <w:tblCellMar>
            <w:top w:w="0" w:type="dxa"/>
            <w:left w:w="108" w:type="dxa"/>
            <w:bottom w:w="0" w:type="dxa"/>
            <w:right w:w="108" w:type="dxa"/>
          </w:tblCellMar>
        </w:tblPrEx>
        <w:trPr>
          <w:trHeight w:val="375" w:hRule="atLeast"/>
        </w:trPr>
        <w:tc>
          <w:tcPr>
            <w:tcW w:w="8969"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收入决算表</w:t>
            </w:r>
          </w:p>
        </w:tc>
      </w:tr>
      <w:tr>
        <w:tblPrEx>
          <w:shd w:val="clear" w:color="auto" w:fill="auto"/>
          <w:tblCellMar>
            <w:top w:w="0" w:type="dxa"/>
            <w:left w:w="108" w:type="dxa"/>
            <w:bottom w:w="0" w:type="dxa"/>
            <w:right w:w="108" w:type="dxa"/>
          </w:tblCellMar>
        </w:tblPrEx>
        <w:trPr>
          <w:trHeight w:val="255" w:hRule="atLeast"/>
        </w:trPr>
        <w:tc>
          <w:tcPr>
            <w:tcW w:w="1134" w:type="dxa"/>
            <w:tcBorders>
              <w:top w:val="nil"/>
              <w:left w:val="nil"/>
              <w:bottom w:val="nil"/>
              <w:right w:val="nil"/>
            </w:tcBorders>
            <w:shd w:val="clear" w:color="auto" w:fill="auto"/>
            <w:noWrap/>
            <w:vAlign w:val="bottom"/>
          </w:tcPr>
          <w:p>
            <w:pPr>
              <w:jc w:val="both"/>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2268"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70" w:hRule="atLeast"/>
        </w:trPr>
        <w:tc>
          <w:tcPr>
            <w:tcW w:w="113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2268"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55" w:hRule="atLeast"/>
        </w:trPr>
        <w:tc>
          <w:tcPr>
            <w:tcW w:w="3846"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w:t>
            </w:r>
          </w:p>
        </w:tc>
        <w:tc>
          <w:tcPr>
            <w:tcW w:w="1143"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本年收入合计</w:t>
            </w:r>
          </w:p>
        </w:tc>
        <w:tc>
          <w:tcPr>
            <w:tcW w:w="1144"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财政拨款收入</w:t>
            </w:r>
          </w:p>
        </w:tc>
        <w:tc>
          <w:tcPr>
            <w:tcW w:w="498"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上级补助收入</w:t>
            </w:r>
          </w:p>
        </w:tc>
        <w:tc>
          <w:tcPr>
            <w:tcW w:w="498"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事业收入</w:t>
            </w:r>
          </w:p>
        </w:tc>
        <w:tc>
          <w:tcPr>
            <w:tcW w:w="523"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经营收入</w:t>
            </w:r>
          </w:p>
        </w:tc>
        <w:tc>
          <w:tcPr>
            <w:tcW w:w="692"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附属单位上缴收入</w:t>
            </w:r>
          </w:p>
        </w:tc>
        <w:tc>
          <w:tcPr>
            <w:tcW w:w="625" w:type="dxa"/>
            <w:vMerge w:val="restart"/>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255" w:hRule="atLeast"/>
        </w:trPr>
        <w:tc>
          <w:tcPr>
            <w:tcW w:w="157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功能分类科目编码</w:t>
            </w:r>
          </w:p>
        </w:tc>
        <w:tc>
          <w:tcPr>
            <w:tcW w:w="226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科目名称</w:t>
            </w:r>
          </w:p>
        </w:tc>
        <w:tc>
          <w:tcPr>
            <w:tcW w:w="1143"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1144"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498"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498"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523"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692"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625" w:type="dxa"/>
            <w:vMerge w:val="continue"/>
            <w:tcBorders>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3846"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285" w:hRule="atLeast"/>
        </w:trPr>
        <w:tc>
          <w:tcPr>
            <w:tcW w:w="3846"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1,440.09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1,440.09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44" w:type="dxa"/>
            <w:vMerge w:val="restart"/>
            <w:tcBorders>
              <w:top w:val="nil"/>
              <w:left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114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2010350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2" w:hRule="atLeast"/>
        </w:trPr>
        <w:tc>
          <w:tcPr>
            <w:tcW w:w="15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8969"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r>
        <w:br w:type="page"/>
      </w:r>
    </w:p>
    <w:tbl>
      <w:tblPr>
        <w:tblStyle w:val="5"/>
        <w:tblW w:w="9399" w:type="dxa"/>
        <w:tblInd w:w="91" w:type="dxa"/>
        <w:shd w:val="clear" w:color="auto" w:fill="auto"/>
        <w:tblLayout w:type="fixed"/>
        <w:tblCellMar>
          <w:top w:w="0" w:type="dxa"/>
          <w:left w:w="108" w:type="dxa"/>
          <w:bottom w:w="0" w:type="dxa"/>
          <w:right w:w="108" w:type="dxa"/>
        </w:tblCellMar>
      </w:tblPr>
      <w:tblGrid>
        <w:gridCol w:w="567"/>
        <w:gridCol w:w="222"/>
        <w:gridCol w:w="222"/>
        <w:gridCol w:w="2268"/>
        <w:gridCol w:w="1125"/>
        <w:gridCol w:w="915"/>
        <w:gridCol w:w="1020"/>
        <w:gridCol w:w="1020"/>
        <w:gridCol w:w="1020"/>
        <w:gridCol w:w="1020"/>
      </w:tblGrid>
      <w:tr>
        <w:tblPrEx>
          <w:shd w:val="clear" w:color="auto" w:fill="auto"/>
          <w:tblCellMar>
            <w:top w:w="0" w:type="dxa"/>
            <w:left w:w="108" w:type="dxa"/>
            <w:bottom w:w="0" w:type="dxa"/>
            <w:right w:w="108" w:type="dxa"/>
          </w:tblCellMar>
        </w:tblPrEx>
        <w:trPr>
          <w:trHeight w:val="405" w:hRule="atLeast"/>
        </w:trPr>
        <w:tc>
          <w:tcPr>
            <w:tcW w:w="9399"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支出决算表</w:t>
            </w:r>
          </w:p>
        </w:tc>
      </w:tr>
      <w:tr>
        <w:tblPrEx>
          <w:shd w:val="clear" w:color="auto" w:fill="auto"/>
          <w:tblCellMar>
            <w:top w:w="0" w:type="dxa"/>
            <w:left w:w="108" w:type="dxa"/>
            <w:bottom w:w="0" w:type="dxa"/>
            <w:right w:w="108" w:type="dxa"/>
          </w:tblCellMar>
        </w:tblPrEx>
        <w:trPr>
          <w:trHeight w:val="255" w:hRule="atLeast"/>
        </w:trPr>
        <w:tc>
          <w:tcPr>
            <w:tcW w:w="567" w:type="dxa"/>
            <w:tcBorders>
              <w:top w:val="nil"/>
              <w:left w:val="nil"/>
              <w:bottom w:val="nil"/>
              <w:right w:val="nil"/>
            </w:tcBorders>
            <w:shd w:val="clear" w:color="auto" w:fill="auto"/>
            <w:noWrap/>
            <w:vAlign w:val="bottom"/>
          </w:tcPr>
          <w:p>
            <w:pPr>
              <w:jc w:val="both"/>
              <w:rPr>
                <w:rFonts w:hint="eastAsia" w:ascii="Arial" w:hAnsi="Arial" w:cs="Arial"/>
                <w:i w:val="0"/>
                <w:iCs w:val="0"/>
                <w:color w:val="000000"/>
                <w:sz w:val="18"/>
                <w:szCs w:val="18"/>
                <w:u w:val="none"/>
              </w:rPr>
            </w:pP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2268"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125"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915"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020"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020"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020"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0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shd w:val="clear" w:color="auto" w:fill="auto"/>
          <w:tblCellMar>
            <w:top w:w="0" w:type="dxa"/>
            <w:left w:w="108" w:type="dxa"/>
            <w:bottom w:w="0" w:type="dxa"/>
            <w:right w:w="108" w:type="dxa"/>
          </w:tblCellMar>
        </w:tblPrEx>
        <w:trPr>
          <w:trHeight w:val="270" w:hRule="atLeast"/>
        </w:trPr>
        <w:tc>
          <w:tcPr>
            <w:tcW w:w="56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w:t>
            </w: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2268"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125"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915"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020"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1020"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18"/>
                <w:szCs w:val="18"/>
                <w:u w:val="none"/>
              </w:rPr>
            </w:pPr>
          </w:p>
        </w:tc>
        <w:tc>
          <w:tcPr>
            <w:tcW w:w="204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495" w:hRule="atLeast"/>
        </w:trPr>
        <w:tc>
          <w:tcPr>
            <w:tcW w:w="3279"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w:t>
            </w:r>
          </w:p>
        </w:tc>
        <w:tc>
          <w:tcPr>
            <w:tcW w:w="11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本年支出合计</w:t>
            </w:r>
          </w:p>
        </w:tc>
        <w:tc>
          <w:tcPr>
            <w:tcW w:w="9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基本支出</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项目支出</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上缴上级支出</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经营支出</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270" w:hRule="atLeast"/>
        </w:trPr>
        <w:tc>
          <w:tcPr>
            <w:tcW w:w="1011"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功能分类科目编码</w:t>
            </w:r>
          </w:p>
        </w:tc>
        <w:tc>
          <w:tcPr>
            <w:tcW w:w="226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科目名称</w:t>
            </w:r>
          </w:p>
        </w:tc>
        <w:tc>
          <w:tcPr>
            <w:tcW w:w="1125" w:type="dxa"/>
            <w:tcBorders>
              <w:top w:val="nil"/>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915" w:type="dxa"/>
            <w:tcBorders>
              <w:top w:val="nil"/>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c>
          <w:tcPr>
            <w:tcW w:w="1020" w:type="dxa"/>
            <w:tcBorders>
              <w:top w:val="single" w:color="000000" w:sz="8" w:space="0"/>
              <w:left w:val="nil"/>
              <w:bottom w:val="single" w:color="000000" w:sz="8" w:space="0"/>
              <w:right w:val="single" w:color="000000" w:sz="8" w:space="0"/>
            </w:tcBorders>
            <w:shd w:val="clear" w:color="auto" w:fill="auto"/>
            <w:vAlign w:val="bottom"/>
          </w:tcPr>
          <w:p>
            <w:pPr>
              <w:jc w:val="center"/>
              <w:rPr>
                <w:rFonts w:hint="eastAsia" w:ascii="黑体" w:hAnsi="宋体" w:eastAsia="黑体" w:cs="黑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0" w:hRule="atLeast"/>
        </w:trPr>
        <w:tc>
          <w:tcPr>
            <w:tcW w:w="1011" w:type="dxa"/>
            <w:gridSpan w:val="3"/>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2268" w:type="dxa"/>
            <w:tcBorders>
              <w:top w:val="nil"/>
              <w:left w:val="nil"/>
              <w:bottom w:val="single" w:color="000000" w:sz="8"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125"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915"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trPr>
        <w:tc>
          <w:tcPr>
            <w:tcW w:w="1011" w:type="dxa"/>
            <w:gridSpan w:val="3"/>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2268" w:type="dxa"/>
            <w:tcBorders>
              <w:top w:val="nil"/>
              <w:left w:val="nil"/>
              <w:bottom w:val="single" w:color="000000" w:sz="8"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125"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915"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trPr>
        <w:tc>
          <w:tcPr>
            <w:tcW w:w="3279"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shd w:val="clear" w:color="auto" w:fill="auto"/>
          <w:tblCellMar>
            <w:top w:w="0" w:type="dxa"/>
            <w:left w:w="108" w:type="dxa"/>
            <w:bottom w:w="0" w:type="dxa"/>
            <w:right w:w="108" w:type="dxa"/>
          </w:tblCellMar>
        </w:tblPrEx>
        <w:trPr>
          <w:trHeight w:val="285" w:hRule="atLeast"/>
        </w:trPr>
        <w:tc>
          <w:tcPr>
            <w:tcW w:w="3279"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1,440.09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875.57</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564.52</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704.13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704.13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236.32</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2010350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467.81</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467.81</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105.78</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101.91</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101.91</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484.89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484.89</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211.64</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273.25</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48.16</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225.09</w:t>
            </w: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2"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399"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
    <w:p/>
    <w:p/>
    <w:p/>
    <w:p/>
    <w:p/>
    <w:p/>
    <w:p/>
    <w:p/>
    <w:tbl>
      <w:tblPr>
        <w:tblStyle w:val="5"/>
        <w:tblW w:w="10375" w:type="dxa"/>
        <w:jc w:val="center"/>
        <w:tblLayout w:type="fixed"/>
        <w:tblCellMar>
          <w:top w:w="0" w:type="dxa"/>
          <w:left w:w="0" w:type="dxa"/>
          <w:bottom w:w="0" w:type="dxa"/>
          <w:right w:w="0" w:type="dxa"/>
        </w:tblCellMar>
      </w:tblPr>
      <w:tblGrid>
        <w:gridCol w:w="2922"/>
        <w:gridCol w:w="425"/>
        <w:gridCol w:w="873"/>
        <w:gridCol w:w="2241"/>
        <w:gridCol w:w="567"/>
        <w:gridCol w:w="848"/>
        <w:gridCol w:w="855"/>
        <w:gridCol w:w="789"/>
        <w:gridCol w:w="855"/>
      </w:tblGrid>
      <w:tr>
        <w:tblPrEx>
          <w:tblCellMar>
            <w:top w:w="0" w:type="dxa"/>
            <w:left w:w="0" w:type="dxa"/>
            <w:bottom w:w="0" w:type="dxa"/>
            <w:right w:w="0" w:type="dxa"/>
          </w:tblCellMar>
        </w:tblPrEx>
        <w:trPr>
          <w:gridAfter w:val="1"/>
          <w:wAfter w:w="855" w:type="dxa"/>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7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9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7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9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gridAfter w:val="1"/>
          <w:wAfter w:w="855" w:type="dxa"/>
          <w:trHeight w:val="90" w:hRule="atLeast"/>
          <w:jc w:val="center"/>
        </w:trPr>
        <w:tc>
          <w:tcPr>
            <w:tcW w:w="42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0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gridAfter w:val="1"/>
          <w:wAfter w:w="855" w:type="dxa"/>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7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24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8"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gridAfter w:val="1"/>
          <w:wAfter w:w="855" w:type="dxa"/>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7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1440.09</w:t>
            </w: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31</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732.84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732.84</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32</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c>
          <w:tcPr>
            <w:tcW w:w="855" w:type="dxa"/>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三、国有资本经营财政拨款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33</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34</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35</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9.92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9.92</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36</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七、文化旅游体育与传媒支出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37</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16.00</w:t>
            </w: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16.0</w:t>
            </w: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38</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105.78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105.78</w:t>
            </w: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九、卫生健康支出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39</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37.23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37.23</w:t>
            </w: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40</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15.00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15.00</w:t>
            </w: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41</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42</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484.89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484.89</w:t>
            </w: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43</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44</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45</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46</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47</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十八、自然资源海洋气象等支出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48</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49</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38.43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38.43</w:t>
            </w: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50</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二十一、灾害防治及应急管理支出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51</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二十二、其他支出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52</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二十四、债务付息支出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53</w:t>
            </w:r>
          </w:p>
        </w:tc>
        <w:tc>
          <w:tcPr>
            <w:tcW w:w="848"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hint="eastAsia" w:ascii="宋体" w:hAnsi="宋体" w:eastAsia="宋体" w:cs="宋体"/>
                <w:color w:val="000000"/>
                <w:kern w:val="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tcPr>
          <w:p>
            <w:pPr>
              <w:jc w:val="right"/>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1440.09</w:t>
            </w: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4"/>
                <w:lang w:val="en-US" w:eastAsia="zh-CN" w:bidi="ar-SA"/>
              </w:rPr>
            </w:pPr>
            <w:r>
              <w:rPr>
                <w:rFonts w:ascii="宋体" w:hAnsi="宋体" w:eastAsia="宋体" w:cs="宋体"/>
                <w:color w:val="000000"/>
                <w:kern w:val="0"/>
                <w:sz w:val="22"/>
              </w:rPr>
              <w:t>54</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1440.09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1440.09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4"/>
                <w:lang w:val="en-US" w:eastAsia="zh-CN" w:bidi="ar-SA"/>
              </w:rPr>
            </w:pPr>
            <w:r>
              <w:rPr>
                <w:rFonts w:ascii="宋体" w:hAnsi="宋体" w:eastAsia="宋体" w:cs="宋体"/>
                <w:color w:val="000000"/>
                <w:kern w:val="0"/>
                <w:sz w:val="22"/>
              </w:rPr>
              <w:t>55</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4"/>
                <w:lang w:val="en-US" w:eastAsia="zh-CN" w:bidi="ar-SA"/>
              </w:rPr>
            </w:pPr>
            <w:r>
              <w:rPr>
                <w:rFonts w:ascii="宋体" w:hAnsi="宋体" w:eastAsia="宋体" w:cs="宋体"/>
                <w:color w:val="000000"/>
                <w:kern w:val="0"/>
                <w:sz w:val="22"/>
              </w:rPr>
              <w:t>56</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57</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三、国有资本经营预算财政拨款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4"/>
                <w:lang w:val="en-US" w:eastAsia="zh-CN" w:bidi="ar-SA"/>
              </w:rPr>
            </w:pPr>
            <w:r>
              <w:rPr>
                <w:rFonts w:ascii="宋体" w:hAnsi="宋体" w:eastAsia="宋体" w:cs="宋体"/>
                <w:color w:val="000000"/>
                <w:kern w:val="0"/>
                <w:sz w:val="22"/>
              </w:rPr>
              <w:t>28</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18"/>
                <w:szCs w:val="18"/>
              </w:rPr>
            </w:pPr>
          </w:p>
        </w:tc>
      </w:tr>
      <w:tr>
        <w:tblPrEx>
          <w:tblCellMar>
            <w:top w:w="0" w:type="dxa"/>
            <w:left w:w="0" w:type="dxa"/>
            <w:bottom w:w="0" w:type="dxa"/>
            <w:right w:w="0" w:type="dxa"/>
          </w:tblCellMar>
        </w:tblPrEx>
        <w:trPr>
          <w:gridAfter w:val="1"/>
          <w:wAfter w:w="855" w:type="dxa"/>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4"/>
                <w:lang w:val="en-US" w:eastAsia="zh-CN" w:bidi="ar-SA"/>
              </w:rPr>
            </w:pPr>
            <w:r>
              <w:rPr>
                <w:rFonts w:ascii="宋体" w:hAnsi="宋体" w:eastAsia="宋体" w:cs="宋体"/>
                <w:color w:val="000000"/>
                <w:kern w:val="0"/>
                <w:sz w:val="22"/>
              </w:rPr>
              <w:t>29</w:t>
            </w:r>
          </w:p>
        </w:tc>
        <w:tc>
          <w:tcPr>
            <w:tcW w:w="87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1440.09</w:t>
            </w:r>
          </w:p>
        </w:tc>
        <w:tc>
          <w:tcPr>
            <w:tcW w:w="224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b/>
                <w:color w:val="000000"/>
                <w:kern w:val="0"/>
                <w:sz w:val="22"/>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val="en-US" w:eastAsia="zh-CN"/>
              </w:rPr>
              <w:t>59</w:t>
            </w:r>
          </w:p>
        </w:tc>
        <w:tc>
          <w:tcPr>
            <w:tcW w:w="8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1440.09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1440.09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855" w:type="dxa"/>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p>
      <w:r>
        <w:br w:type="page"/>
      </w:r>
    </w:p>
    <w:tbl>
      <w:tblPr>
        <w:tblStyle w:val="5"/>
        <w:tblW w:w="0" w:type="auto"/>
        <w:tblInd w:w="91" w:type="dxa"/>
        <w:shd w:val="clear" w:color="auto" w:fill="auto"/>
        <w:tblLayout w:type="autofit"/>
        <w:tblCellMar>
          <w:top w:w="0" w:type="dxa"/>
          <w:left w:w="108" w:type="dxa"/>
          <w:bottom w:w="0" w:type="dxa"/>
          <w:right w:w="108" w:type="dxa"/>
        </w:tblCellMar>
      </w:tblPr>
      <w:tblGrid>
        <w:gridCol w:w="1253"/>
        <w:gridCol w:w="254"/>
        <w:gridCol w:w="254"/>
        <w:gridCol w:w="3722"/>
        <w:gridCol w:w="1161"/>
        <w:gridCol w:w="1161"/>
        <w:gridCol w:w="1164"/>
      </w:tblGrid>
      <w:tr>
        <w:tblPrEx>
          <w:shd w:val="clear" w:color="auto" w:fill="auto"/>
          <w:tblCellMar>
            <w:top w:w="0" w:type="dxa"/>
            <w:left w:w="108" w:type="dxa"/>
            <w:bottom w:w="0" w:type="dxa"/>
            <w:right w:w="108" w:type="dxa"/>
          </w:tblCellMar>
        </w:tblPrEx>
        <w:trPr>
          <w:trHeight w:val="642" w:hRule="atLeast"/>
        </w:trPr>
        <w:tc>
          <w:tcPr>
            <w:tcW w:w="1260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321" w:hRule="atLeast"/>
        </w:trPr>
        <w:tc>
          <w:tcPr>
            <w:tcW w:w="148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642" w:hRule="atLeast"/>
        </w:trPr>
        <w:tc>
          <w:tcPr>
            <w:tcW w:w="8131"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21" w:hRule="atLeast"/>
        </w:trPr>
        <w:tc>
          <w:tcPr>
            <w:tcW w:w="813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6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12" w:hRule="atLeast"/>
        </w:trPr>
        <w:tc>
          <w:tcPr>
            <w:tcW w:w="20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8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8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9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12"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813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31" w:hRule="atLeast"/>
        </w:trPr>
        <w:tc>
          <w:tcPr>
            <w:tcW w:w="813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1,440.09</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875.57</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564.52</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704.13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732.84</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704.13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236.32</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236.32</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467.81</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467.81</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105.78</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105.78</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101.91</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101.91</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67.34</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484.89</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484.89</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211.64</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211.64</w:t>
            </w:r>
          </w:p>
        </w:tc>
      </w:tr>
      <w:tr>
        <w:tblPrEx>
          <w:shd w:val="clear" w:color="auto" w:fill="auto"/>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273.25</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273.25</w:t>
            </w: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48.16</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48.16</w:t>
            </w: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225.09</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225.09</w:t>
            </w: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1" w:hRule="atLeast"/>
        </w:trPr>
        <w:tc>
          <w:tcPr>
            <w:tcW w:w="207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4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w:t>
            </w:r>
          </w:p>
        </w:tc>
        <w:tc>
          <w:tcPr>
            <w:tcW w:w="14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1" w:hRule="atLeast"/>
        </w:trPr>
        <w:tc>
          <w:tcPr>
            <w:tcW w:w="1260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cantSplit/>
          <w:trHeight w:val="312" w:hRule="exac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785.36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44.94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475.89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4.69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22.09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18.55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111.19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72.86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17.24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11.73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26.70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2.41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38.43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45.27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18.40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18.59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1.20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5.99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7.08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13.30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widowControl/>
              <w:spacing w:line="220" w:lineRule="exact"/>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0.23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830.63</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44.94</w:t>
            </w:r>
          </w:p>
        </w:tc>
      </w:tr>
    </w:tbl>
    <w:p>
      <w:pPr>
        <w:widowControl/>
        <w:jc w:val="center"/>
        <w:textAlignment w:val="center"/>
        <w:sectPr>
          <w:pgSz w:w="16838" w:h="11906" w:orient="landscape"/>
          <w:pgMar w:top="1417" w:right="2098" w:bottom="1417"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lang w:val="en-US" w:eastAsia="zh-CN"/>
              </w:rPr>
              <w:t>6.00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lang w:val="en-US" w:eastAsia="zh-CN"/>
              </w:rPr>
              <w:t>6.00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5.99</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rPr>
            </w:pPr>
            <w:r>
              <w:rPr>
                <w:rFonts w:hint="eastAsia" w:ascii="宋体" w:hAnsi="宋体" w:eastAsia="宋体" w:cs="宋体"/>
                <w:color w:val="000000"/>
                <w:szCs w:val="22"/>
                <w:lang w:val="en-US" w:eastAsia="zh-CN"/>
              </w:rPr>
              <w:t>5.99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lang w:val="en-US" w:eastAsia="zh-CN"/>
              </w:rPr>
              <w:t>5.99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rFonts w:hint="eastAsia" w:ascii="宋体" w:hAnsi="宋体" w:eastAsia="宋体" w:cs="宋体"/>
          <w:sz w:val="20"/>
          <w:szCs w:val="22"/>
        </w:rPr>
      </w:pPr>
      <w:r>
        <w:rPr>
          <w:rFonts w:hint="eastAsia" w:ascii="宋体" w:hAnsi="宋体" w:eastAsia="宋体" w:cs="宋体"/>
          <w:sz w:val="20"/>
          <w:szCs w:val="22"/>
        </w:rPr>
        <w:t>本部门本年度无相关收入（或支出、收支及结转结余等）情况，按要求空表列示。</w:t>
      </w: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p>
      <w:pPr>
        <w:rPr>
          <w:rFonts w:hint="eastAsia" w:ascii="宋体" w:hAnsi="宋体" w:eastAsia="宋体" w:cs="宋体"/>
          <w:sz w:val="20"/>
          <w:szCs w:val="22"/>
        </w:rPr>
      </w:pP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rPr>
          <w:rFonts w:ascii="黑体" w:hAnsi="黑体" w:eastAsia="黑体" w:cs="黑体"/>
          <w:sz w:val="56"/>
          <w:szCs w:val="72"/>
        </w:rPr>
      </w:pPr>
      <w:r>
        <w:rPr>
          <w:rFonts w:hint="eastAsia" w:ascii="宋体" w:hAnsi="宋体" w:eastAsia="宋体" w:cs="宋体"/>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2B71E3"/>
    <w:multiLevelType w:val="singleLevel"/>
    <w:tmpl w:val="F02B71E3"/>
    <w:lvl w:ilvl="0" w:tentative="0">
      <w:start w:val="2"/>
      <w:numFmt w:val="decimal"/>
      <w:suff w:val="nothing"/>
      <w:lvlText w:val="（%1）"/>
      <w:lvlJc w:val="left"/>
      <w:pPr>
        <w:ind w:left="41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ZTRiZTYzMWU4OTJlMTMyYWJiNTZlMjI2NTBlZDgifQ=="/>
  </w:docVars>
  <w:rsids>
    <w:rsidRoot w:val="00172A27"/>
    <w:rsid w:val="00061A05"/>
    <w:rsid w:val="0018668E"/>
    <w:rsid w:val="001B73D2"/>
    <w:rsid w:val="001E62BF"/>
    <w:rsid w:val="00293E7B"/>
    <w:rsid w:val="002D1F4F"/>
    <w:rsid w:val="00366D90"/>
    <w:rsid w:val="003D678E"/>
    <w:rsid w:val="00801F66"/>
    <w:rsid w:val="009334BF"/>
    <w:rsid w:val="03A9766D"/>
    <w:rsid w:val="058B71E0"/>
    <w:rsid w:val="0EA325C9"/>
    <w:rsid w:val="107274B2"/>
    <w:rsid w:val="11B1602F"/>
    <w:rsid w:val="13814D2E"/>
    <w:rsid w:val="186418C8"/>
    <w:rsid w:val="1CD746FF"/>
    <w:rsid w:val="1D4E23B1"/>
    <w:rsid w:val="2016733F"/>
    <w:rsid w:val="222D02FB"/>
    <w:rsid w:val="23C46C0E"/>
    <w:rsid w:val="24204675"/>
    <w:rsid w:val="2A2D0100"/>
    <w:rsid w:val="2A755AC0"/>
    <w:rsid w:val="2B1D5344"/>
    <w:rsid w:val="2CF76508"/>
    <w:rsid w:val="2F2D67E6"/>
    <w:rsid w:val="2FB96948"/>
    <w:rsid w:val="32395503"/>
    <w:rsid w:val="3327616A"/>
    <w:rsid w:val="33622C16"/>
    <w:rsid w:val="34C45458"/>
    <w:rsid w:val="35C83C42"/>
    <w:rsid w:val="362604D5"/>
    <w:rsid w:val="374A27FC"/>
    <w:rsid w:val="37CB3D54"/>
    <w:rsid w:val="39B77F04"/>
    <w:rsid w:val="3AFD7826"/>
    <w:rsid w:val="3BD221AC"/>
    <w:rsid w:val="3D7C6BB9"/>
    <w:rsid w:val="3F9D555A"/>
    <w:rsid w:val="43E42CFF"/>
    <w:rsid w:val="45EF2539"/>
    <w:rsid w:val="469B47B8"/>
    <w:rsid w:val="470510EA"/>
    <w:rsid w:val="481344AB"/>
    <w:rsid w:val="486947F5"/>
    <w:rsid w:val="48D22779"/>
    <w:rsid w:val="49AD32B1"/>
    <w:rsid w:val="4B397ABE"/>
    <w:rsid w:val="4CDB1BA8"/>
    <w:rsid w:val="4D681ED9"/>
    <w:rsid w:val="50520689"/>
    <w:rsid w:val="52E04B3F"/>
    <w:rsid w:val="547F7ABD"/>
    <w:rsid w:val="54CB26C6"/>
    <w:rsid w:val="5D0C63C4"/>
    <w:rsid w:val="67BF4C78"/>
    <w:rsid w:val="6813039C"/>
    <w:rsid w:val="69EB6D46"/>
    <w:rsid w:val="6BC265DF"/>
    <w:rsid w:val="6DED4B84"/>
    <w:rsid w:val="6E032C00"/>
    <w:rsid w:val="73D824BD"/>
    <w:rsid w:val="73E935D5"/>
    <w:rsid w:val="748A3766"/>
    <w:rsid w:val="74F3485E"/>
    <w:rsid w:val="75EA7069"/>
    <w:rsid w:val="763A1DFD"/>
    <w:rsid w:val="770C5326"/>
    <w:rsid w:val="797E3254"/>
    <w:rsid w:val="79A41EA5"/>
    <w:rsid w:val="7AD5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2.bmp"/><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20915;&#31639;&#20844;&#24320;\&#35745;&#3163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20915;&#31639;&#20844;&#24320;\&#35745;&#31639;.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20915;&#31639;&#20844;&#24320;\&#35745;&#316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2019-2020年收支总计对比情况（图1）</a:t>
            </a:r>
            <a:endParaRPr>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139166666666667"/>
          <c:y val="0.90162037037037"/>
        </c:manualLayout>
      </c:layout>
      <c:overlay val="0"/>
      <c:spPr>
        <a:noFill/>
        <a:ln>
          <a:noFill/>
        </a:ln>
        <a:effectLst/>
      </c:spPr>
    </c:title>
    <c:autoTitleDeleted val="0"/>
    <c:plotArea>
      <c:layout>
        <c:manualLayout>
          <c:layoutTarget val="inner"/>
          <c:xMode val="edge"/>
          <c:yMode val="edge"/>
          <c:x val="0.104111111111111"/>
          <c:y val="0.0694444444444444"/>
          <c:w val="0.7245"/>
          <c:h val="0.710972222222222"/>
        </c:manualLayout>
      </c:layout>
      <c:barChart>
        <c:barDir val="col"/>
        <c:grouping val="clustered"/>
        <c:varyColors val="0"/>
        <c:ser>
          <c:idx val="0"/>
          <c:order val="0"/>
          <c:tx>
            <c:strRef>
              <c:f>[计算.xlsx]Sheet1!$A$8</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[计算.xlsx]Sheet1!$B$6:$C$7</c:f>
              <c:multiLvlStrCache>
                <c:ptCount val="2"/>
                <c:lvl>
                  <c:pt idx="0">
                    <c:v>2020年</c:v>
                  </c:pt>
                  <c:pt idx="1">
                    <c:v>2019年</c:v>
                  </c:pt>
                </c:lvl>
                <c:lvl/>
              </c:multiLvlStrCache>
            </c:multiLvlStrRef>
          </c:cat>
          <c:val>
            <c:numRef>
              <c:f>[计算.xlsx]Sheet1!$B$8:$C$8</c:f>
              <c:numCache>
                <c:formatCode>General</c:formatCode>
                <c:ptCount val="2"/>
                <c:pt idx="0">
                  <c:v>2880.18</c:v>
                </c:pt>
                <c:pt idx="1">
                  <c:v>2474.88</c:v>
                </c:pt>
              </c:numCache>
            </c:numRef>
          </c:val>
        </c:ser>
        <c:dLbls>
          <c:showLegendKey val="0"/>
          <c:showVal val="1"/>
          <c:showCatName val="0"/>
          <c:showSerName val="0"/>
          <c:showPercent val="0"/>
          <c:showBubbleSize val="0"/>
        </c:dLbls>
        <c:gapWidth val="219"/>
        <c:overlap val="-27"/>
        <c:axId val="646234961"/>
        <c:axId val="345504484"/>
      </c:barChart>
      <c:catAx>
        <c:axId val="6462349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345504484"/>
        <c:crosses val="autoZero"/>
        <c:auto val="1"/>
        <c:lblAlgn val="ctr"/>
        <c:lblOffset val="100"/>
        <c:noMultiLvlLbl val="0"/>
      </c:catAx>
      <c:valAx>
        <c:axId val="345504484"/>
        <c:scaling>
          <c:orientation val="minMax"/>
          <c:min val="0"/>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646234961"/>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40416666666667"/>
          <c:y val="0.3856481481481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t>：支出决算构成情况（按支出性质）</a:t>
            </a:r>
          </a:p>
        </c:rich>
      </c:tx>
      <c:layout>
        <c:manualLayout>
          <c:xMode val="edge"/>
          <c:yMode val="edge"/>
          <c:x val="0.122586470343103"/>
          <c:y val="0.90162037037037"/>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05597999722184"/>
          <c:y val="0.0659722222222222"/>
          <c:w val="0.938880400055563"/>
          <c:h val="0.771990740740741"/>
        </c:manualLayout>
      </c:layout>
      <c:pie3DChart>
        <c:varyColors val="1"/>
        <c:ser>
          <c:idx val="0"/>
          <c:order val="0"/>
          <c:spPr>
            <a:scene3d>
              <a:camera prst="orthographicFront"/>
              <a:lightRig rig="threePt" dir="t"/>
            </a:scene3d>
            <a:sp3d contourW="25400"/>
          </c:spPr>
          <c:explosion val="0"/>
          <c:dPt>
            <c:idx val="0"/>
            <c:bubble3D val="0"/>
            <c:explosion val="1"/>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[计算.xlsx]Sheet3!$B$1:$C$4</c:f>
              <c:multiLvlStrCache>
                <c:ptCount val="2"/>
                <c:lvl/>
                <c:lvl/>
                <c:lvl/>
                <c:lvl>
                  <c:pt idx="0">
                    <c:v>基本支出</c:v>
                  </c:pt>
                  <c:pt idx="1">
                    <c:v>项目支出</c:v>
                  </c:pt>
                </c:lvl>
              </c:multiLvlStrCache>
            </c:multiLvlStrRef>
          </c:cat>
          <c:val>
            <c:numRef>
              <c:f>[计算.xlsx]Sheet3!$B$5:$C$5</c:f>
              <c:numCache>
                <c:formatCode>0.00%</c:formatCode>
                <c:ptCount val="2"/>
                <c:pt idx="0">
                  <c:v>0.607996722427071</c:v>
                </c:pt>
                <c:pt idx="1">
                  <c:v>0.392003277572929</c:v>
                </c:pt>
              </c:numCache>
            </c:numRef>
          </c:val>
        </c:ser>
        <c:dLbls>
          <c:showLegendKey val="0"/>
          <c:showVal val="1"/>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图3：财政拨款支出决算结构（按功能分类）</a:t>
            </a:r>
          </a:p>
        </c:rich>
      </c:tx>
      <c:layout>
        <c:manualLayout>
          <c:xMode val="edge"/>
          <c:yMode val="edge"/>
          <c:x val="0.0954156310411488"/>
          <c:y val="0.903034451289071"/>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57636012151339"/>
          <c:y val="0.0586356376910792"/>
          <c:w val="0.608671637669152"/>
          <c:h val="0.775268081222907"/>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Lbls>
            <c:delete val="1"/>
          </c:dLbls>
          <c:cat>
            <c:strRef>
              <c:f>'[计算.xlsx]财政拨款支出决算结构（按功能分类）'!$A$3:$A$10</c:f>
              <c:strCache>
                <c:ptCount val="8"/>
                <c:pt idx="0">
                  <c:v>一般公共服务支出</c:v>
                </c:pt>
                <c:pt idx="1">
                  <c:v>教育支出</c:v>
                </c:pt>
                <c:pt idx="2">
                  <c:v>文化旅游体育与传媒支出</c:v>
                </c:pt>
                <c:pt idx="3">
                  <c:v>社会保障和就业支出</c:v>
                </c:pt>
                <c:pt idx="4">
                  <c:v>卫生健康支出</c:v>
                </c:pt>
                <c:pt idx="5">
                  <c:v>节能环保支出</c:v>
                </c:pt>
                <c:pt idx="6">
                  <c:v>农林水支出</c:v>
                </c:pt>
                <c:pt idx="7">
                  <c:v>住房保障支出</c:v>
                </c:pt>
              </c:strCache>
            </c:strRef>
          </c:cat>
          <c:val>
            <c:numRef>
              <c:f>'[计算.xlsx]财政拨款支出决算结构（按功能分类）'!$B$3:$B$10</c:f>
              <c:numCache>
                <c:formatCode>0.00%</c:formatCode>
                <c:ptCount val="8"/>
                <c:pt idx="0">
                  <c:v>0.508884861362832</c:v>
                </c:pt>
                <c:pt idx="1">
                  <c:v>0.00688845836024137</c:v>
                </c:pt>
                <c:pt idx="2">
                  <c:v>0.01111042</c:v>
                </c:pt>
                <c:pt idx="3">
                  <c:v>0.0734537424744287</c:v>
                </c:pt>
                <c:pt idx="4">
                  <c:v>0.0258525508822365</c:v>
                </c:pt>
                <c:pt idx="5">
                  <c:v>0.0104160156656876</c:v>
                </c:pt>
                <c:pt idx="6">
                  <c:v>0.336708122409016</c:v>
                </c:pt>
                <c:pt idx="7">
                  <c:v>0.0266858321354915</c:v>
                </c:pt>
              </c:numCache>
            </c:numRef>
          </c:val>
        </c:ser>
        <c:dLbls>
          <c:showLegendKey val="0"/>
          <c:showVal val="0"/>
          <c:showCatName val="0"/>
          <c:showSerName val="0"/>
          <c:showPercent val="0"/>
          <c:showBubbleSize val="0"/>
        </c:dLbls>
      </c:pie3DChart>
      <c:spPr>
        <a:noFill/>
        <a:ln>
          <a:noFill/>
        </a:ln>
        <a:effectLst/>
      </c:spPr>
    </c:plotArea>
    <c:legend>
      <c:legendPos val="r"/>
      <c:layout>
        <c:manualLayout>
          <c:xMode val="edge"/>
          <c:yMode val="edge"/>
          <c:x val="0.673018503175918"/>
          <c:y val="0.10586356376910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11444</Words>
  <Characters>14523</Characters>
  <Lines>82</Lines>
  <Paragraphs>23</Paragraphs>
  <TotalTime>20</TotalTime>
  <ScaleCrop>false</ScaleCrop>
  <LinksUpToDate>false</LinksUpToDate>
  <CharactersWithSpaces>14981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2022-09-15T06:42:06Z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5EE905F04A294C309805C5BA3A66F79F</vt:lpwstr>
  </property>
</Properties>
</file>