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楷体_GB2312" w:eastAsia="楷体_GB2312" w:cs="楷体_GB2312"/>
          <w:color w:val="000000" w:themeColor="text1"/>
          <w:kern w:val="0"/>
          <w:sz w:val="40"/>
          <w:szCs w:val="40"/>
          <w14:textFill>
            <w14:solidFill>
              <w14:schemeClr w14:val="tx1"/>
            </w14:solidFill>
          </w14:textFill>
        </w:rPr>
      </w:pPr>
      <w:r>
        <w:drawing>
          <wp:anchor distT="0" distB="0" distL="114300" distR="114300" simplePos="0" relativeHeight="251659264" behindDoc="1" locked="0" layoutInCell="1" allowOverlap="1">
            <wp:simplePos x="0" y="0"/>
            <wp:positionH relativeFrom="column">
              <wp:posOffset>-978535</wp:posOffset>
            </wp:positionH>
            <wp:positionV relativeFrom="page">
              <wp:posOffset>7620</wp:posOffset>
            </wp:positionV>
            <wp:extent cx="8778240" cy="10689590"/>
            <wp:effectExtent l="0" t="0" r="3810" b="16510"/>
            <wp:wrapNone/>
            <wp:docPr id="5" name="图片 5" descr="C:\Users\Administrator\Desktop\3ac5f7ff3ad56d6c8cac7bf4bc565da.png3ac5f7ff3ad56d6c8cac7bf4bc56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3ac5f7ff3ad56d6c8cac7bf4bc565da.png3ac5f7ff3ad56d6c8cac7bf4bc565da"/>
                    <pic:cNvPicPr>
                      <a:picLocks noChangeAspect="1"/>
                    </pic:cNvPicPr>
                  </pic:nvPicPr>
                  <pic:blipFill>
                    <a:blip r:embed="rId13"/>
                    <a:srcRect/>
                    <a:stretch>
                      <a:fillRect/>
                    </a:stretch>
                  </pic:blipFill>
                  <pic:spPr>
                    <a:xfrm>
                      <a:off x="0" y="0"/>
                      <a:ext cx="8778240" cy="10689590"/>
                    </a:xfrm>
                    <a:prstGeom prst="rect">
                      <a:avLst/>
                    </a:prstGeom>
                  </pic:spPr>
                </pic:pic>
              </a:graphicData>
            </a:graphic>
          </wp:anchor>
        </w:drawing>
      </w:r>
      <w:r>
        <w:br w:type="page"/>
      </w:r>
    </w:p>
    <w:p>
      <w:pPr>
        <w:jc w:val="center"/>
        <w:rPr>
          <w:rFonts w:ascii="黑体" w:hAnsi="黑体" w:eastAsia="黑体" w:cs="黑体"/>
          <w:sz w:val="72"/>
          <w:szCs w:val="96"/>
          <w:highlight w:val="yellow"/>
        </w:rPr>
      </w:pPr>
      <w:r>
        <w:rPr>
          <w:rFonts w:hint="eastAsia" w:ascii="黑体" w:hAnsi="黑体" w:eastAsia="黑体" w:cs="黑体"/>
          <w:sz w:val="72"/>
          <w:szCs w:val="96"/>
        </w:rPr>
        <w:t>中共保定市满城区委老干部局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2" o:spid="_x0000_s1026" o:spt="202" type="#_x0000_t202" style="position:absolute;left:0pt;margin-left:-85.7pt;margin-top:80.7pt;height:263.1pt;width:613.65pt;z-index:251661312;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3mCNwAAAANAQAADwAAAAAAAAABACAAAAAiAAAA&#10;ZHJzL2Rvd25yZXYueG1sUEsBAhQAFAAAAAgAh07iQK8ixtQ8AgAAnAQAAA4AAAAAAAAAAQAgAAAA&#10;KwEAAGRycy9lMm9Eb2MueG1sUEsFBgAAAAAGAAYAWQEAANkFA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根据《中共保定市满城区委老干部局职能配置、内设机构和人员编制方案》规定，中共保定市满城区委老干部局的主要职责是：</w:t>
      </w:r>
      <w:r>
        <w:rPr>
          <w:rFonts w:ascii="仿宋_GB2312" w:hAnsi="Calibri" w:eastAsia="仿宋_GB2312" w:cs="Arial Black"/>
          <w:kern w:val="0"/>
          <w:sz w:val="32"/>
          <w:szCs w:val="32"/>
        </w:rPr>
        <w:t xml:space="preserve"> </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（一）负责贯彻落实中央、省、市、区党委政府关于离退休干部（以下简称：老干部）工作的方针政策；拟定或参与拟定全区老干部工作有关的具体规定和办法。</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（二）指导、督促、检查各乡镇、区直各部门老干部工作；组织和协调有关部门做好老干部工作。</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（三）指导各单位老干部安置工作；负责审批进出区离休干部易地安置手续。</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（四）督促、指导各部门落实老干部的政治、生活待遇，抓好离休干部离休费、医疗费（以下简称：“两费”）的落实；调查研究老干部政治待遇和生活待遇中的问题，协调有关部门提出解决办法。</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（五）协助组织部门抓好老干部党支部建设，加强和改进新形势下老干部的思想政治工作。</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六）指导各乡镇、区直各部门老干部活动中心（室、站）和老干部门诊部的建设和管理；了解反映老干部队医疗保健方面的意见和要求；组织和指导老干部开展健康科学的文化健身、保健讲座、健康疗养、参观学习等活动。</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（七）指导各单位组织老干部继续在政治、经济、文化等领域发挥作用。</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八）教育和引导青少年勤奋学习，树立正确的世界观、人生观、价值观，勤于实践、提高服务社会、报效祖国的本领，使广大青少年茁壮成长，做好关心下一代工作，指导各级各部门关心下一代工作委员会的工作。</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（九）指导全区老年教育工作；督促检查各级老年大学（分校）的建设和管理；负责管理区老干部活动中心、老年大学；做好有关老干部工作的接待工作。</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（十）负责指导逝世离休干部的善后工作，协助承办区委交办的丧葬事宜，会同有关部门制定治丧办法。</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（十一）承担区委老干部工作领导小组办公室的日常工作。</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（十二）承办区委、区政府交办的其他事项。</w:t>
      </w:r>
    </w:p>
    <w:p>
      <w:pPr>
        <w:spacing w:line="560" w:lineRule="exact"/>
        <w:ind w:firstLine="640" w:firstLineChars="200"/>
        <w:jc w:val="left"/>
        <w:outlineLvl w:val="0"/>
        <w:rPr>
          <w:rFonts w:ascii="仿宋_GB2312" w:hAnsi="Calibri" w:eastAsia="仿宋_GB2312" w:cs="Arial Black"/>
          <w:kern w:val="0"/>
          <w:sz w:val="32"/>
          <w:szCs w:val="32"/>
        </w:rPr>
      </w:pPr>
      <w:r>
        <w:rPr>
          <w:rFonts w:hint="eastAsia" w:ascii="仿宋_GB2312" w:hAnsi="Calibri" w:eastAsia="仿宋_GB2312" w:cs="Arial Black"/>
          <w:kern w:val="0"/>
          <w:sz w:val="32"/>
          <w:szCs w:val="32"/>
        </w:rPr>
        <w:t>老干部局由办公室及综合服务科构成，下属涉老组织有关工委、老年协会、老促会、老体协、老年大学、夕阳红艺术团。</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 1 个，具体情况如下：</w:t>
      </w:r>
    </w:p>
    <w:tbl>
      <w:tblPr>
        <w:tblStyle w:val="7"/>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中共保定市满城区委老干部局(本级)</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bl>
    <w:p>
      <w:pPr>
        <w:widowControl/>
        <w:spacing w:after="160" w:line="580" w:lineRule="exact"/>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3"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文本框 15" o:spid="_x0000_s1026" o:spt="202" type="#_x0000_t202" style="position:absolute;left:0pt;margin-left:-80.95pt;margin-top:-207.65pt;height:263.1pt;width:613.65pt;z-index:251663360;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BcO0d0AAAAOAQAADwAAAAAAAAABACAAAAAi&#10;AAAAZHJzL2Rvd25yZXYueG1sUEsBAhQAFAAAAAgAh07iQB8gCyY+AgAAnQQAAA4AAAAAAAAAAQAg&#10;AAAALAEAAGRycy9lMm9Eb2MueG1sUEsFBgAAAAAGAAYAWQEAANwFA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spacing w:line="560" w:lineRule="exact"/>
        <w:ind w:firstLine="640" w:firstLineChars="200"/>
        <w:jc w:val="left"/>
        <w:outlineLvl w:val="0"/>
        <w:rPr>
          <w:rFonts w:ascii="仿宋_GB2312" w:hAnsi="Times New Roman" w:eastAsia="仿宋_GB2312" w:cs="DengXian-Regular"/>
          <w:sz w:val="32"/>
          <w:szCs w:val="32"/>
        </w:rPr>
      </w:pPr>
      <w:r>
        <w:rPr>
          <w:rFonts w:hint="eastAsia" w:ascii="仿宋_GB2312" w:hAnsi="Times New Roman" w:eastAsia="仿宋_GB2312" w:cs="Wingdings"/>
          <w:sz w:val="32"/>
          <w:szCs w:val="32"/>
        </w:rPr>
        <w:t>本部门2020年度收入总计（含结转和结余）908.98万元，支出总计（含结转和结余）908.98万元。与2019年度决算相比，收支分别各减少333.70万元，下降26.85%，主要原因是</w:t>
      </w:r>
      <w:r>
        <w:rPr>
          <w:rFonts w:hint="eastAsia" w:ascii="仿宋_GB2312" w:hAnsi="Times New Roman" w:eastAsia="仿宋_GB2312" w:cs="DengXian-Regular"/>
          <w:sz w:val="32"/>
          <w:szCs w:val="32"/>
        </w:rPr>
        <w:t>离休老干部因去世等原因自然减员减少了工资支出，且单位积极响应厉行节约的号召尽量缩减不必要的经费开支。</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0288" behindDoc="1" locked="0" layoutInCell="1" allowOverlap="1">
            <wp:simplePos x="0" y="0"/>
            <wp:positionH relativeFrom="column">
              <wp:posOffset>599440</wp:posOffset>
            </wp:positionH>
            <wp:positionV relativeFrom="paragraph">
              <wp:posOffset>4445</wp:posOffset>
            </wp:positionV>
            <wp:extent cx="4159885" cy="2273300"/>
            <wp:effectExtent l="0" t="0" r="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本部门2020年度本年收入合计908.98万元，其中：财政拨款收入908.98万元，占总收入100%；事业收入0万元，占0%；经营收入0万元，占0%；其他收入0万元，占0%。</w:t>
      </w:r>
    </w:p>
    <w:p>
      <w:pPr>
        <w:snapToGrid w:val="0"/>
        <w:spacing w:line="600" w:lineRule="exact"/>
        <w:outlineLvl w:val="1"/>
        <w:rPr>
          <w:rFonts w:ascii="黑体" w:hAnsi="Calibri" w:eastAsia="黑体" w:cs="Times New Roman"/>
          <w:sz w:val="32"/>
          <w:szCs w:val="32"/>
        </w:rPr>
      </w:pP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本部门2020年度本年支出合计908.98万元，其中：基本支出577.13万元，占63.49%；项目支出331.85万元，占36.51%；经营支出0万元，占0%。</w:t>
      </w:r>
    </w:p>
    <w:p>
      <w:pPr>
        <w:adjustRightInd w:val="0"/>
        <w:snapToGrid w:val="0"/>
        <w:spacing w:line="600" w:lineRule="exact"/>
        <w:ind w:firstLine="640" w:firstLineChars="200"/>
        <w:rPr>
          <w:rFonts w:ascii="仿宋_GB2312" w:hAnsi="Times New Roman" w:eastAsia="仿宋_GB2312" w:cs="Wingding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spacing w:line="560" w:lineRule="exact"/>
        <w:ind w:firstLine="640" w:firstLineChars="200"/>
        <w:jc w:val="left"/>
        <w:outlineLvl w:val="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本部门2020年度形成的财政拨款收支均为一般公共预算财政拨款，其中本年收入</w:t>
      </w:r>
      <w:r>
        <w:rPr>
          <w:rFonts w:hint="eastAsia" w:ascii="仿宋_GB2312" w:hAnsi="Times New Roman" w:eastAsia="仿宋_GB2312" w:cs="Wingdings"/>
          <w:sz w:val="32"/>
          <w:szCs w:val="32"/>
        </w:rPr>
        <w:t>908.98</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9年度减少了333.70万元，降低36.71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，主要是离休老干部因去世等原因自然减员减少了工资支出，且单位积极响应厉行节约的号召尽量缩减不必要的经费开支；其中本年支出</w:t>
      </w:r>
      <w:r>
        <w:rPr>
          <w:rFonts w:hint="eastAsia" w:ascii="仿宋_GB2312" w:hAnsi="Times New Roman" w:eastAsia="仿宋_GB2312" w:cs="Wingdings"/>
          <w:sz w:val="32"/>
          <w:szCs w:val="32"/>
        </w:rPr>
        <w:t>908.98</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9年度减少了333.70万元，降低36.71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，主要是离休老干部因去世等原因自然减员减少了工资支出，且单位积极响应厉行节约的号召尽量缩减不必要的经费开支。</w:t>
      </w:r>
    </w:p>
    <w:p>
      <w:pPr>
        <w:snapToGrid w:val="0"/>
        <w:spacing w:line="600" w:lineRule="exact"/>
        <w:ind w:firstLine="161" w:firstLineChars="5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本部门2020年度一般公共预算财政拨款收入908.98万元，完成年初预算的86.01%,比年初预算减少147.81万元，决算数小于预算数主要原因是</w:t>
      </w:r>
      <w:r>
        <w:rPr>
          <w:rFonts w:hint="eastAsia" w:ascii="仿宋_GB2312" w:hAnsi="Times New Roman" w:eastAsia="仿宋_GB2312" w:cs="DengXian-Regular"/>
          <w:sz w:val="32"/>
          <w:szCs w:val="32"/>
        </w:rPr>
        <w:t>离休老干部因去世等原因自然减员减少了工资支出以及医药费支出，且单位积极响应厉行节约的号召尽量缩减不必要的经费开支</w:t>
      </w:r>
      <w:r>
        <w:rPr>
          <w:rFonts w:hint="eastAsia" w:ascii="仿宋_GB2312" w:hAnsi="Times New Roman" w:eastAsia="仿宋_GB2312" w:cs="Wingdings"/>
          <w:sz w:val="32"/>
          <w:szCs w:val="32"/>
        </w:rPr>
        <w:t>；本年支出908.98万元，完成年初预算的86.01%,比年初预算减少147.81万元，决算数小于预算数主要原因是主要是</w:t>
      </w:r>
      <w:r>
        <w:rPr>
          <w:rFonts w:hint="eastAsia" w:ascii="仿宋_GB2312" w:hAnsi="Times New Roman" w:eastAsia="仿宋_GB2312" w:cs="DengXian-Regular"/>
          <w:sz w:val="32"/>
          <w:szCs w:val="32"/>
        </w:rPr>
        <w:t>离休老干部因去世等原因自然减员减少了工资支出以及医药费支出，且单位积极响应厉行节约的号召尽量缩减不必要的经费开支</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spacing w:line="560" w:lineRule="exact"/>
        <w:ind w:firstLine="640" w:firstLineChars="200"/>
        <w:jc w:val="left"/>
        <w:outlineLvl w:val="0"/>
        <w:rPr>
          <w:rFonts w:ascii="仿宋_GB2312" w:hAnsi="Times New Roman" w:eastAsia="仿宋_GB2312" w:cs="DengXian-Regular"/>
          <w:sz w:val="32"/>
          <w:szCs w:val="32"/>
        </w:rPr>
      </w:pPr>
      <w:r>
        <w:rPr>
          <w:rFonts w:hint="eastAsia" w:ascii="仿宋_GB2312" w:hAnsi="Times New Roman" w:eastAsia="仿宋_GB2312" w:cs="Wingdings"/>
          <w:sz w:val="32"/>
          <w:szCs w:val="32"/>
        </w:rPr>
        <w:t>2020 年度财政拨款支出908.98万元，主要用于以下方面：一般公共服务支出</w:t>
      </w:r>
      <w:r>
        <w:rPr>
          <w:rFonts w:ascii="仿宋_GB2312" w:hAnsi="Times New Roman" w:eastAsia="仿宋_GB2312" w:cs="Wingdings"/>
          <w:sz w:val="32"/>
          <w:szCs w:val="32"/>
        </w:rPr>
        <w:t>196.66</w:t>
      </w:r>
      <w:r>
        <w:rPr>
          <w:rFonts w:hint="eastAsia" w:ascii="仿宋_GB2312" w:hAnsi="Times New Roman" w:eastAsia="仿宋_GB2312" w:cs="Wingdings"/>
          <w:sz w:val="32"/>
          <w:szCs w:val="32"/>
        </w:rPr>
        <w:t>万元，占21.64%，；</w:t>
      </w:r>
      <w:r>
        <w:rPr>
          <w:rFonts w:hint="eastAsia" w:ascii="仿宋_GB2312" w:hAnsi="Times New Roman" w:eastAsia="仿宋_GB2312" w:cs="DengXian-Regular"/>
          <w:sz w:val="32"/>
          <w:szCs w:val="32"/>
        </w:rPr>
        <w:t>社会保障和就业支出</w:t>
      </w:r>
      <w:r>
        <w:rPr>
          <w:rFonts w:ascii="仿宋_GB2312" w:hAnsi="Times New Roman" w:eastAsia="仿宋_GB2312" w:cs="DengXian-Regular"/>
          <w:sz w:val="32"/>
          <w:szCs w:val="32"/>
        </w:rPr>
        <w:t>703.58</w:t>
      </w:r>
      <w:r>
        <w:rPr>
          <w:rFonts w:hint="eastAsia" w:ascii="仿宋_GB2312" w:hAnsi="Times New Roman" w:eastAsia="仿宋_GB2312" w:cs="DengXian-Regular"/>
          <w:sz w:val="32"/>
          <w:szCs w:val="32"/>
        </w:rPr>
        <w:t>万元，占77.40%；卫生健康支出</w:t>
      </w:r>
      <w:r>
        <w:rPr>
          <w:rFonts w:ascii="仿宋_GB2312" w:hAnsi="Times New Roman" w:eastAsia="仿宋_GB2312" w:cs="DengXian-Regular"/>
          <w:sz w:val="32"/>
          <w:szCs w:val="32"/>
        </w:rPr>
        <w:t>3.79</w:t>
      </w:r>
      <w:r>
        <w:rPr>
          <w:rFonts w:hint="eastAsia" w:ascii="仿宋_GB2312" w:hAnsi="Times New Roman" w:eastAsia="仿宋_GB2312" w:cs="DengXian-Regular"/>
          <w:sz w:val="32"/>
          <w:szCs w:val="32"/>
        </w:rPr>
        <w:t>万元，占0.42%，住房和保障支出</w:t>
      </w:r>
      <w:r>
        <w:rPr>
          <w:rFonts w:ascii="仿宋_GB2312" w:hAnsi="Times New Roman" w:eastAsia="仿宋_GB2312" w:cs="DengXian-Regular"/>
          <w:sz w:val="32"/>
          <w:szCs w:val="32"/>
        </w:rPr>
        <w:t>4.96</w:t>
      </w:r>
      <w:r>
        <w:rPr>
          <w:rFonts w:hint="eastAsia" w:ascii="仿宋_GB2312" w:hAnsi="Times New Roman" w:eastAsia="仿宋_GB2312" w:cs="DengXian-Regular"/>
          <w:sz w:val="32"/>
          <w:szCs w:val="32"/>
        </w:rPr>
        <w:t>万元，占0.55%。</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年度财政拨款基本支出577.14万元，其中：人员经费</w:t>
      </w:r>
      <w:r>
        <w:rPr>
          <w:rFonts w:ascii="仿宋_GB2312" w:hAnsi="Times New Roman" w:eastAsia="仿宋_GB2312" w:cs="Wingdings"/>
          <w:sz w:val="32"/>
          <w:szCs w:val="32"/>
        </w:rPr>
        <w:t>568.19</w:t>
      </w:r>
      <w:r>
        <w:rPr>
          <w:rFonts w:hint="eastAsia" w:ascii="仿宋_GB2312" w:hAnsi="Times New Roman" w:eastAsia="仿宋_GB2312" w:cs="Wingdings"/>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8.95万元，主要包括办公费、印刷费、咨询费、手续费、水费、电费、邮电费、取暖费、租赁费、会议费、培训费、公务接待费、专用材料费、劳务费、委托业务费、工会经费、福利费、公务用车运行维护费、其他交通费用、其他商品和服务支出、办公设备购置。</w:t>
      </w: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本部门2020年度“三公”经费财政拨款支出预算为5.40万元，支出决算为2.01</w:t>
      </w:r>
      <w:r>
        <w:rPr>
          <w:rFonts w:hint="eastAsia" w:ascii="仿宋_GB2312" w:hAnsi="Times New Roman" w:eastAsia="仿宋_GB2312" w:cs="Wingdings"/>
          <w:sz w:val="32"/>
          <w:szCs w:val="32"/>
          <w:lang w:eastAsia="zh-CN"/>
        </w:rPr>
        <w:t>万</w:t>
      </w:r>
      <w:r>
        <w:rPr>
          <w:rFonts w:hint="eastAsia" w:ascii="仿宋_GB2312" w:hAnsi="Times New Roman" w:eastAsia="仿宋_GB2312" w:cs="Wingdings"/>
          <w:sz w:val="32"/>
          <w:szCs w:val="32"/>
        </w:rPr>
        <w:t>元，完成预算的37.22%,较预算减少3.39万元，降低62.78%，主要是</w:t>
      </w:r>
      <w:r>
        <w:rPr>
          <w:rFonts w:hint="eastAsia" w:ascii="仿宋_GB2312" w:hAnsi="Times New Roman" w:eastAsia="仿宋_GB2312" w:cs="DengXian-Regular"/>
          <w:sz w:val="32"/>
          <w:szCs w:val="32"/>
        </w:rPr>
        <w:t>厉行节约，压缩三公经费支出</w:t>
      </w:r>
      <w:r>
        <w:rPr>
          <w:rFonts w:hint="eastAsia" w:ascii="仿宋_GB2312" w:hAnsi="Times New Roman" w:eastAsia="仿宋_GB2312" w:cs="Wingdings"/>
          <w:sz w:val="32"/>
          <w:szCs w:val="32"/>
        </w:rPr>
        <w:t>；与2019年度持平，主要是</w:t>
      </w:r>
      <w:r>
        <w:rPr>
          <w:rFonts w:hint="eastAsia" w:ascii="仿宋_GB2312" w:hAnsi="Times New Roman" w:eastAsia="仿宋_GB2312" w:cs="DengXian-Regular"/>
          <w:sz w:val="32"/>
          <w:szCs w:val="32"/>
        </w:rPr>
        <w:t>厉行节约，压缩三公经费支出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因公出国（境）团组0个、共0人、参加其他单位组织的因公出国（境）团组0个、共0人/无本单位组织的出国（境）团组。因公出国（境）费支出较预算增加0万元，增长0%,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主要是厉行节约，压缩三公经费支出，减少不必要开支</w:t>
      </w:r>
      <w:r>
        <w:rPr>
          <w:rFonts w:hint="eastAsia" w:ascii="仿宋_GB2312" w:hAnsi="Times New Roman" w:eastAsia="仿宋_GB2312" w:cs="Wingdings"/>
          <w:sz w:val="32"/>
          <w:szCs w:val="32"/>
        </w:rPr>
        <w:t>；较上年增加0万元，增长0%,</w:t>
      </w:r>
      <w:r>
        <w:rPr>
          <w:rFonts w:ascii="仿宋_GB2312" w:hAnsi="Times New Roman" w:eastAsia="仿宋_GB2312" w:cs="DengXian-Regular"/>
          <w:color w:val="000000"/>
          <w:sz w:val="32"/>
          <w:szCs w:val="32"/>
        </w:rPr>
        <w:t>201</w:t>
      </w:r>
      <w:r>
        <w:rPr>
          <w:rFonts w:hint="eastAsia" w:ascii="仿宋_GB2312" w:hAnsi="Times New Roman" w:eastAsia="仿宋_GB2312" w:cs="DengXian-Regular"/>
          <w:color w:val="000000"/>
          <w:sz w:val="32"/>
          <w:szCs w:val="32"/>
        </w:rPr>
        <w:t>9年度决算支出持平，</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rPr>
        <w:t>厉行节约，压缩三公经费支出，减少不必要开支</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本部门2020年公务用车购置及运行维护费支出2.01万元，完成预算的40.20%，</w:t>
      </w:r>
      <w:r>
        <w:rPr>
          <w:rFonts w:hint="eastAsia" w:ascii="仿宋_GB2312" w:hAnsi="Times New Roman" w:eastAsia="仿宋_GB2312" w:cs="Wingdings"/>
          <w:sz w:val="32"/>
          <w:szCs w:val="32"/>
        </w:rPr>
        <w:t>较预算减少2.99万元，降低59.80%,主要是</w:t>
      </w:r>
      <w:r>
        <w:rPr>
          <w:rFonts w:hint="eastAsia" w:ascii="仿宋_GB2312" w:hAnsi="Times New Roman" w:eastAsia="仿宋_GB2312" w:cs="DengXian-Regular"/>
          <w:sz w:val="32"/>
          <w:szCs w:val="32"/>
        </w:rPr>
        <w:t>厉行节约，压缩三公经费支出，减少不必要开支，数据</w:t>
      </w:r>
      <w:r>
        <w:rPr>
          <w:rFonts w:hint="eastAsia" w:ascii="仿宋_GB2312" w:hAnsi="Times New Roman" w:eastAsia="仿宋_GB2312" w:cs="Wingdings"/>
          <w:sz w:val="32"/>
          <w:szCs w:val="32"/>
        </w:rPr>
        <w:t>与上年持平，主要是无特殊增加费用。</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20年度公务用车购置量0辆，</w:t>
      </w:r>
      <w:r>
        <w:rPr>
          <w:rFonts w:hint="eastAsia" w:ascii="仿宋_GB2312" w:hAnsi="Times New Roman" w:eastAsia="仿宋_GB2312" w:cs="DengXian-Regular"/>
          <w:color w:val="000000"/>
          <w:sz w:val="32"/>
          <w:szCs w:val="32"/>
        </w:rPr>
        <w:t>未发生“公务用车购置”经费支出，与年初预算持平，与</w:t>
      </w:r>
      <w:r>
        <w:rPr>
          <w:rFonts w:ascii="仿宋_GB2312" w:hAnsi="Times New Roman" w:eastAsia="仿宋_GB2312" w:cs="DengXian-Regular"/>
          <w:color w:val="000000"/>
          <w:sz w:val="32"/>
          <w:szCs w:val="32"/>
        </w:rPr>
        <w:t>201</w:t>
      </w:r>
      <w:r>
        <w:rPr>
          <w:rFonts w:hint="eastAsia" w:ascii="仿宋_GB2312" w:hAnsi="Times New Roman" w:eastAsia="仿宋_GB2312" w:cs="DengXian-Regular"/>
          <w:color w:val="000000"/>
          <w:sz w:val="32"/>
          <w:szCs w:val="32"/>
        </w:rPr>
        <w:t>9年度决算支出持平</w:t>
      </w:r>
      <w:r>
        <w:rPr>
          <w:rFonts w:hint="eastAsia" w:ascii="仿宋_GB2312" w:hAnsi="Times New Roman" w:eastAsia="仿宋_GB2312" w:cs="DengXian-Regular"/>
          <w:sz w:val="32"/>
          <w:szCs w:val="32"/>
        </w:rPr>
        <w:t>，主要是无购车需求。</w:t>
      </w:r>
    </w:p>
    <w:p>
      <w:pPr>
        <w:adjustRightInd w:val="0"/>
        <w:snapToGrid w:val="0"/>
        <w:spacing w:line="600" w:lineRule="exact"/>
        <w:ind w:firstLine="643" w:firstLineChars="200"/>
        <w:rPr>
          <w:rFonts w:hint="default" w:ascii="仿宋_GB2312" w:hAnsi="Times New Roman" w:eastAsia="仿宋_GB2312" w:cs="Wingdings"/>
          <w:sz w:val="32"/>
          <w:szCs w:val="32"/>
          <w:lang w:val="en-US" w:eastAsia="zh-CN"/>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本部门2020年度单位公务用车保有量2辆,发生运行维护费支出2.01万元。公车运行维护费支出较预算减少2.99万元，降低59.80%,主要是</w:t>
      </w:r>
      <w:r>
        <w:rPr>
          <w:rFonts w:hint="eastAsia" w:ascii="仿宋_GB2312" w:hAnsi="Times New Roman" w:eastAsia="仿宋_GB2312" w:cs="DengXian-Regular"/>
          <w:sz w:val="32"/>
          <w:szCs w:val="32"/>
        </w:rPr>
        <w:t>厉行节约，压缩三公经费支出，减少不必要开支</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与上年决算相比增加0.15万元，增长30.12%，主要原因是车辆老化维修费用有所增加。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Mongolian Baiti"/>
          <w:b/>
          <w:bCs/>
          <w:sz w:val="32"/>
          <w:szCs w:val="32"/>
        </w:rPr>
        <w:t xml:space="preserve"> 3.公务接待费。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w:t>
      </w:r>
      <w:r>
        <w:rPr>
          <w:rFonts w:hint="eastAsia" w:ascii="仿宋_GB2312" w:hAnsi="Times New Roman" w:eastAsia="仿宋_GB2312" w:cs="DengXian-Regular"/>
          <w:color w:val="000000"/>
          <w:sz w:val="32"/>
          <w:szCs w:val="32"/>
        </w:rPr>
        <w:t>发生“</w:t>
      </w:r>
      <w:r>
        <w:rPr>
          <w:rFonts w:hint="eastAsia" w:ascii="仿宋_GB2312" w:hAnsi="Times New Roman" w:eastAsia="仿宋_GB2312" w:cs="DengXian-Regular"/>
          <w:sz w:val="32"/>
          <w:szCs w:val="32"/>
        </w:rPr>
        <w:t>公务接待</w:t>
      </w:r>
      <w:r>
        <w:rPr>
          <w:rFonts w:hint="eastAsia" w:ascii="仿宋_GB2312" w:hAnsi="Times New Roman" w:eastAsia="仿宋_GB2312" w:cs="DengXian-Regular"/>
          <w:color w:val="000000"/>
          <w:sz w:val="32"/>
          <w:szCs w:val="32"/>
        </w:rPr>
        <w:t>”经费支出</w:t>
      </w:r>
      <w:r>
        <w:rPr>
          <w:rFonts w:hint="eastAsia" w:ascii="仿宋_GB2312" w:hAnsi="Times New Roman" w:eastAsia="仿宋_GB2312" w:cs="DengXian-Regular"/>
          <w:sz w:val="32"/>
          <w:szCs w:val="32"/>
        </w:rPr>
        <w:t>0万元，</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w:t>
      </w:r>
      <w:r>
        <w:rPr>
          <w:rFonts w:hint="eastAsia" w:ascii="仿宋_GB2312" w:hAnsi="Times New Roman" w:eastAsia="仿宋_GB2312" w:cs="DengXian-Regular"/>
          <w:color w:val="000000"/>
          <w:sz w:val="32"/>
          <w:szCs w:val="32"/>
        </w:rPr>
        <w:t>与年初预算持平，与</w:t>
      </w:r>
      <w:r>
        <w:rPr>
          <w:rFonts w:ascii="仿宋_GB2312" w:hAnsi="Times New Roman" w:eastAsia="仿宋_GB2312" w:cs="DengXian-Regular"/>
          <w:color w:val="000000"/>
          <w:sz w:val="32"/>
          <w:szCs w:val="32"/>
        </w:rPr>
        <w:t>20</w:t>
      </w:r>
      <w:r>
        <w:rPr>
          <w:rFonts w:hint="eastAsia" w:ascii="仿宋_GB2312" w:hAnsi="Times New Roman" w:eastAsia="仿宋_GB2312" w:cs="DengXian-Regular"/>
          <w:color w:val="000000"/>
          <w:sz w:val="32"/>
          <w:szCs w:val="32"/>
        </w:rPr>
        <w:t>19年度决算支出相持平</w:t>
      </w:r>
      <w:r>
        <w:rPr>
          <w:rFonts w:hint="eastAsia" w:ascii="仿宋_GB2312" w:hAnsi="Times New Roman" w:eastAsia="仿宋_GB2312" w:cs="DengXian-Regular"/>
          <w:sz w:val="32"/>
          <w:szCs w:val="32"/>
        </w:rPr>
        <w:t>，主要是厉行节约，压缩三公经费支出，减少不必要开支。</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度一般公共预算项目支出全面开展绩效自评，其中，一级项目2个，共涉及资金331.85万元，占一般公共预算项目支出总额的100%。我区根据预算部门和预算单位的实际情况和工作需要，确定各部门预算项目和预算额度，清晰描述预算项目开展服务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年离休老干部医药费</w:t>
      </w:r>
      <w:r>
        <w:rPr>
          <w:rFonts w:hint="eastAsia" w:ascii="仿宋_GB2312" w:hAnsi="仿宋_GB2312" w:eastAsia="仿宋_GB2312" w:cs="仿宋_GB2312"/>
          <w:sz w:val="32"/>
          <w:szCs w:val="32"/>
        </w:rPr>
        <w:t>项目及离退休人员管理机构项目等2个项目绩效自评结果。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年离休老干部医药费</w:t>
      </w:r>
      <w:r>
        <w:rPr>
          <w:rFonts w:hint="eastAsia" w:ascii="仿宋_GB2312" w:hAnsi="仿宋_GB2312" w:eastAsia="仿宋_GB2312" w:cs="仿宋_GB2312"/>
          <w:sz w:val="32"/>
          <w:szCs w:val="32"/>
        </w:rPr>
        <w:t>项目项目自评综述：根据年初设定的绩效目标，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年离休老干部医药费</w:t>
      </w:r>
      <w:r>
        <w:rPr>
          <w:rFonts w:hint="eastAsia" w:ascii="仿宋_GB2312" w:hAnsi="仿宋_GB2312" w:eastAsia="仿宋_GB2312" w:cs="仿宋_GB2312"/>
          <w:sz w:val="32"/>
          <w:szCs w:val="32"/>
        </w:rPr>
        <w:t>项目绩效自评得分为100分。全年预算数为500万元，执行数为313.95万元，完成预算的62.79%。离休干部药费报销工作根据离休干部住院、用药实际情况报销，实际发生比预算发生额度要少。项目绩效目标完成情况：一是及时足额发放离休干部药费；二是离休干部及家属满意。暂未发现明显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离退休人员管理机构项目绩效自评综述：离退休人员管理机构项目自评综述：根据年初设定的绩效目标，离退休人员管理机构项目绩效自评得分为98分。全年预算数为10万元，执行数为8.94万元，完成预算的89.40%。项目绩效目标完成情况：一是建设、管理、使用好老年活动阵地，完善、更新老年教育设施，并指导全区阵地建设；二是离休干部及家属满意。资金未完全利用，其他无明显问题。改进：做好计划，尽量将资金全额高效运用。</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（三）财政评价项目绩效评价结果</w:t>
      </w:r>
    </w:p>
    <w:p>
      <w:pPr>
        <w:keepNext/>
        <w:keepLines/>
        <w:snapToGrid w:val="0"/>
        <w:spacing w:line="580" w:lineRule="exact"/>
        <w:ind w:firstLine="640" w:firstLineChars="200"/>
        <w:jc w:val="left"/>
        <w:outlineLvl w:val="1"/>
        <w:rPr>
          <w:rFonts w:ascii="仿宋_GB2312" w:hAnsi="仿宋_GB2312" w:eastAsia="仿宋_GB2312" w:cs="仿宋_GB2312"/>
          <w:b/>
          <w:bCs/>
          <w:sz w:val="32"/>
          <w:szCs w:val="32"/>
        </w:rPr>
      </w:pPr>
      <w:r>
        <w:rPr>
          <w:rFonts w:hint="eastAsia" w:ascii="仿宋_GB2312" w:hAnsi="仿宋_GB2312" w:eastAsia="仿宋_GB2312" w:cs="仿宋_GB2312"/>
          <w:sz w:val="32"/>
          <w:szCs w:val="32"/>
        </w:rPr>
        <w:t>暂无财政评价项目绩效报告，无项目绩效评价结果与绩效评价表</w:t>
      </w:r>
      <w:r>
        <w:rPr>
          <w:rFonts w:hint="eastAsia" w:ascii="仿宋_GB2312" w:hAnsi="仿宋_GB2312" w:eastAsia="仿宋_GB2312" w:cs="仿宋_GB2312"/>
          <w:b/>
          <w:bCs/>
          <w:sz w:val="32"/>
          <w:szCs w:val="32"/>
        </w:rPr>
        <w:t>。</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本部门2020年度机关运行经费支出8.95万元，比2019年度增加2.56万元，增长28.60%。主要原因是老干部门诊人员部分经费由原来项目转入本机关运行经费导致费用增加。</w:t>
      </w:r>
    </w:p>
    <w:p>
      <w:pPr>
        <w:keepNext/>
        <w:keepLines/>
        <w:snapToGrid w:val="0"/>
        <w:spacing w:line="60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 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截至2020年12月31日，本部门共有车辆2辆，</w:t>
      </w:r>
      <w:r>
        <w:rPr>
          <w:rFonts w:hint="eastAsia" w:ascii="仿宋_GB2312" w:hAnsi="Times New Roman" w:eastAsia="仿宋_GB2312" w:cs="DengXian-Regular"/>
          <w:sz w:val="32"/>
          <w:szCs w:val="32"/>
        </w:rPr>
        <w:t>较去年无变化</w:t>
      </w:r>
      <w:r>
        <w:rPr>
          <w:rFonts w:hint="eastAsia" w:ascii="仿宋_GB2312" w:hAnsi="仿宋_GB2312" w:eastAsia="仿宋_GB2312" w:cs="仿宋_GB2312"/>
          <w:sz w:val="32"/>
          <w:szCs w:val="32"/>
        </w:rPr>
        <w:t>。其中，离退休干部用车1辆，其他用车1辆，其他用车主要是下乡慰问及办公外出用车。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单位价值50万元以上通用设备0套，比上年增加0套，单位价值100万元以上专用设备0套，比上年增加0套。</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仿宋_GB2312" w:eastAsia="仿宋_GB2312" w:cs="仿宋_GB2312"/>
          <w:sz w:val="32"/>
          <w:szCs w:val="32"/>
        </w:rPr>
        <w:t>1. 本部门2020年度</w:t>
      </w:r>
      <w:r>
        <w:rPr>
          <w:rFonts w:hint="eastAsia" w:ascii="仿宋_GB2312" w:eastAsia="仿宋_GB2312" w:cs="DengXian-Regular"/>
          <w:sz w:val="32"/>
          <w:szCs w:val="32"/>
        </w:rPr>
        <w:t>无收支及结转结余情况、无政府性基金预算财政拨款收支、无国有资本经营预算财政拨款支出，故政府性基金预算财政拨款收入支出决算表、国有资本经营预算财政拨款支出决算表以空表列示。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287655</wp:posOffset>
                </wp:positionV>
                <wp:extent cx="7793355" cy="3341370"/>
                <wp:effectExtent l="4445" t="4445" r="5080" b="6985"/>
                <wp:wrapNone/>
                <wp:docPr id="2"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1.4pt;margin-top:22.65pt;height:263.1pt;width:613.65pt;z-index:251661312;v-text-anchor:middle;mso-width-relative:page;mso-height-relative:page;" fillcolor="#7F7F7F" filled="t" stroked="t" coordsize="21600,21600" o:gfxdata="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MUIzdoAAAAMAQAADwAAAAAAAAABACAAAAAiAAAAZHJzL2Rv&#10;d25yZXYueG1sUEsBAhQAFAAAAAgAh07iQINGMGU4AgAAmwQAAA4AAAAAAAAAAQAgAAAAKQEAAGRy&#10;cy9lMm9Eb2MueG1sUEsFBgAAAAAGAAYAWQEAANMFAAAAAA==&#10;">
                <v:fill type="pattern" on="t" color2="#FFFFFF" o:title="5%" focussize="0,0" r:id="rId14"/>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p>
    <w:p>
      <w:pPr>
        <w:widowControl/>
        <w:spacing w:line="600" w:lineRule="exact"/>
        <w:ind w:firstLine="643" w:firstLineChars="200"/>
        <w:rPr>
          <w:rFonts w:hint="eastAsia" w:ascii="仿宋_GB2312" w:hAnsi="宋体" w:eastAsia="仿宋_GB2312" w:cs="Times New Roman"/>
          <w:b/>
          <w:bCs/>
          <w:color w:val="000000"/>
          <w:kern w:val="0"/>
          <w:sz w:val="32"/>
          <w:szCs w:val="32"/>
        </w:rPr>
      </w:pPr>
    </w:p>
    <w:p>
      <w:pPr>
        <w:widowControl/>
        <w:spacing w:line="600" w:lineRule="exact"/>
        <w:ind w:firstLine="643" w:firstLineChars="200"/>
        <w:rPr>
          <w:rFonts w:hint="eastAsia" w:ascii="仿宋_GB2312" w:hAnsi="宋体" w:eastAsia="仿宋_GB2312" w:cs="Times New Roman"/>
          <w:b/>
          <w:bCs/>
          <w:color w:val="000000"/>
          <w:kern w:val="0"/>
          <w:sz w:val="32"/>
          <w:szCs w:val="32"/>
        </w:rPr>
      </w:pP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6"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文本框 4"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DYQbj3AAAAA0BAAAPAAAAAAAAAAEAIAAAACIA&#10;AABkcnMvZG93bnJldi54bWxQSwECFAAUAAAACACHTuJAU4cijz4CAACcBAAADgAAAAAAAAABACAA&#10;AAArAQAAZHJzL2Uyb0RvYy54bWxQSwUGAAAAAAYABgBZAQAA2wU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6"/>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ascii="宋体" w:hAnsi="宋体" w:eastAsia="宋体" w:cs="宋体"/>
                <w:color w:val="000000"/>
                <w:kern w:val="0"/>
                <w:sz w:val="18"/>
                <w:szCs w:val="18"/>
              </w:rPr>
              <w:t>908.98</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196.66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703.58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ascii="宋体" w:hAnsi="宋体" w:eastAsia="宋体" w:cs="宋体"/>
                <w:color w:val="000000"/>
                <w:kern w:val="0"/>
                <w:sz w:val="18"/>
                <w:szCs w:val="18"/>
              </w:rPr>
              <w:t>3.79</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ascii="宋体" w:hAnsi="宋体" w:eastAsia="宋体" w:cs="宋体"/>
                <w:color w:val="000000"/>
                <w:kern w:val="0"/>
                <w:sz w:val="18"/>
                <w:szCs w:val="18"/>
              </w:rPr>
              <w:t>4.96</w:t>
            </w: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highlight w:val="none"/>
              </w:rPr>
            </w:pPr>
            <w:r>
              <w:rPr>
                <w:rFonts w:hint="eastAsia" w:ascii="宋体" w:hAnsi="宋体" w:eastAsia="宋体" w:cs="宋体"/>
                <w:b/>
                <w:color w:val="000000"/>
                <w:kern w:val="0"/>
                <w:sz w:val="15"/>
                <w:szCs w:val="16"/>
                <w:highlight w:val="none"/>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r>
              <w:rPr>
                <w:rFonts w:ascii="宋体" w:hAnsi="宋体" w:eastAsia="宋体" w:cs="宋体"/>
                <w:color w:val="000000"/>
                <w:kern w:val="0"/>
                <w:sz w:val="18"/>
                <w:szCs w:val="18"/>
                <w:highlight w:val="none"/>
              </w:rPr>
              <w:t>908.98</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highlight w:val="none"/>
              </w:rPr>
            </w:pPr>
            <w:r>
              <w:rPr>
                <w:rFonts w:hint="eastAsia" w:ascii="宋体" w:hAnsi="宋体" w:eastAsia="宋体" w:cs="宋体"/>
                <w:b/>
                <w:color w:val="000000"/>
                <w:kern w:val="0"/>
                <w:sz w:val="15"/>
                <w:szCs w:val="16"/>
                <w:highlight w:val="none"/>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58</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r>
              <w:rPr>
                <w:rFonts w:ascii="宋体" w:hAnsi="宋体" w:eastAsia="宋体" w:cs="宋体"/>
                <w:color w:val="000000"/>
                <w:kern w:val="0"/>
                <w:sz w:val="18"/>
                <w:szCs w:val="18"/>
                <w:highlight w:val="none"/>
              </w:rPr>
              <w:t>908.98</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60</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30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61</w:t>
            </w:r>
          </w:p>
        </w:tc>
        <w:tc>
          <w:tcPr>
            <w:tcW w:w="1604"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highlight w:val="none"/>
              </w:rPr>
            </w:pPr>
            <w:r>
              <w:rPr>
                <w:rFonts w:hint="eastAsia" w:ascii="宋体" w:hAnsi="宋体" w:eastAsia="宋体" w:cs="宋体"/>
                <w:b/>
                <w:color w:val="000000"/>
                <w:kern w:val="0"/>
                <w:sz w:val="15"/>
                <w:szCs w:val="16"/>
                <w:highlight w:val="none"/>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31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r>
              <w:rPr>
                <w:rFonts w:ascii="宋体" w:hAnsi="宋体" w:eastAsia="宋体" w:cs="宋体"/>
                <w:color w:val="000000"/>
                <w:kern w:val="0"/>
                <w:sz w:val="18"/>
                <w:szCs w:val="18"/>
                <w:highlight w:val="none"/>
              </w:rPr>
              <w:t>908.98</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highlight w:val="none"/>
              </w:rPr>
            </w:pPr>
            <w:r>
              <w:rPr>
                <w:rFonts w:hint="eastAsia" w:ascii="宋体" w:hAnsi="宋体" w:eastAsia="宋体" w:cs="宋体"/>
                <w:b/>
                <w:color w:val="000000"/>
                <w:kern w:val="0"/>
                <w:sz w:val="15"/>
                <w:szCs w:val="16"/>
                <w:highlight w:val="none"/>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62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r>
              <w:rPr>
                <w:rFonts w:ascii="宋体" w:hAnsi="宋体" w:eastAsia="宋体" w:cs="宋体"/>
                <w:color w:val="000000"/>
                <w:kern w:val="0"/>
                <w:sz w:val="18"/>
                <w:szCs w:val="18"/>
                <w:highlight w:val="none"/>
              </w:rPr>
              <w:t>908.98</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highlight w:val="none"/>
        </w:rPr>
        <w:sectPr>
          <w:pgSz w:w="11906" w:h="16838"/>
          <w:pgMar w:top="2098" w:right="1531" w:bottom="1984" w:left="1531" w:header="851" w:footer="992" w:gutter="0"/>
          <w:cols w:space="425" w:num="1"/>
          <w:docGrid w:type="lines" w:linePitch="312" w:charSpace="0"/>
        </w:sectPr>
      </w:pPr>
    </w:p>
    <w:tbl>
      <w:tblPr>
        <w:tblStyle w:val="6"/>
        <w:tblW w:w="9680" w:type="dxa"/>
        <w:jc w:val="center"/>
        <w:tblLayout w:type="autofit"/>
        <w:tblCellMar>
          <w:top w:w="0" w:type="dxa"/>
          <w:left w:w="0" w:type="dxa"/>
          <w:bottom w:w="0" w:type="dxa"/>
          <w:right w:w="0" w:type="dxa"/>
        </w:tblCellMar>
      </w:tblPr>
      <w:tblGrid>
        <w:gridCol w:w="760"/>
        <w:gridCol w:w="43"/>
        <w:gridCol w:w="43"/>
        <w:gridCol w:w="3894"/>
        <w:gridCol w:w="1022"/>
        <w:gridCol w:w="975"/>
        <w:gridCol w:w="651"/>
        <w:gridCol w:w="615"/>
        <w:gridCol w:w="584"/>
        <w:gridCol w:w="557"/>
        <w:gridCol w:w="536"/>
      </w:tblGrid>
      <w:tr>
        <w:tblPrEx>
          <w:tblCellMar>
            <w:top w:w="0" w:type="dxa"/>
            <w:left w:w="0" w:type="dxa"/>
            <w:bottom w:w="0" w:type="dxa"/>
            <w:right w:w="0" w:type="dxa"/>
          </w:tblCellMar>
        </w:tblPrEx>
        <w:trPr>
          <w:trHeight w:val="670" w:hRule="atLeast"/>
          <w:jc w:val="center"/>
        </w:trPr>
        <w:tc>
          <w:tcPr>
            <w:tcW w:w="96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bookmarkStart w:id="0" w:name="_GoBack"/>
            <w:bookmarkEnd w:id="0"/>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92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7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7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69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65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80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0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7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908.98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908.98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归口管理的行政单位离退休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离退休人员管理机构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865"/>
        <w:gridCol w:w="655"/>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297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86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6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6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6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6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6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9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29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908.98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577.13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331.85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一般公共服务支出</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党委办公厅（室）及相关机构事务</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2013101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行政运行</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社会保障和就业支出</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703.58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371.73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331.85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行政事业单位离退休</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703.58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371.73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331.85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归口管理的行政单位离退休</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678.55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355.65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322.91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2080503</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离退休人员管理机构</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机关事业单位基本养老保险缴费支出</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9.69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9.69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机关事业单位职业年金缴费支出</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6.39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6.39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210</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卫生健康支出</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行政事业单位医疗</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行政单位医疗</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住房保障支出</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住房改革支出</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住房公积金</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6"/>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6"/>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291"/>
              <w:gridCol w:w="560"/>
              <w:gridCol w:w="148"/>
              <w:gridCol w:w="702"/>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46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89"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0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02"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89"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2"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908.98</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196.66</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196.66</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703.58</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703.58</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3.79</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3.79</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4.96</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4.96</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908.98</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908.98</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908.98</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908.98</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8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908.98</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908.98</w:t>
                  </w:r>
                </w:p>
              </w:tc>
              <w:tc>
                <w:tcPr>
                  <w:tcW w:w="702"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908.98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577.13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331.85</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党委办公厅（室）及相关机构事务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196.66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703.58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371.73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331.85</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行政事业单位离退休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703.58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371.73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331.85</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归口管理的行政单位离退休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678.55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355.65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322.91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离退休人员管理机构</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8.94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8.94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9.69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9.69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6.39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6.39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asciiTheme="majorEastAsia" w:hAnsiTheme="majorEastAsia" w:eastAsiaTheme="majorEastAsia"/>
                <w:color w:val="000000"/>
                <w:sz w:val="20"/>
                <w:szCs w:val="20"/>
              </w:rPr>
              <w:t>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4.96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6"/>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179.90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8.95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128.70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12.54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13.83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9.69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6.39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3.79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4.96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388.29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244.90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120.46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22.85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0.07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3.29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2.01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2.93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568.19</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8.95</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5.40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5.00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5.00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0.40</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2.01</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2.01</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2.01</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tabs>
          <w:tab w:val="left" w:pos="1329"/>
        </w:tabs>
        <w:rPr>
          <w:rFonts w:ascii="宋体" w:hAnsi="宋体" w:eastAsia="宋体" w:cs="宋体"/>
        </w:rPr>
      </w:pPr>
      <w:r>
        <w:rPr>
          <w:rFonts w:hint="eastAsia" w:ascii="宋体" w:hAnsi="宋体" w:eastAsia="宋体" w:cs="宋体"/>
          <w:sz w:val="20"/>
          <w:szCs w:val="22"/>
        </w:rPr>
        <w:t>注：</w:t>
      </w:r>
      <w:r>
        <w:rPr>
          <w:rFonts w:hint="eastAsia" w:ascii="宋体" w:hAnsi="宋体" w:eastAsia="宋体" w:cs="宋体"/>
        </w:rPr>
        <w:t>本部门本年度无政府性基金预算财政拨款相关收支情况，按要求空表列示。</w:t>
      </w:r>
    </w:p>
    <w:p>
      <w:pPr>
        <w:rPr>
          <w:b/>
          <w:sz w:val="20"/>
          <w:szCs w:val="22"/>
          <w:highlight w:val="yellow"/>
        </w:rPr>
      </w:pPr>
    </w:p>
    <w:tbl>
      <w:tblPr>
        <w:tblStyle w:val="6"/>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tabs>
          <w:tab w:val="left" w:pos="1329"/>
        </w:tabs>
        <w:rPr>
          <w:rFonts w:ascii="宋体" w:hAnsi="宋体" w:eastAsia="宋体" w:cs="宋体"/>
        </w:rPr>
      </w:pPr>
      <w:r>
        <w:rPr>
          <w:rFonts w:hint="eastAsia" w:ascii="宋体" w:hAnsi="宋体" w:eastAsia="宋体" w:cs="宋体"/>
        </w:rPr>
        <w:t>注：本部门本年度无国有资本经营预算财政拨款相关收支情况，按要求空表列示。</w:t>
      </w:r>
    </w:p>
    <w:p>
      <w:pPr>
        <w:rPr>
          <w:rFonts w:ascii="黑体" w:hAnsi="黑体" w:eastAsia="黑体" w:cs="黑体"/>
          <w:sz w:val="56"/>
          <w:szCs w:val="72"/>
          <w:highlight w:val="yellow"/>
        </w:rPr>
      </w:pPr>
    </w:p>
    <w:p>
      <w:pPr>
        <w:rPr>
          <w:rFonts w:ascii="黑体" w:hAnsi="黑体" w:eastAsia="黑体" w:cs="黑体"/>
          <w:sz w:val="56"/>
          <w:szCs w:val="72"/>
        </w:rPr>
      </w:pPr>
    </w:p>
    <w:p>
      <w:pPr>
        <w:tabs>
          <w:tab w:val="left" w:pos="235"/>
        </w:tabs>
        <w:spacing w:line="600" w:lineRule="exact"/>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4"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rgbClr val="BDD7EE">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78.2pt;margin-top:-106.6pt;height:842.2pt;width:601pt;z-index:251664384;v-text-anchor:middle;mso-width-relative:page;mso-height-relative:page;" fillcolor="#E5EFF8" filled="t" stroked="f" coordsize="21600,21600" o:gfxdata="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ZTdAntwAAAAPAQAADwAAAAAAAAABACAAAAAiAAAAZHJzL2Rvd25yZXYueG1sUEsBAhQA&#10;FAAAAAgAh07iQIu5FX6ZAgAAHwUAAA4AAAAAAAAAAQAgAAAAKwEAAGRycy9lMm9Eb2MueG1sUEsF&#10;BgAAAAAGAAYAWQEAADYGA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11060"/>
    <w:rsid w:val="00061A05"/>
    <w:rsid w:val="000C2520"/>
    <w:rsid w:val="000D05E2"/>
    <w:rsid w:val="00133EAA"/>
    <w:rsid w:val="00144EB1"/>
    <w:rsid w:val="001856E1"/>
    <w:rsid w:val="0018668E"/>
    <w:rsid w:val="001B73D2"/>
    <w:rsid w:val="001E62BF"/>
    <w:rsid w:val="002245EC"/>
    <w:rsid w:val="002678F7"/>
    <w:rsid w:val="00271A11"/>
    <w:rsid w:val="00293E7B"/>
    <w:rsid w:val="002D1F4F"/>
    <w:rsid w:val="00366D90"/>
    <w:rsid w:val="003D678E"/>
    <w:rsid w:val="003E4624"/>
    <w:rsid w:val="00423C39"/>
    <w:rsid w:val="005B443F"/>
    <w:rsid w:val="005E7350"/>
    <w:rsid w:val="0063490E"/>
    <w:rsid w:val="00662F47"/>
    <w:rsid w:val="006831DC"/>
    <w:rsid w:val="006C040A"/>
    <w:rsid w:val="006C0A1A"/>
    <w:rsid w:val="006D49E7"/>
    <w:rsid w:val="006F07D0"/>
    <w:rsid w:val="0077379A"/>
    <w:rsid w:val="0077752E"/>
    <w:rsid w:val="007D76AB"/>
    <w:rsid w:val="007F2226"/>
    <w:rsid w:val="00801F66"/>
    <w:rsid w:val="00847C88"/>
    <w:rsid w:val="009168D3"/>
    <w:rsid w:val="00917C02"/>
    <w:rsid w:val="009334BF"/>
    <w:rsid w:val="009C7EAF"/>
    <w:rsid w:val="009D14EE"/>
    <w:rsid w:val="00A02722"/>
    <w:rsid w:val="00A14CCC"/>
    <w:rsid w:val="00A44A50"/>
    <w:rsid w:val="00A46F57"/>
    <w:rsid w:val="00A76A21"/>
    <w:rsid w:val="00B071F9"/>
    <w:rsid w:val="00B423B8"/>
    <w:rsid w:val="00B7169E"/>
    <w:rsid w:val="00B86D65"/>
    <w:rsid w:val="00B943AE"/>
    <w:rsid w:val="00BB4D83"/>
    <w:rsid w:val="00BE04FE"/>
    <w:rsid w:val="00C34BAF"/>
    <w:rsid w:val="00C45278"/>
    <w:rsid w:val="00E23423"/>
    <w:rsid w:val="00E4517B"/>
    <w:rsid w:val="00EB79D2"/>
    <w:rsid w:val="00ED5F0C"/>
    <w:rsid w:val="00F047B3"/>
    <w:rsid w:val="00F623D7"/>
    <w:rsid w:val="00F8515E"/>
    <w:rsid w:val="058B71E0"/>
    <w:rsid w:val="09C54C1B"/>
    <w:rsid w:val="0EA325C9"/>
    <w:rsid w:val="2FA63908"/>
    <w:rsid w:val="2FB96948"/>
    <w:rsid w:val="3327616A"/>
    <w:rsid w:val="34C45458"/>
    <w:rsid w:val="35C83C42"/>
    <w:rsid w:val="41B8269A"/>
    <w:rsid w:val="515D4F89"/>
    <w:rsid w:val="56363B48"/>
    <w:rsid w:val="5D0C63C4"/>
    <w:rsid w:val="632F3889"/>
    <w:rsid w:val="64417207"/>
    <w:rsid w:val="68EA3A60"/>
    <w:rsid w:val="73D824BD"/>
    <w:rsid w:val="7D992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8"/>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1242.68</c:v>
                </c:pt>
                <c:pt idx="1">
                  <c:v>908.98</c:v>
                </c:pt>
              </c:numCache>
            </c:numRef>
          </c:val>
        </c:ser>
        <c:dLbls>
          <c:showLegendKey val="0"/>
          <c:showVal val="1"/>
          <c:showCatName val="0"/>
          <c:showSerName val="0"/>
          <c:showPercent val="0"/>
          <c:showBubbleSize val="0"/>
        </c:dLbls>
        <c:gapWidth val="219"/>
        <c:overlap val="-27"/>
        <c:axId val="99272576"/>
        <c:axId val="101381248"/>
      </c:barChart>
      <c:catAx>
        <c:axId val="992725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101381248"/>
        <c:crosses val="autoZero"/>
        <c:auto val="1"/>
        <c:lblAlgn val="ctr"/>
        <c:lblOffset val="100"/>
        <c:noMultiLvlLbl val="0"/>
      </c:catAx>
      <c:valAx>
        <c:axId val="101381248"/>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9927257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1"/>
          <c:y val="0.363173169828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8592C-5985-4BCA-BBE4-6DEE810DB63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1818</Words>
  <Characters>10368</Characters>
  <Lines>86</Lines>
  <Paragraphs>24</Paragraphs>
  <TotalTime>0</TotalTime>
  <ScaleCrop>false</ScaleCrop>
  <LinksUpToDate>false</LinksUpToDate>
  <CharactersWithSpaces>12162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2022-09-15T08:59:47Z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6E8904479D0B4B81A1BE5854DE87F803</vt:lpwstr>
  </property>
</Properties>
</file>