
<file path=[Content_Types].xml><?xml version="1.0" encoding="utf-8"?>
<Types xmlns="http://schemas.openxmlformats.org/package/2006/content-types">
  <Default Extension="xml" ContentType="application/xml"/>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drawing>
          <wp:anchor distT="0" distB="0" distL="114300" distR="114300" simplePos="0" relativeHeight="251665408" behindDoc="0" locked="0" layoutInCell="1" allowOverlap="1">
            <wp:simplePos x="0" y="0"/>
            <wp:positionH relativeFrom="column">
              <wp:posOffset>-990600</wp:posOffset>
            </wp:positionH>
            <wp:positionV relativeFrom="paragraph">
              <wp:posOffset>-1390015</wp:posOffset>
            </wp:positionV>
            <wp:extent cx="8826500" cy="10838815"/>
            <wp:effectExtent l="0" t="0" r="12700" b="12065"/>
            <wp:wrapNone/>
            <wp:docPr id="4" name="图片 4" descr="a897a2ca824825c26b646f3fb3a6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897a2ca824825c26b646f3fb3a61c3"/>
                    <pic:cNvPicPr>
                      <a:picLocks noChangeAspect="1"/>
                    </pic:cNvPicPr>
                  </pic:nvPicPr>
                  <pic:blipFill>
                    <a:blip r:embed="rId13"/>
                    <a:stretch>
                      <a:fillRect/>
                    </a:stretch>
                  </pic:blipFill>
                  <pic:spPr>
                    <a:xfrm>
                      <a:off x="0" y="0"/>
                      <a:ext cx="8826500" cy="10838815"/>
                    </a:xfrm>
                    <a:prstGeom prst="rect">
                      <a:avLst/>
                    </a:prstGeom>
                  </pic:spPr>
                </pic:pic>
              </a:graphicData>
            </a:graphic>
          </wp:anchor>
        </w:drawing>
      </w:r>
      <w:r>
        <w:br w:type="page"/>
      </w:r>
    </w:p>
    <w:p>
      <w:pPr>
        <w:jc w:val="center"/>
        <w:rPr>
          <w:rFonts w:ascii="黑体" w:hAnsi="黑体" w:eastAsia="黑体" w:cs="黑体"/>
          <w:sz w:val="72"/>
          <w:szCs w:val="96"/>
        </w:rPr>
      </w:pPr>
      <w:r>
        <w:rPr>
          <w:rFonts w:hint="eastAsia" w:ascii="黑体" w:hAnsi="黑体" w:eastAsia="黑体" w:cs="黑体"/>
          <w:sz w:val="72"/>
          <w:szCs w:val="96"/>
        </w:rPr>
        <w:t>中共保定市满城区委</w:t>
      </w:r>
    </w:p>
    <w:p>
      <w:pPr>
        <w:jc w:val="center"/>
        <w:rPr>
          <w:rFonts w:ascii="黑体" w:hAnsi="黑体" w:eastAsia="黑体" w:cs="黑体"/>
          <w:sz w:val="72"/>
          <w:szCs w:val="96"/>
          <w:highlight w:val="yellow"/>
        </w:rPr>
      </w:pPr>
      <w:r>
        <w:rPr>
          <w:rFonts w:hint="eastAsia" w:ascii="黑体" w:hAnsi="黑体" w:eastAsia="黑体" w:cs="黑体"/>
          <w:sz w:val="72"/>
          <w:szCs w:val="96"/>
        </w:rPr>
        <w:t>政法委员会</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576"/>
        <w:rPr>
          <w:rFonts w:ascii="仿宋_GB2312" w:eastAsia="仿宋_GB2312"/>
          <w:sz w:val="28"/>
          <w:szCs w:val="28"/>
        </w:rPr>
      </w:pPr>
      <w:r>
        <w:rPr>
          <w:rFonts w:hint="eastAsia" w:ascii="仿宋_GB2312" w:hAnsi="宋体" w:eastAsia="仿宋_GB2312"/>
          <w:sz w:val="28"/>
          <w:szCs w:val="28"/>
        </w:rPr>
        <w:t>我单位编制人数 13个，行政编制数13个。实有在职人员1</w:t>
      </w:r>
      <w:r>
        <w:rPr>
          <w:rFonts w:ascii="仿宋_GB2312" w:hAnsi="宋体" w:eastAsia="仿宋_GB2312"/>
          <w:sz w:val="28"/>
          <w:szCs w:val="28"/>
        </w:rPr>
        <w:t>3</w:t>
      </w:r>
      <w:r>
        <w:rPr>
          <w:rFonts w:hint="eastAsia" w:ascii="仿宋_GB2312" w:hAnsi="宋体" w:eastAsia="仿宋_GB2312"/>
          <w:sz w:val="28"/>
          <w:szCs w:val="28"/>
        </w:rPr>
        <w:t xml:space="preserve">人，退休人员 </w:t>
      </w:r>
      <w:r>
        <w:rPr>
          <w:rFonts w:ascii="仿宋_GB2312" w:hAnsi="宋体" w:eastAsia="仿宋_GB2312"/>
          <w:sz w:val="28"/>
          <w:szCs w:val="28"/>
        </w:rPr>
        <w:t>7</w:t>
      </w:r>
      <w:r>
        <w:rPr>
          <w:rFonts w:hint="eastAsia" w:ascii="仿宋_GB2312" w:hAnsi="宋体" w:eastAsia="仿宋_GB2312"/>
          <w:sz w:val="28"/>
          <w:szCs w:val="28"/>
        </w:rPr>
        <w:t>人。</w:t>
      </w:r>
    </w:p>
    <w:p>
      <w:pPr>
        <w:ind w:firstLine="560" w:firstLineChars="200"/>
        <w:rPr>
          <w:rFonts w:ascii="仿宋_GB2312" w:hAnsi="仿宋" w:eastAsia="仿宋_GB2312"/>
          <w:sz w:val="28"/>
          <w:szCs w:val="28"/>
        </w:rPr>
      </w:pPr>
      <w:r>
        <w:rPr>
          <w:rFonts w:hint="eastAsia" w:ascii="仿宋_GB2312" w:hAnsi="仿宋" w:eastAsia="仿宋_GB2312"/>
          <w:sz w:val="28"/>
          <w:szCs w:val="28"/>
        </w:rPr>
        <w:t>(一)部门职责</w:t>
      </w:r>
    </w:p>
    <w:p>
      <w:pPr>
        <w:pStyle w:val="8"/>
        <w:spacing w:line="560" w:lineRule="exact"/>
        <w:ind w:firstLine="560" w:firstLineChars="200"/>
        <w:jc w:val="both"/>
        <w:rPr>
          <w:rFonts w:ascii="仿宋_GB2312" w:eastAsia="仿宋_GB2312"/>
          <w:kern w:val="2"/>
          <w:sz w:val="28"/>
          <w:szCs w:val="28"/>
          <w:lang w:eastAsia="zh-CN"/>
        </w:rPr>
      </w:pPr>
      <w:r>
        <w:rPr>
          <w:rFonts w:hint="eastAsia" w:ascii="仿宋_GB2312" w:eastAsia="仿宋_GB2312"/>
          <w:kern w:val="2"/>
          <w:sz w:val="28"/>
          <w:szCs w:val="28"/>
          <w:lang w:eastAsia="zh-CN"/>
        </w:rPr>
        <w:t>1、贯彻落实上级有关政法工作的路线、方针、政策、法律、法规和综合治理的工作部署，负责全区政法队伍的政治思想建设，统一政法各部门的思想和行动。</w:t>
      </w:r>
    </w:p>
    <w:p>
      <w:pPr>
        <w:pStyle w:val="8"/>
        <w:spacing w:line="560" w:lineRule="exact"/>
        <w:ind w:firstLine="560" w:firstLineChars="200"/>
        <w:jc w:val="both"/>
        <w:rPr>
          <w:rFonts w:ascii="仿宋_GB2312" w:eastAsia="仿宋_GB2312"/>
          <w:kern w:val="2"/>
          <w:sz w:val="28"/>
          <w:szCs w:val="28"/>
          <w:lang w:eastAsia="zh-CN"/>
        </w:rPr>
      </w:pPr>
      <w:r>
        <w:rPr>
          <w:rFonts w:hint="eastAsia" w:ascii="仿宋_GB2312" w:eastAsia="仿宋_GB2312"/>
          <w:kern w:val="2"/>
          <w:sz w:val="28"/>
          <w:szCs w:val="28"/>
          <w:lang w:eastAsia="zh-CN"/>
        </w:rPr>
        <w:t>2、研究制定全区政法工作和社会治安综合治理工作的具体政策措施，及时建议区委部署全局性的政法工作和社会治安综合治理工作，并督促贯彻落实。</w:t>
      </w:r>
    </w:p>
    <w:p>
      <w:pPr>
        <w:pStyle w:val="8"/>
        <w:spacing w:line="560" w:lineRule="exact"/>
        <w:ind w:firstLine="560" w:firstLineChars="200"/>
        <w:jc w:val="both"/>
        <w:rPr>
          <w:rFonts w:ascii="仿宋_GB2312" w:eastAsia="仿宋_GB2312"/>
          <w:kern w:val="2"/>
          <w:sz w:val="28"/>
          <w:szCs w:val="28"/>
          <w:lang w:eastAsia="zh-CN"/>
        </w:rPr>
      </w:pPr>
      <w:r>
        <w:rPr>
          <w:rFonts w:hint="eastAsia" w:ascii="仿宋_GB2312" w:eastAsia="仿宋_GB2312"/>
          <w:kern w:val="2"/>
          <w:sz w:val="28"/>
          <w:szCs w:val="28"/>
          <w:lang w:eastAsia="zh-CN"/>
        </w:rPr>
        <w:t>3、监督和支持政法各部门依法行使职权，指导和协调政法各部门在依法相互制约的同时密切配合，研究讨论有争议的重大、疑难案件。参与大案、要案的指导和督办工作。</w:t>
      </w:r>
    </w:p>
    <w:p>
      <w:pPr>
        <w:pStyle w:val="8"/>
        <w:spacing w:line="560" w:lineRule="exact"/>
        <w:ind w:firstLine="560" w:firstLineChars="200"/>
        <w:jc w:val="both"/>
        <w:rPr>
          <w:rFonts w:ascii="仿宋_GB2312" w:eastAsia="仿宋_GB2312"/>
          <w:kern w:val="2"/>
          <w:sz w:val="28"/>
          <w:szCs w:val="28"/>
          <w:lang w:eastAsia="zh-CN"/>
        </w:rPr>
      </w:pPr>
      <w:r>
        <w:rPr>
          <w:rFonts w:hint="eastAsia" w:ascii="仿宋_GB2312" w:eastAsia="仿宋_GB2312"/>
          <w:kern w:val="2"/>
          <w:sz w:val="28"/>
          <w:szCs w:val="28"/>
          <w:lang w:eastAsia="zh-CN"/>
        </w:rPr>
        <w:t>4、监督政法各部门执行法律、法规和党的方针、政策情况，结合实际，研究制定严格执法的具体措施。</w:t>
      </w:r>
    </w:p>
    <w:p>
      <w:pPr>
        <w:pStyle w:val="8"/>
        <w:spacing w:line="560" w:lineRule="exact"/>
        <w:ind w:firstLine="560" w:firstLineChars="200"/>
        <w:jc w:val="both"/>
        <w:rPr>
          <w:rFonts w:ascii="仿宋_GB2312" w:eastAsia="仿宋_GB2312"/>
          <w:kern w:val="2"/>
          <w:sz w:val="28"/>
          <w:szCs w:val="28"/>
          <w:lang w:eastAsia="zh-CN"/>
        </w:rPr>
      </w:pPr>
      <w:r>
        <w:rPr>
          <w:rFonts w:hint="eastAsia" w:ascii="仿宋_GB2312" w:eastAsia="仿宋_GB2312"/>
          <w:kern w:val="2"/>
          <w:sz w:val="28"/>
          <w:szCs w:val="28"/>
          <w:lang w:eastAsia="zh-CN"/>
        </w:rPr>
        <w:t>5、配合区委、区政府的中心工作，组织、协调和指导有关部门搞好社会治安综合治理工作，维护社会稳定。</w:t>
      </w:r>
    </w:p>
    <w:p>
      <w:pPr>
        <w:pStyle w:val="8"/>
        <w:spacing w:line="560" w:lineRule="exact"/>
        <w:ind w:firstLine="560" w:firstLineChars="200"/>
        <w:jc w:val="both"/>
        <w:rPr>
          <w:rFonts w:ascii="仿宋_GB2312" w:eastAsia="仿宋_GB2312"/>
          <w:kern w:val="2"/>
          <w:sz w:val="28"/>
          <w:szCs w:val="28"/>
          <w:lang w:eastAsia="zh-CN"/>
        </w:rPr>
      </w:pPr>
      <w:r>
        <w:rPr>
          <w:rFonts w:hint="eastAsia" w:ascii="仿宋_GB2312" w:eastAsia="仿宋_GB2312"/>
          <w:kern w:val="2"/>
          <w:sz w:val="28"/>
          <w:szCs w:val="28"/>
          <w:lang w:eastAsia="zh-CN"/>
        </w:rPr>
        <w:t>6、协助区委及组织部门、管理政法部门的领导班子和干部队伍，研究加强政法队伍建设和领导班子建设的措施。</w:t>
      </w:r>
    </w:p>
    <w:p>
      <w:pPr>
        <w:ind w:firstLine="560" w:firstLineChars="200"/>
        <w:rPr>
          <w:rFonts w:ascii="仿宋_GB2312" w:hAnsi="宋体" w:eastAsia="仿宋_GB2312"/>
          <w:sz w:val="28"/>
          <w:szCs w:val="28"/>
        </w:rPr>
      </w:pPr>
      <w:r>
        <w:rPr>
          <w:rFonts w:hint="eastAsia" w:ascii="仿宋_GB2312" w:hAnsi="宋体" w:eastAsia="仿宋_GB2312"/>
          <w:sz w:val="28"/>
          <w:szCs w:val="28"/>
        </w:rPr>
        <w:t>7、加强法制建设，制止非法邪教活动。</w:t>
      </w:r>
    </w:p>
    <w:p>
      <w:pPr>
        <w:ind w:firstLine="640" w:firstLineChars="200"/>
        <w:rPr>
          <w:rFonts w:ascii="仿宋_GB2312" w:hAnsi="宋体" w:eastAsia="仿宋_GB2312"/>
          <w:sz w:val="28"/>
          <w:szCs w:val="28"/>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ascii="仿宋_GB2312" w:hAnsi="Calibri" w:eastAsia="仿宋_GB2312" w:cs="Arial Black"/>
          <w:kern w:val="0"/>
          <w:sz w:val="32"/>
          <w:szCs w:val="32"/>
        </w:rPr>
        <w:t>1</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UnicodeMS"/>
                <w:kern w:val="0"/>
                <w:sz w:val="28"/>
                <w:szCs w:val="28"/>
              </w:rPr>
              <w:t>1</w:t>
            </w:r>
          </w:p>
        </w:tc>
        <w:tc>
          <w:tcPr>
            <w:tcW w:w="3426"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UnicodeMS"/>
                <w:kern w:val="0"/>
                <w:sz w:val="28"/>
                <w:szCs w:val="28"/>
              </w:rPr>
              <w:t>中共保定市满城区委政法委员会</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UnicodeMS"/>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本部门2020年度收入总计（含结转和结余）</w:t>
      </w:r>
      <w:r>
        <w:rPr>
          <w:rFonts w:ascii="仿宋_GB2312" w:hAnsi="Times New Roman" w:eastAsia="仿宋_GB2312" w:cs="Wingdings"/>
          <w:sz w:val="32"/>
          <w:szCs w:val="32"/>
        </w:rPr>
        <w:t>233.40</w:t>
      </w:r>
      <w:r>
        <w:rPr>
          <w:rFonts w:hint="eastAsia" w:ascii="仿宋_GB2312" w:hAnsi="Times New Roman" w:eastAsia="仿宋_GB2312" w:cs="Wingdings"/>
          <w:sz w:val="32"/>
          <w:szCs w:val="32"/>
        </w:rPr>
        <w:t>万元。与2019年度决算相比，收入减少</w:t>
      </w:r>
      <w:r>
        <w:rPr>
          <w:rFonts w:ascii="仿宋_GB2312" w:hAnsi="Times New Roman" w:eastAsia="仿宋_GB2312" w:cs="Wingdings"/>
          <w:sz w:val="32"/>
          <w:szCs w:val="32"/>
        </w:rPr>
        <w:t>104.60</w:t>
      </w:r>
      <w:r>
        <w:rPr>
          <w:rFonts w:hint="eastAsia" w:ascii="仿宋_GB2312" w:hAnsi="Times New Roman" w:eastAsia="仿宋_GB2312" w:cs="Wingdings"/>
          <w:sz w:val="32"/>
          <w:szCs w:val="32"/>
        </w:rPr>
        <w:t>万元，下降</w:t>
      </w:r>
      <w:r>
        <w:rPr>
          <w:rFonts w:ascii="仿宋_GB2312" w:hAnsi="Times New Roman" w:eastAsia="仿宋_GB2312" w:cs="Wingdings"/>
          <w:sz w:val="32"/>
          <w:szCs w:val="32"/>
        </w:rPr>
        <w:t>30.90</w:t>
      </w:r>
      <w:r>
        <w:rPr>
          <w:rFonts w:hint="eastAsia" w:ascii="仿宋_GB2312" w:hAnsi="Times New Roman" w:eastAsia="仿宋_GB2312" w:cs="Wingdings"/>
          <w:sz w:val="32"/>
          <w:szCs w:val="32"/>
        </w:rPr>
        <w:t>%，主要原因是一是单位厉行节约，日常公用及三公经费均减少。二是本年度没有采购支出，个别一次性项目今年未开展。</w:t>
      </w: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本部门2020年度支出总计</w:t>
      </w:r>
      <w:r>
        <w:rPr>
          <w:rFonts w:ascii="仿宋_GB2312" w:hAnsi="Times New Roman" w:eastAsia="仿宋_GB2312" w:cs="Wingdings"/>
          <w:sz w:val="32"/>
          <w:szCs w:val="32"/>
        </w:rPr>
        <w:t>233.40</w:t>
      </w:r>
      <w:r>
        <w:rPr>
          <w:rFonts w:hint="eastAsia" w:ascii="仿宋_GB2312" w:hAnsi="Times New Roman" w:eastAsia="仿宋_GB2312" w:cs="Wingdings"/>
          <w:sz w:val="32"/>
          <w:szCs w:val="32"/>
        </w:rPr>
        <w:t>万元。与2019年度决算相比，支出减少</w:t>
      </w:r>
      <w:r>
        <w:rPr>
          <w:rFonts w:ascii="仿宋_GB2312" w:hAnsi="Times New Roman" w:eastAsia="仿宋_GB2312" w:cs="Wingdings"/>
          <w:sz w:val="32"/>
          <w:szCs w:val="32"/>
        </w:rPr>
        <w:t>104.60</w:t>
      </w:r>
      <w:r>
        <w:rPr>
          <w:rFonts w:hint="eastAsia" w:ascii="仿宋_GB2312" w:hAnsi="Times New Roman" w:eastAsia="仿宋_GB2312" w:cs="Wingdings"/>
          <w:sz w:val="32"/>
          <w:szCs w:val="32"/>
        </w:rPr>
        <w:t>万元，下降</w:t>
      </w:r>
      <w:r>
        <w:rPr>
          <w:rFonts w:ascii="仿宋_GB2312" w:hAnsi="Times New Roman" w:eastAsia="仿宋_GB2312" w:cs="Wingdings"/>
          <w:sz w:val="32"/>
          <w:szCs w:val="32"/>
        </w:rPr>
        <w:t>30.90</w:t>
      </w:r>
      <w:r>
        <w:rPr>
          <w:rFonts w:hint="eastAsia" w:ascii="仿宋_GB2312" w:hAnsi="Times New Roman" w:eastAsia="仿宋_GB2312" w:cs="Wingdings"/>
          <w:sz w:val="32"/>
          <w:szCs w:val="32"/>
        </w:rPr>
        <w:t>%，主要原因与上述相同</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本部门2020年度本年收入合计</w:t>
      </w:r>
      <w:r>
        <w:rPr>
          <w:rFonts w:ascii="仿宋_GB2312" w:hAnsi="Times New Roman" w:eastAsia="仿宋_GB2312" w:cs="Wingdings"/>
          <w:sz w:val="32"/>
          <w:szCs w:val="32"/>
        </w:rPr>
        <w:t>233.40</w:t>
      </w:r>
      <w:r>
        <w:rPr>
          <w:rFonts w:hint="eastAsia" w:ascii="仿宋_GB2312" w:hAnsi="Times New Roman" w:eastAsia="仿宋_GB2312" w:cs="Wingdings"/>
          <w:sz w:val="32"/>
          <w:szCs w:val="32"/>
        </w:rPr>
        <w:t>万元，其中：财政拨款收入</w:t>
      </w:r>
      <w:r>
        <w:rPr>
          <w:rFonts w:ascii="仿宋_GB2312" w:hAnsi="Times New Roman" w:eastAsia="仿宋_GB2312" w:cs="Wingdings"/>
          <w:sz w:val="32"/>
          <w:szCs w:val="32"/>
        </w:rPr>
        <w:t>233.40</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100</w:t>
      </w:r>
      <w:r>
        <w:rPr>
          <w:rFonts w:hint="eastAsia" w:ascii="仿宋_GB2312" w:hAnsi="Times New Roman" w:eastAsia="仿宋_GB2312" w:cs="Wingdings"/>
          <w:sz w:val="32"/>
          <w:szCs w:val="32"/>
        </w:rPr>
        <w:t>%；事业收入</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0</w:t>
      </w:r>
      <w:r>
        <w:rPr>
          <w:rFonts w:hint="eastAsia" w:ascii="仿宋_GB2312" w:hAnsi="Times New Roman" w:eastAsia="仿宋_GB2312" w:cs="Wingdings"/>
          <w:sz w:val="32"/>
          <w:szCs w:val="32"/>
        </w:rPr>
        <w:t>%；经营收入</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0</w:t>
      </w:r>
      <w:r>
        <w:rPr>
          <w:rFonts w:hint="eastAsia" w:ascii="仿宋_GB2312" w:hAnsi="Times New Roman" w:eastAsia="仿宋_GB2312" w:cs="Wingdings"/>
          <w:sz w:val="32"/>
          <w:szCs w:val="32"/>
        </w:rPr>
        <w:t>%；其他收入</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w:t>
      </w:r>
      <w:r>
        <w:rPr>
          <w:rFonts w:ascii="仿宋_GB2312" w:hAnsi="Times New Roman" w:eastAsia="仿宋_GB2312" w:cs="Wingdings"/>
          <w:sz w:val="32"/>
          <w:szCs w:val="32"/>
        </w:rPr>
        <w:t>233.40</w:t>
      </w:r>
      <w:r>
        <w:rPr>
          <w:rFonts w:hint="eastAsia" w:ascii="仿宋_GB2312" w:hAnsi="Times New Roman" w:eastAsia="仿宋_GB2312" w:cs="Wingdings"/>
          <w:sz w:val="32"/>
          <w:szCs w:val="32"/>
        </w:rPr>
        <w:t>万元，其中：基本支出</w:t>
      </w:r>
      <w:r>
        <w:rPr>
          <w:rFonts w:ascii="仿宋_GB2312" w:hAnsi="Times New Roman" w:eastAsia="仿宋_GB2312" w:cs="Wingdings"/>
          <w:sz w:val="32"/>
          <w:szCs w:val="32"/>
        </w:rPr>
        <w:t>202.15</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86.61</w:t>
      </w:r>
      <w:r>
        <w:rPr>
          <w:rFonts w:hint="eastAsia" w:ascii="仿宋_GB2312" w:hAnsi="Times New Roman" w:eastAsia="仿宋_GB2312" w:cs="Wingdings"/>
          <w:sz w:val="32"/>
          <w:szCs w:val="32"/>
        </w:rPr>
        <w:t>%；项目支出</w:t>
      </w:r>
      <w:r>
        <w:rPr>
          <w:rFonts w:ascii="仿宋_GB2312" w:hAnsi="Times New Roman" w:eastAsia="仿宋_GB2312" w:cs="Wingdings"/>
          <w:sz w:val="32"/>
          <w:szCs w:val="32"/>
        </w:rPr>
        <w:t>31.24</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13.39</w:t>
      </w:r>
      <w:r>
        <w:rPr>
          <w:rFonts w:hint="eastAsia" w:ascii="仿宋_GB2312" w:hAnsi="Times New Roman" w:eastAsia="仿宋_GB2312" w:cs="Wingdings"/>
          <w:sz w:val="32"/>
          <w:szCs w:val="32"/>
        </w:rPr>
        <w:t>%；经营支出</w:t>
      </w:r>
      <w:r>
        <w:rPr>
          <w:rFonts w:ascii="仿宋_GB2312" w:hAnsi="Times New Roman" w:eastAsia="仿宋_GB2312" w:cs="Wingdings"/>
          <w:sz w:val="32"/>
          <w:szCs w:val="32"/>
        </w:rPr>
        <w:t>0</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0</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w:t>
      </w:r>
      <w:r>
        <w:rPr>
          <w:rFonts w:ascii="仿宋_GB2312" w:hAnsi="Times New Roman" w:eastAsia="仿宋_GB2312" w:cs="Wingdings"/>
          <w:sz w:val="32"/>
          <w:szCs w:val="32"/>
        </w:rPr>
        <w:t>233.40</w:t>
      </w:r>
      <w:r>
        <w:rPr>
          <w:rFonts w:hint="eastAsia" w:ascii="仿宋_GB2312" w:hAnsi="Times New Roman" w:eastAsia="仿宋_GB2312" w:cs="Wingdings"/>
          <w:sz w:val="32"/>
          <w:szCs w:val="32"/>
        </w:rPr>
        <w:t>万元,比2019年度减少</w:t>
      </w:r>
      <w:r>
        <w:rPr>
          <w:rFonts w:ascii="仿宋_GB2312" w:hAnsi="Times New Roman" w:eastAsia="仿宋_GB2312" w:cs="Wingdings"/>
          <w:sz w:val="32"/>
          <w:szCs w:val="32"/>
        </w:rPr>
        <w:t>104.60</w:t>
      </w:r>
      <w:r>
        <w:rPr>
          <w:rFonts w:hint="eastAsia" w:ascii="仿宋_GB2312" w:hAnsi="Times New Roman" w:eastAsia="仿宋_GB2312" w:cs="Wingdings"/>
          <w:sz w:val="32"/>
          <w:szCs w:val="32"/>
        </w:rPr>
        <w:t>万元，下降</w:t>
      </w:r>
      <w:r>
        <w:rPr>
          <w:rFonts w:ascii="仿宋_GB2312" w:hAnsi="Times New Roman" w:eastAsia="仿宋_GB2312" w:cs="Wingdings"/>
          <w:sz w:val="32"/>
          <w:szCs w:val="32"/>
        </w:rPr>
        <w:t>30.90</w:t>
      </w:r>
      <w:r>
        <w:rPr>
          <w:rFonts w:hint="eastAsia" w:ascii="仿宋_GB2312" w:hAnsi="Times New Roman" w:eastAsia="仿宋_GB2312" w:cs="Wingdings"/>
          <w:sz w:val="32"/>
          <w:szCs w:val="32"/>
        </w:rPr>
        <w:t>%，主要是一是单位厉行节约，日常公用及三公经费均减少。二是本年度没有采购支出，个别一次性项目今年未开展；本年支出</w:t>
      </w:r>
      <w:r>
        <w:rPr>
          <w:rFonts w:ascii="仿宋_GB2312" w:hAnsi="Times New Roman" w:eastAsia="仿宋_GB2312" w:cs="Wingdings"/>
          <w:sz w:val="32"/>
          <w:szCs w:val="32"/>
        </w:rPr>
        <w:t>233.40</w:t>
      </w:r>
      <w:r>
        <w:rPr>
          <w:rFonts w:hint="eastAsia" w:ascii="仿宋_GB2312" w:hAnsi="Times New Roman" w:eastAsia="仿宋_GB2312" w:cs="Wingdings"/>
          <w:sz w:val="32"/>
          <w:szCs w:val="32"/>
        </w:rPr>
        <w:t>万元，下降</w:t>
      </w:r>
      <w:r>
        <w:rPr>
          <w:rFonts w:ascii="仿宋_GB2312" w:hAnsi="Times New Roman" w:eastAsia="仿宋_GB2312" w:cs="Wingdings"/>
          <w:sz w:val="32"/>
          <w:szCs w:val="32"/>
        </w:rPr>
        <w:t>30.90</w:t>
      </w:r>
      <w:r>
        <w:rPr>
          <w:rFonts w:hint="eastAsia" w:ascii="仿宋_GB2312" w:hAnsi="Times New Roman" w:eastAsia="仿宋_GB2312" w:cs="Wingdings"/>
          <w:sz w:val="32"/>
          <w:szCs w:val="32"/>
        </w:rPr>
        <w:t>%，主要一是单位厉行节约，日常公用及三公经费均减少。二是本年度没有采购支出，个别一次性项目今年未开展。</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w:t>
      </w:r>
      <w:r>
        <w:rPr>
          <w:rFonts w:ascii="仿宋_GB2312" w:hAnsi="Times New Roman" w:eastAsia="仿宋_GB2312" w:cs="Wingdings"/>
          <w:sz w:val="32"/>
          <w:szCs w:val="32"/>
        </w:rPr>
        <w:t>233.40</w:t>
      </w:r>
      <w:r>
        <w:rPr>
          <w:rFonts w:hint="eastAsia" w:ascii="仿宋_GB2312" w:hAnsi="Times New Roman" w:eastAsia="仿宋_GB2312" w:cs="Wingdings"/>
          <w:sz w:val="32"/>
          <w:szCs w:val="32"/>
        </w:rPr>
        <w:t>万元，完成年初预算的</w:t>
      </w:r>
      <w:r>
        <w:rPr>
          <w:rFonts w:ascii="仿宋_GB2312" w:hAnsi="Times New Roman" w:eastAsia="仿宋_GB2312" w:cs="Wingdings"/>
          <w:sz w:val="32"/>
          <w:szCs w:val="32"/>
        </w:rPr>
        <w:t>93.41</w:t>
      </w:r>
      <w:r>
        <w:rPr>
          <w:rFonts w:hint="eastAsia" w:ascii="仿宋_GB2312" w:hAnsi="Times New Roman" w:eastAsia="仿宋_GB2312" w:cs="Wingdings"/>
          <w:sz w:val="32"/>
          <w:szCs w:val="32"/>
        </w:rPr>
        <w:t>%,比年初预算减少</w:t>
      </w:r>
      <w:r>
        <w:rPr>
          <w:rFonts w:ascii="仿宋_GB2312" w:hAnsi="Times New Roman" w:eastAsia="仿宋_GB2312" w:cs="Wingdings"/>
          <w:sz w:val="32"/>
          <w:szCs w:val="32"/>
        </w:rPr>
        <w:t>16.46</w:t>
      </w:r>
      <w:r>
        <w:rPr>
          <w:rFonts w:hint="eastAsia" w:ascii="仿宋_GB2312" w:hAnsi="Times New Roman" w:eastAsia="仿宋_GB2312" w:cs="Wingdings"/>
          <w:sz w:val="32"/>
          <w:szCs w:val="32"/>
        </w:rPr>
        <w:t>万元，决算数小于预算数，主要原因是</w:t>
      </w:r>
      <w:r>
        <w:rPr>
          <w:rFonts w:hint="eastAsia" w:ascii="仿宋_GB2312" w:eastAsia="仿宋_GB2312" w:cs="DengXian-Regular"/>
          <w:sz w:val="32"/>
          <w:szCs w:val="32"/>
        </w:rPr>
        <w:t>厉行节约，各项支出减少；新增退休人员，人员经费减少</w:t>
      </w:r>
      <w:r>
        <w:rPr>
          <w:rFonts w:hint="eastAsia" w:ascii="仿宋_GB2312" w:hAnsi="Times New Roman" w:eastAsia="仿宋_GB2312" w:cs="Wingdings"/>
          <w:sz w:val="32"/>
          <w:szCs w:val="32"/>
        </w:rPr>
        <w:t>；本年支出</w:t>
      </w:r>
      <w:r>
        <w:rPr>
          <w:rFonts w:ascii="仿宋_GB2312" w:hAnsi="Times New Roman" w:eastAsia="仿宋_GB2312" w:cs="Wingdings"/>
          <w:sz w:val="32"/>
          <w:szCs w:val="32"/>
        </w:rPr>
        <w:t>233.40</w:t>
      </w:r>
      <w:r>
        <w:rPr>
          <w:rFonts w:hint="eastAsia" w:ascii="仿宋_GB2312" w:hAnsi="Times New Roman" w:eastAsia="仿宋_GB2312" w:cs="Wingdings"/>
          <w:sz w:val="32"/>
          <w:szCs w:val="32"/>
        </w:rPr>
        <w:t>万元，完成年初预算的</w:t>
      </w:r>
      <w:r>
        <w:rPr>
          <w:rFonts w:ascii="仿宋_GB2312" w:hAnsi="Times New Roman" w:eastAsia="仿宋_GB2312" w:cs="Wingdings"/>
          <w:sz w:val="32"/>
          <w:szCs w:val="32"/>
        </w:rPr>
        <w:t>93.41</w:t>
      </w:r>
      <w:r>
        <w:rPr>
          <w:rFonts w:hint="eastAsia" w:ascii="仿宋_GB2312" w:hAnsi="Times New Roman" w:eastAsia="仿宋_GB2312" w:cs="Wingdings"/>
          <w:sz w:val="32"/>
          <w:szCs w:val="32"/>
        </w:rPr>
        <w:t>%,比年初预算减少</w:t>
      </w:r>
      <w:r>
        <w:rPr>
          <w:rFonts w:ascii="仿宋_GB2312" w:hAnsi="Times New Roman" w:eastAsia="仿宋_GB2312" w:cs="Wingdings"/>
          <w:sz w:val="32"/>
          <w:szCs w:val="32"/>
        </w:rPr>
        <w:t>16.46</w:t>
      </w:r>
      <w:r>
        <w:rPr>
          <w:rFonts w:hint="eastAsia" w:ascii="仿宋_GB2312" w:hAnsi="Times New Roman" w:eastAsia="仿宋_GB2312" w:cs="Wingdings"/>
          <w:sz w:val="32"/>
          <w:szCs w:val="32"/>
        </w:rPr>
        <w:t>万元，决算数小于预算数主要原因是主要是</w:t>
      </w:r>
      <w:r>
        <w:rPr>
          <w:rFonts w:hint="eastAsia" w:ascii="仿宋_GB2312" w:eastAsia="仿宋_GB2312" w:cs="DengXian-Regular"/>
          <w:sz w:val="32"/>
          <w:szCs w:val="32"/>
        </w:rPr>
        <w:t>厉行节约，各项支出减少；新增退休人员，人员经费减少</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ascii="仿宋_GB2312" w:hAnsi="Times New Roman" w:eastAsia="仿宋_GB2312" w:cs="Wingdings"/>
          <w:sz w:val="32"/>
          <w:szCs w:val="32"/>
        </w:rPr>
        <w:t>233.40</w:t>
      </w:r>
      <w:r>
        <w:rPr>
          <w:rFonts w:hint="eastAsia" w:ascii="仿宋_GB2312" w:hAnsi="Times New Roman" w:eastAsia="仿宋_GB2312" w:cs="Wingdings"/>
          <w:sz w:val="32"/>
          <w:szCs w:val="32"/>
        </w:rPr>
        <w:t>万元，主要用于以下方面，一般公共服务（类）支出</w:t>
      </w:r>
      <w:r>
        <w:rPr>
          <w:rFonts w:ascii="仿宋_GB2312" w:hAnsi="Times New Roman" w:eastAsia="仿宋_GB2312" w:cs="Wingdings"/>
          <w:sz w:val="32"/>
          <w:szCs w:val="32"/>
        </w:rPr>
        <w:t>193.67</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82.98</w:t>
      </w:r>
      <w:r>
        <w:rPr>
          <w:rFonts w:hint="eastAsia" w:ascii="仿宋_GB2312" w:hAnsi="Times New Roman" w:eastAsia="仿宋_GB2312" w:cs="Wingdings"/>
          <w:sz w:val="32"/>
          <w:szCs w:val="32"/>
        </w:rPr>
        <w:t xml:space="preserve">%；社会保障和就业（类）支出 </w:t>
      </w:r>
      <w:r>
        <w:rPr>
          <w:rFonts w:ascii="仿宋_GB2312" w:hAnsi="Times New Roman" w:eastAsia="仿宋_GB2312" w:cs="Wingdings"/>
          <w:sz w:val="32"/>
          <w:szCs w:val="32"/>
        </w:rPr>
        <w:t>22.74</w:t>
      </w:r>
      <w:r>
        <w:rPr>
          <w:rFonts w:hint="eastAsia" w:ascii="仿宋_GB2312" w:hAnsi="Times New Roman" w:eastAsia="仿宋_GB2312" w:cs="Wingdings"/>
          <w:sz w:val="32"/>
          <w:szCs w:val="32"/>
        </w:rPr>
        <w:t>万元，占</w:t>
      </w:r>
      <w:r>
        <w:rPr>
          <w:rFonts w:ascii="仿宋_GB2312" w:hAnsi="Times New Roman" w:eastAsia="仿宋_GB2312" w:cs="Wingdings"/>
          <w:sz w:val="32"/>
          <w:szCs w:val="32"/>
        </w:rPr>
        <w:t>9.74</w:t>
      </w:r>
      <w:r>
        <w:rPr>
          <w:rFonts w:hint="eastAsia" w:ascii="仿宋_GB2312" w:hAnsi="Times New Roman" w:eastAsia="仿宋_GB2312" w:cs="Wingdings"/>
          <w:sz w:val="32"/>
          <w:szCs w:val="32"/>
        </w:rPr>
        <w:t>%；住房保障（类）支出</w:t>
      </w:r>
      <w:r>
        <w:rPr>
          <w:rFonts w:ascii="仿宋_GB2312" w:hAnsi="Times New Roman" w:eastAsia="仿宋_GB2312" w:cs="Wingdings"/>
          <w:sz w:val="32"/>
          <w:szCs w:val="32"/>
        </w:rPr>
        <w:t>9.65</w:t>
      </w:r>
      <w:r>
        <w:rPr>
          <w:rFonts w:hint="eastAsia" w:ascii="仿宋_GB2312" w:hAnsi="Times New Roman" w:eastAsia="仿宋_GB2312" w:cs="Wingdings"/>
          <w:sz w:val="32"/>
          <w:szCs w:val="32"/>
        </w:rPr>
        <w:t xml:space="preserve">万元，占 </w:t>
      </w:r>
      <w:r>
        <w:rPr>
          <w:rFonts w:ascii="仿宋_GB2312" w:hAnsi="Times New Roman" w:eastAsia="仿宋_GB2312" w:cs="Wingdings"/>
          <w:sz w:val="32"/>
          <w:szCs w:val="32"/>
        </w:rPr>
        <w:t>4.13</w:t>
      </w:r>
      <w:r>
        <w:rPr>
          <w:rFonts w:hint="eastAsia" w:ascii="仿宋_GB2312" w:hAnsi="Times New Roman" w:eastAsia="仿宋_GB2312" w:cs="Wingdings"/>
          <w:sz w:val="32"/>
          <w:szCs w:val="32"/>
        </w:rPr>
        <w:t>%;卫生健康支出7</w:t>
      </w:r>
      <w:r>
        <w:rPr>
          <w:rFonts w:ascii="仿宋_GB2312" w:hAnsi="Times New Roman" w:eastAsia="仿宋_GB2312" w:cs="Wingdings"/>
          <w:sz w:val="32"/>
          <w:szCs w:val="32"/>
        </w:rPr>
        <w:t>.34</w:t>
      </w:r>
      <w:r>
        <w:rPr>
          <w:rFonts w:hint="eastAsia" w:ascii="仿宋_GB2312" w:hAnsi="Times New Roman" w:eastAsia="仿宋_GB2312" w:cs="Wingdings"/>
          <w:sz w:val="32"/>
          <w:szCs w:val="32"/>
        </w:rPr>
        <w:t>万元，占3</w:t>
      </w:r>
      <w:r>
        <w:rPr>
          <w:rFonts w:ascii="仿宋_GB2312" w:hAnsi="Times New Roman" w:eastAsia="仿宋_GB2312" w:cs="Wingdings"/>
          <w:sz w:val="32"/>
          <w:szCs w:val="32"/>
        </w:rPr>
        <w:t>.15</w:t>
      </w:r>
      <w:r>
        <w:rPr>
          <w:rFonts w:hint="eastAsia" w:ascii="仿宋_GB2312" w:hAnsi="Times New Roman" w:eastAsia="仿宋_GB2312" w:cs="Wingdings"/>
          <w:sz w:val="32"/>
          <w:szCs w:val="32"/>
        </w:rPr>
        <w:t>%。</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ascii="仿宋_GB2312" w:hAnsi="Times New Roman" w:eastAsia="仿宋_GB2312" w:cs="Wingdings"/>
          <w:sz w:val="32"/>
          <w:szCs w:val="32"/>
        </w:rPr>
        <w:t>2</w:t>
      </w:r>
      <w:r>
        <w:rPr>
          <w:rFonts w:hint="eastAsia" w:ascii="仿宋_GB2312" w:hAnsi="Times New Roman" w:eastAsia="仿宋_GB2312" w:cs="Wingdings"/>
          <w:sz w:val="32"/>
          <w:szCs w:val="32"/>
          <w:lang w:val="en-US" w:eastAsia="zh-CN"/>
        </w:rPr>
        <w:t>02.15</w:t>
      </w:r>
      <w:r>
        <w:rPr>
          <w:rFonts w:hint="eastAsia" w:ascii="仿宋_GB2312" w:hAnsi="Times New Roman" w:eastAsia="仿宋_GB2312" w:cs="Wingdings"/>
          <w:sz w:val="32"/>
          <w:szCs w:val="32"/>
        </w:rPr>
        <w:t xml:space="preserve">万元，其中：人员经费 </w:t>
      </w:r>
      <w:r>
        <w:rPr>
          <w:rFonts w:ascii="仿宋_GB2312" w:hAnsi="Times New Roman" w:eastAsia="仿宋_GB2312" w:cs="Wingdings"/>
          <w:sz w:val="32"/>
          <w:szCs w:val="32"/>
        </w:rPr>
        <w:t>195.81</w:t>
      </w:r>
      <w:r>
        <w:rPr>
          <w:rFonts w:hint="eastAsia" w:ascii="仿宋_GB2312" w:hAnsi="Times New Roman" w:eastAsia="仿宋_GB2312" w:cs="Wingdings"/>
          <w:sz w:val="32"/>
          <w:szCs w:val="32"/>
        </w:rPr>
        <w:t xml:space="preserve">万元，主要包括基本工资、津贴补贴、奖金、机关事业单位基本养老保险缴费、职工基本医疗保险缴费、住房公积金、医疗费、退休费、抚恤金、生活补助、奖励金、其他对个人和家庭的补助支出；公用经费 </w:t>
      </w:r>
      <w:r>
        <w:rPr>
          <w:rFonts w:ascii="仿宋_GB2312" w:hAnsi="Times New Roman" w:eastAsia="仿宋_GB2312" w:cs="Wingdings"/>
          <w:sz w:val="32"/>
          <w:szCs w:val="32"/>
        </w:rPr>
        <w:t>6.34</w:t>
      </w:r>
      <w:r>
        <w:rPr>
          <w:rFonts w:hint="eastAsia" w:ascii="仿宋_GB2312" w:hAnsi="Times New Roman" w:eastAsia="仿宋_GB2312" w:cs="Wingdings"/>
          <w:sz w:val="32"/>
          <w:szCs w:val="32"/>
        </w:rPr>
        <w:t>万元，主要包括办公费、邮电费、公务用车运行维护费。</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ascii="仿宋_GB2312" w:hAnsi="Times New Roman" w:eastAsia="仿宋_GB2312" w:cs="Wingdings"/>
          <w:sz w:val="32"/>
          <w:szCs w:val="32"/>
        </w:rPr>
        <w:t>5.47</w:t>
      </w:r>
      <w:r>
        <w:rPr>
          <w:rFonts w:hint="eastAsia" w:ascii="仿宋_GB2312" w:hAnsi="Times New Roman" w:eastAsia="仿宋_GB2312" w:cs="Wingdings"/>
          <w:sz w:val="32"/>
          <w:szCs w:val="32"/>
        </w:rPr>
        <w:t>万元，支出决算为</w:t>
      </w:r>
      <w:r>
        <w:rPr>
          <w:rFonts w:ascii="仿宋_GB2312" w:hAnsi="Times New Roman" w:eastAsia="仿宋_GB2312" w:cs="Wingdings"/>
          <w:sz w:val="32"/>
          <w:szCs w:val="32"/>
        </w:rPr>
        <w:t>4.90</w:t>
      </w:r>
      <w:r>
        <w:rPr>
          <w:rFonts w:hint="eastAsia" w:ascii="仿宋_GB2312" w:hAnsi="Times New Roman" w:eastAsia="仿宋_GB2312" w:cs="Wingdings"/>
          <w:sz w:val="32"/>
          <w:szCs w:val="32"/>
          <w:lang w:val="en-US" w:eastAsia="zh-CN"/>
        </w:rPr>
        <w:t>万</w:t>
      </w:r>
      <w:r>
        <w:rPr>
          <w:rFonts w:hint="eastAsia" w:ascii="仿宋_GB2312" w:hAnsi="Times New Roman" w:eastAsia="仿宋_GB2312" w:cs="Wingdings"/>
          <w:sz w:val="32"/>
          <w:szCs w:val="32"/>
        </w:rPr>
        <w:t>元，完成预算的</w:t>
      </w:r>
      <w:r>
        <w:rPr>
          <w:rFonts w:ascii="仿宋_GB2312" w:hAnsi="Times New Roman" w:eastAsia="仿宋_GB2312" w:cs="Wingdings"/>
          <w:sz w:val="32"/>
          <w:szCs w:val="32"/>
        </w:rPr>
        <w:t>89.58</w:t>
      </w:r>
      <w:r>
        <w:rPr>
          <w:rFonts w:hint="eastAsia" w:ascii="仿宋_GB2312" w:hAnsi="Times New Roman" w:eastAsia="仿宋_GB2312" w:cs="Wingdings"/>
          <w:sz w:val="32"/>
          <w:szCs w:val="32"/>
        </w:rPr>
        <w:t>%,较预算减少</w:t>
      </w:r>
      <w:r>
        <w:rPr>
          <w:rFonts w:ascii="仿宋_GB2312" w:hAnsi="Times New Roman" w:eastAsia="仿宋_GB2312" w:cs="Wingdings"/>
          <w:sz w:val="32"/>
          <w:szCs w:val="32"/>
        </w:rPr>
        <w:t>0.57</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10.42</w:t>
      </w:r>
      <w:r>
        <w:rPr>
          <w:rFonts w:hint="eastAsia" w:ascii="仿宋_GB2312" w:hAnsi="Times New Roman" w:eastAsia="仿宋_GB2312" w:cs="Wingdings"/>
          <w:sz w:val="32"/>
          <w:szCs w:val="32"/>
        </w:rPr>
        <w:t>%，主要是厉行节约，无公务接待相关费用；较2019年度减少</w:t>
      </w:r>
      <w:r>
        <w:rPr>
          <w:rFonts w:ascii="仿宋_GB2312" w:hAnsi="Times New Roman" w:eastAsia="仿宋_GB2312" w:cs="Wingdings"/>
          <w:sz w:val="32"/>
          <w:szCs w:val="32"/>
        </w:rPr>
        <w:t>0.07</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1.41</w:t>
      </w:r>
      <w:r>
        <w:rPr>
          <w:rFonts w:hint="eastAsia" w:ascii="仿宋_GB2312" w:hAnsi="Times New Roman" w:eastAsia="仿宋_GB2312" w:cs="Wingdings"/>
          <w:sz w:val="32"/>
          <w:szCs w:val="32"/>
        </w:rPr>
        <w:t>%，主要是厉行节约，尽量减少三公开支。</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因公出国（境）团组</w:t>
      </w:r>
      <w:r>
        <w:rPr>
          <w:rFonts w:ascii="仿宋_GB2312" w:hAnsi="Times New Roman" w:eastAsia="仿宋_GB2312" w:cs="Wingdings"/>
          <w:sz w:val="32"/>
          <w:szCs w:val="32"/>
        </w:rPr>
        <w:t>0</w:t>
      </w:r>
      <w:r>
        <w:rPr>
          <w:rFonts w:hint="eastAsia" w:ascii="仿宋_GB2312" w:hAnsi="Times New Roman" w:eastAsia="仿宋_GB2312" w:cs="Wingdings"/>
          <w:sz w:val="32"/>
          <w:szCs w:val="32"/>
        </w:rPr>
        <w:t>个、共</w:t>
      </w:r>
      <w:r>
        <w:rPr>
          <w:rFonts w:ascii="仿宋_GB2312" w:hAnsi="Times New Roman" w:eastAsia="仿宋_GB2312" w:cs="Wingdings"/>
          <w:sz w:val="32"/>
          <w:szCs w:val="32"/>
        </w:rPr>
        <w:t>0</w:t>
      </w:r>
      <w:r>
        <w:rPr>
          <w:rFonts w:hint="eastAsia" w:ascii="仿宋_GB2312" w:hAnsi="Times New Roman" w:eastAsia="仿宋_GB2312" w:cs="Wingdings"/>
          <w:sz w:val="32"/>
          <w:szCs w:val="32"/>
        </w:rPr>
        <w:t>人、参加其他单位组织的因公出国（境）团组</w:t>
      </w:r>
      <w:r>
        <w:rPr>
          <w:rFonts w:ascii="仿宋_GB2312" w:hAnsi="Times New Roman" w:eastAsia="仿宋_GB2312" w:cs="Wingdings"/>
          <w:sz w:val="32"/>
          <w:szCs w:val="32"/>
        </w:rPr>
        <w:t>0</w:t>
      </w:r>
      <w:r>
        <w:rPr>
          <w:rFonts w:hint="eastAsia" w:ascii="仿宋_GB2312" w:hAnsi="Times New Roman" w:eastAsia="仿宋_GB2312" w:cs="Wingdings"/>
          <w:sz w:val="32"/>
          <w:szCs w:val="32"/>
        </w:rPr>
        <w:t>个、共</w:t>
      </w:r>
      <w:r>
        <w:rPr>
          <w:rFonts w:ascii="仿宋_GB2312" w:hAnsi="Times New Roman" w:eastAsia="仿宋_GB2312" w:cs="Wingdings"/>
          <w:sz w:val="32"/>
          <w:szCs w:val="32"/>
        </w:rPr>
        <w:t>0</w:t>
      </w:r>
      <w:r>
        <w:rPr>
          <w:rFonts w:hint="eastAsia" w:ascii="仿宋_GB2312" w:hAnsi="Times New Roman" w:eastAsia="仿宋_GB2312" w:cs="Wingdings"/>
          <w:sz w:val="32"/>
          <w:szCs w:val="32"/>
        </w:rPr>
        <w:t>人/无本单位组织的出国（境）团组。因公出国（境）费支出较预算无增减。较上年相同。</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w:t>
      </w:r>
      <w:r>
        <w:rPr>
          <w:rFonts w:ascii="仿宋_GB2312" w:hAnsi="仿宋_GB2312" w:eastAsia="仿宋_GB2312" w:cs="仿宋_GB2312"/>
          <w:sz w:val="32"/>
          <w:szCs w:val="32"/>
        </w:rPr>
        <w:t>4.90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98.00</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较预算减少</w:t>
      </w:r>
      <w:r>
        <w:rPr>
          <w:rFonts w:ascii="仿宋_GB2312" w:hAnsi="Times New Roman" w:eastAsia="仿宋_GB2312" w:cs="Wingdings"/>
          <w:sz w:val="32"/>
          <w:szCs w:val="32"/>
        </w:rPr>
        <w:t>0.10</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2.00</w:t>
      </w:r>
      <w:r>
        <w:rPr>
          <w:rFonts w:hint="eastAsia" w:ascii="仿宋_GB2312" w:hAnsi="Times New Roman" w:eastAsia="仿宋_GB2312" w:cs="Wingdings"/>
          <w:sz w:val="32"/>
          <w:szCs w:val="32"/>
        </w:rPr>
        <w:t>%,主要是厉行节约，尽量减少三公开支。较上年减少</w:t>
      </w:r>
      <w:r>
        <w:rPr>
          <w:rFonts w:ascii="仿宋_GB2312" w:hAnsi="Times New Roman" w:eastAsia="仿宋_GB2312" w:cs="Wingdings"/>
          <w:sz w:val="32"/>
          <w:szCs w:val="32"/>
        </w:rPr>
        <w:t>0.07</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1.41</w:t>
      </w:r>
      <w:r>
        <w:rPr>
          <w:rFonts w:hint="eastAsia" w:ascii="仿宋_GB2312" w:hAnsi="Times New Roman" w:eastAsia="仿宋_GB2312" w:cs="Wingdings"/>
          <w:sz w:val="32"/>
          <w:szCs w:val="32"/>
        </w:rPr>
        <w:t>%,主要是部门严格开支，厉行节约。</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ascii="仿宋_GB2312" w:hAnsi="Times New Roman" w:eastAsia="仿宋_GB2312" w:cs="Wingdings"/>
          <w:sz w:val="32"/>
          <w:szCs w:val="32"/>
        </w:rPr>
        <w:t>0</w:t>
      </w:r>
      <w:r>
        <w:rPr>
          <w:rFonts w:hint="eastAsia" w:ascii="仿宋_GB2312" w:hAnsi="Times New Roman" w:eastAsia="仿宋_GB2312" w:cs="Wingdings"/>
          <w:sz w:val="32"/>
          <w:szCs w:val="32"/>
        </w:rPr>
        <w:t>辆，未发生“公务用车购置”经费支出。公务用车购置费支出与年初预算持平；与上年持平。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ascii="仿宋_GB2312" w:hAnsi="Times New Roman" w:eastAsia="仿宋_GB2312" w:cs="Wingdings"/>
          <w:sz w:val="32"/>
          <w:szCs w:val="32"/>
        </w:rPr>
        <w:t>2</w:t>
      </w:r>
      <w:r>
        <w:rPr>
          <w:rFonts w:hint="eastAsia" w:ascii="仿宋_GB2312" w:hAnsi="Times New Roman" w:eastAsia="仿宋_GB2312" w:cs="Wingdings"/>
          <w:sz w:val="32"/>
          <w:szCs w:val="32"/>
        </w:rPr>
        <w:t>辆,发生运行维护费支出</w:t>
      </w:r>
      <w:r>
        <w:rPr>
          <w:rFonts w:ascii="仿宋_GB2312" w:hAnsi="Times New Roman" w:eastAsia="仿宋_GB2312" w:cs="Wingdings"/>
          <w:sz w:val="32"/>
          <w:szCs w:val="32"/>
        </w:rPr>
        <w:t>4.90</w:t>
      </w:r>
      <w:r>
        <w:rPr>
          <w:rFonts w:hint="eastAsia" w:ascii="仿宋_GB2312" w:hAnsi="Times New Roman" w:eastAsia="仿宋_GB2312" w:cs="Wingdings"/>
          <w:sz w:val="32"/>
          <w:szCs w:val="32"/>
        </w:rPr>
        <w:t>万元。公车运行维护费支出较预算减少</w:t>
      </w:r>
      <w:r>
        <w:rPr>
          <w:rFonts w:ascii="仿宋_GB2312" w:hAnsi="Times New Roman" w:eastAsia="仿宋_GB2312" w:cs="Wingdings"/>
          <w:sz w:val="32"/>
          <w:szCs w:val="32"/>
        </w:rPr>
        <w:t>0.10</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2.00</w:t>
      </w:r>
      <w:r>
        <w:rPr>
          <w:rFonts w:hint="eastAsia" w:ascii="仿宋_GB2312" w:hAnsi="Times New Roman" w:eastAsia="仿宋_GB2312" w:cs="Wingdings"/>
          <w:sz w:val="32"/>
          <w:szCs w:val="32"/>
        </w:rPr>
        <w:t>%,主要是部门严格开支，厉行节约；较上年减少0</w:t>
      </w:r>
      <w:r>
        <w:rPr>
          <w:rFonts w:ascii="仿宋_GB2312" w:hAnsi="Times New Roman" w:eastAsia="仿宋_GB2312" w:cs="Wingdings"/>
          <w:sz w:val="32"/>
          <w:szCs w:val="32"/>
        </w:rPr>
        <w:t>.07</w:t>
      </w:r>
      <w:r>
        <w:rPr>
          <w:rFonts w:hint="eastAsia" w:ascii="仿宋_GB2312" w:hAnsi="Times New Roman" w:eastAsia="仿宋_GB2312" w:cs="Wingdings"/>
          <w:sz w:val="32"/>
          <w:szCs w:val="32"/>
        </w:rPr>
        <w:t>万元，降低</w:t>
      </w:r>
      <w:r>
        <w:rPr>
          <w:rFonts w:ascii="仿宋_GB2312" w:hAnsi="Times New Roman" w:eastAsia="仿宋_GB2312" w:cs="Wingdings"/>
          <w:sz w:val="32"/>
          <w:szCs w:val="32"/>
        </w:rPr>
        <w:t>1.41</w:t>
      </w:r>
      <w:r>
        <w:rPr>
          <w:rFonts w:hint="eastAsia" w:ascii="仿宋_GB2312" w:hAnsi="Times New Roman" w:eastAsia="仿宋_GB2312" w:cs="Wingdings"/>
          <w:sz w:val="32"/>
          <w:szCs w:val="32"/>
        </w:rPr>
        <w:t>%，主要原因与上相同。</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本部门2020年公务接待支出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%。发生</w:t>
      </w:r>
      <w:r>
        <w:rPr>
          <w:rFonts w:hint="eastAsia" w:ascii="仿宋_GB2312" w:hAnsi="Times New Roman" w:eastAsia="仿宋_GB2312" w:cs="Wingdings"/>
          <w:sz w:val="32"/>
          <w:szCs w:val="32"/>
        </w:rPr>
        <w:t>公务接待共</w:t>
      </w:r>
      <w:r>
        <w:rPr>
          <w:rFonts w:ascii="仿宋_GB2312" w:hAnsi="Times New Roman" w:eastAsia="仿宋_GB2312" w:cs="Wingdings"/>
          <w:sz w:val="32"/>
          <w:szCs w:val="32"/>
        </w:rPr>
        <w:t>0</w:t>
      </w:r>
      <w:r>
        <w:rPr>
          <w:rFonts w:hint="eastAsia" w:ascii="仿宋_GB2312" w:hAnsi="Times New Roman" w:eastAsia="仿宋_GB2312" w:cs="Wingdings"/>
          <w:sz w:val="32"/>
          <w:szCs w:val="32"/>
        </w:rPr>
        <w:t>批次、</w:t>
      </w:r>
      <w:r>
        <w:rPr>
          <w:rFonts w:ascii="仿宋_GB2312" w:hAnsi="Times New Roman" w:eastAsia="仿宋_GB2312" w:cs="Wingdings"/>
          <w:sz w:val="32"/>
          <w:szCs w:val="32"/>
        </w:rPr>
        <w:t>0</w:t>
      </w:r>
      <w:r>
        <w:rPr>
          <w:rFonts w:hint="eastAsia" w:ascii="仿宋_GB2312" w:hAnsi="Times New Roman" w:eastAsia="仿宋_GB2312" w:cs="Wingdings"/>
          <w:sz w:val="32"/>
          <w:szCs w:val="32"/>
        </w:rPr>
        <w:t>人次。公务接待费支出较预算减少0</w:t>
      </w:r>
      <w:r>
        <w:rPr>
          <w:rFonts w:ascii="仿宋_GB2312" w:hAnsi="Times New Roman" w:eastAsia="仿宋_GB2312" w:cs="Wingdings"/>
          <w:sz w:val="32"/>
          <w:szCs w:val="32"/>
        </w:rPr>
        <w:t>.47</w:t>
      </w:r>
      <w:r>
        <w:rPr>
          <w:rFonts w:hint="eastAsia" w:ascii="仿宋_GB2312" w:hAnsi="Times New Roman" w:eastAsia="仿宋_GB2312" w:cs="Wingdings"/>
          <w:sz w:val="32"/>
          <w:szCs w:val="32"/>
        </w:rPr>
        <w:t>万元；与上年度支出持平，均为0万元。</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根据预算绩效管理要求，本部门组织对2020年度项目支出全面开展绩效自评，其中，二级项目</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个，共涉及资金</w:t>
      </w:r>
      <w:r>
        <w:rPr>
          <w:rFonts w:ascii="仿宋_GB2312" w:hAnsi="仿宋_GB2312" w:eastAsia="仿宋_GB2312" w:cs="仿宋_GB2312"/>
          <w:sz w:val="32"/>
          <w:szCs w:val="32"/>
        </w:rPr>
        <w:t>31.24</w:t>
      </w:r>
      <w:r>
        <w:rPr>
          <w:rFonts w:hint="eastAsia" w:ascii="仿宋_GB2312" w:hAnsi="仿宋_GB2312" w:eastAsia="仿宋_GB2312" w:cs="仿宋_GB2312"/>
          <w:sz w:val="32"/>
          <w:szCs w:val="32"/>
        </w:rPr>
        <w:t>万元，占一般公共预算项目支出总额的</w:t>
      </w:r>
      <w:r>
        <w:rPr>
          <w:rFonts w:ascii="仿宋_GB2312" w:hAnsi="仿宋_GB2312" w:eastAsia="仿宋_GB2312" w:cs="仿宋_GB2312"/>
          <w:sz w:val="32"/>
          <w:szCs w:val="32"/>
        </w:rPr>
        <w:t>260.33</w:t>
      </w:r>
      <w:r>
        <w:rPr>
          <w:rFonts w:hint="eastAsia" w:ascii="仿宋_GB2312" w:hAnsi="仿宋_GB2312" w:eastAsia="仿宋_GB2312" w:cs="仿宋_GB2312"/>
          <w:sz w:val="32"/>
          <w:szCs w:val="32"/>
        </w:rPr>
        <w:t>%；政府性基金预算一级项目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个，二级项目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个,共涉及资金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万元，占政府性基金预算项目支出总额的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仿宋_GB2312" w:eastAsia="仿宋_GB2312" w:cs="仿宋_GB2312"/>
          <w:sz w:val="32"/>
          <w:szCs w:val="32"/>
        </w:rPr>
        <w:t>组织对“政法专网光纤租用”二级项目开展了部门评价，涉及一般公共预算支出</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万元。其中，对“铁路护路工作”“反邪教工作”等项目开展绩效评价。从评价情况来看，</w:t>
      </w:r>
      <w:r>
        <w:rPr>
          <w:rFonts w:hint="eastAsia" w:ascii="仿宋_GB2312" w:hAnsi="Times New Roman" w:eastAsia="仿宋_GB2312"/>
          <w:sz w:val="32"/>
          <w:szCs w:val="32"/>
        </w:rPr>
        <w:t>本部门20</w:t>
      </w:r>
      <w:r>
        <w:rPr>
          <w:rFonts w:ascii="仿宋_GB2312" w:hAnsi="Times New Roman" w:eastAsia="仿宋_GB2312"/>
          <w:sz w:val="32"/>
          <w:szCs w:val="32"/>
        </w:rPr>
        <w:t>20</w:t>
      </w:r>
      <w:r>
        <w:rPr>
          <w:rFonts w:hint="eastAsia" w:ascii="仿宋_GB2312" w:hAnsi="Times New Roman" w:eastAsia="仿宋_GB2312"/>
          <w:sz w:val="32"/>
          <w:szCs w:val="32"/>
        </w:rPr>
        <w:t>年度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本部门在今年部门决算公开中反映反邪教工作项目、铁路护路项目、政法专网光纤租用、综治中心建设等4个项目绩效自评结果。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反邪教工作项目自评综述：根据年初设定的绩效目标，该项目绩效自评得分为100分。全年预算数为</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万元，完成预算的100%。项目绩效目标完成情况：推进反邪教工作深入开展，维护社会政治大局稳定。</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铁路护路工作项目绩效自评综述：根据年初设定的绩效目标，该项目绩效自评得分为100分。全年预算数为</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万元，完成预算的100%。项目绩效目标完成情况：有效化解妥善处置重大不稳定涉路隐患，确保铁路运输安全，有效维护我区社会大局稳定，确保社会秩序良好。</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政法专网光纤租用工作项目绩效自评综述：根据年初设定的绩效目标，该项目绩效自评得分为100分。全年预算数为</w:t>
      </w:r>
      <w:r>
        <w:rPr>
          <w:rFonts w:ascii="仿宋_GB2312" w:hAnsi="仿宋_GB2312" w:eastAsia="仿宋_GB2312" w:cs="仿宋_GB2312"/>
          <w:sz w:val="32"/>
          <w:szCs w:val="32"/>
        </w:rPr>
        <w:t>12.00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12.00</w:t>
      </w:r>
      <w:r>
        <w:rPr>
          <w:rFonts w:hint="eastAsia" w:ascii="仿宋_GB2312" w:hAnsi="仿宋_GB2312" w:eastAsia="仿宋_GB2312" w:cs="仿宋_GB2312"/>
          <w:sz w:val="32"/>
          <w:szCs w:val="32"/>
        </w:rPr>
        <w:t>万元，完成预算的100%。项目绩效目标完成情况：各项创新社会管理工作有效开展，为社会稳定提供新管理模式。</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综治中心工作项目绩效自评综述：根据年初设定的绩效目标，该项目绩效自评得分为100分。全年预算数为</w:t>
      </w:r>
      <w:r>
        <w:rPr>
          <w:rFonts w:ascii="仿宋_GB2312" w:hAnsi="宋体" w:eastAsia="仿宋_GB2312" w:cs="宋体"/>
          <w:color w:val="000000"/>
          <w:sz w:val="28"/>
          <w:szCs w:val="28"/>
        </w:rPr>
        <w:t>1.25</w:t>
      </w:r>
      <w:r>
        <w:rPr>
          <w:rFonts w:hint="eastAsia" w:ascii="仿宋_GB2312" w:hAnsi="仿宋_GB2312" w:eastAsia="仿宋_GB2312" w:cs="仿宋_GB2312"/>
          <w:sz w:val="32"/>
          <w:szCs w:val="32"/>
        </w:rPr>
        <w:t>万元，执行数为</w:t>
      </w:r>
      <w:r>
        <w:rPr>
          <w:rFonts w:ascii="仿宋_GB2312" w:hAnsi="宋体" w:eastAsia="仿宋_GB2312" w:cs="宋体"/>
          <w:color w:val="000000"/>
          <w:sz w:val="28"/>
          <w:szCs w:val="28"/>
        </w:rPr>
        <w:t>1.25</w:t>
      </w:r>
      <w:r>
        <w:rPr>
          <w:rFonts w:hint="eastAsia" w:ascii="仿宋_GB2312" w:hAnsi="仿宋_GB2312" w:eastAsia="仿宋_GB2312" w:cs="仿宋_GB2312"/>
          <w:sz w:val="32"/>
          <w:szCs w:val="32"/>
        </w:rPr>
        <w:t>万元，完成预算的100%。项目绩效目标完成情况：完成了我区公安安全视频图像信息共享平台及配套云存储，机房建设，与辖区重点领域、行业、部门单位视频监控平台对接，实现行业和社会视频监控资源的平台介入。</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（三）财政评价项目绩效评价结果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ascii="仿宋_GB2312" w:hAnsi="仿宋_GB2312" w:eastAsia="仿宋_GB2312" w:cs="仿宋_GB2312"/>
          <w:sz w:val="32"/>
          <w:szCs w:val="32"/>
        </w:rPr>
        <w:t>6.34</w:t>
      </w:r>
      <w:r>
        <w:rPr>
          <w:rFonts w:hint="eastAsia" w:ascii="仿宋_GB2312" w:hAnsi="仿宋_GB2312" w:eastAsia="仿宋_GB2312" w:cs="仿宋_GB2312"/>
          <w:sz w:val="32"/>
          <w:szCs w:val="32"/>
        </w:rPr>
        <w:t>万元，比2019年度增加</w:t>
      </w:r>
      <w:r>
        <w:rPr>
          <w:rFonts w:ascii="仿宋_GB2312" w:hAnsi="仿宋_GB2312" w:eastAsia="仿宋_GB2312" w:cs="仿宋_GB2312"/>
          <w:sz w:val="32"/>
          <w:szCs w:val="32"/>
        </w:rPr>
        <w:t>0.12</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1.93</w:t>
      </w:r>
      <w:r>
        <w:rPr>
          <w:rFonts w:hint="eastAsia" w:ascii="仿宋_GB2312" w:hAnsi="仿宋_GB2312" w:eastAsia="仿宋_GB2312" w:cs="仿宋_GB2312"/>
          <w:sz w:val="32"/>
          <w:szCs w:val="32"/>
        </w:rPr>
        <w:t>%。主要原因是办公费支出较去年增多。</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ascii="仿宋_GB2312" w:hAnsi="仿宋_GB2312" w:eastAsia="仿宋_GB2312" w:cs="仿宋_GB2312"/>
          <w:color w:val="000000"/>
          <w:kern w:val="0"/>
          <w:sz w:val="32"/>
          <w:szCs w:val="32"/>
          <w:lang w:bidi="ar"/>
        </w:rPr>
        <w:t>0</w:t>
      </w:r>
      <w:r>
        <w:rPr>
          <w:rFonts w:hint="eastAsia" w:ascii="仿宋_GB2312" w:hAnsi="仿宋_GB2312" w:eastAsia="仿宋_GB2312" w:cs="仿宋_GB2312"/>
          <w:color w:val="000000"/>
          <w:kern w:val="0"/>
          <w:sz w:val="32"/>
          <w:szCs w:val="32"/>
          <w:lang w:bidi="ar"/>
        </w:rPr>
        <w:t xml:space="preserve"> 万元、政府采购工程支出</w:t>
      </w:r>
      <w:r>
        <w:rPr>
          <w:rFonts w:ascii="仿宋_GB2312" w:hAnsi="仿宋_GB2312" w:eastAsia="仿宋_GB2312" w:cs="仿宋_GB2312"/>
          <w:color w:val="000000"/>
          <w:kern w:val="0"/>
          <w:sz w:val="32"/>
          <w:szCs w:val="32"/>
          <w:lang w:bidi="ar"/>
        </w:rPr>
        <w:t>0</w:t>
      </w:r>
      <w:r>
        <w:rPr>
          <w:rFonts w:hint="eastAsia" w:ascii="仿宋_GB2312" w:hAnsi="仿宋_GB2312" w:eastAsia="仿宋_GB2312" w:cs="仿宋_GB2312"/>
          <w:color w:val="000000"/>
          <w:kern w:val="0"/>
          <w:sz w:val="32"/>
          <w:szCs w:val="32"/>
          <w:lang w:bidi="ar"/>
        </w:rPr>
        <w:t>万元、政府采购服务支出</w:t>
      </w:r>
      <w:r>
        <w:rPr>
          <w:rFonts w:ascii="仿宋_GB2312" w:hAnsi="仿宋_GB2312" w:eastAsia="仿宋_GB2312" w:cs="仿宋_GB2312"/>
          <w:color w:val="000000"/>
          <w:kern w:val="0"/>
          <w:sz w:val="32"/>
          <w:szCs w:val="32"/>
          <w:lang w:bidi="ar"/>
        </w:rPr>
        <w:t>0</w:t>
      </w:r>
      <w:r>
        <w:rPr>
          <w:rFonts w:hint="eastAsia" w:ascii="仿宋_GB2312" w:hAnsi="仿宋_GB2312" w:eastAsia="仿宋_GB2312" w:cs="仿宋_GB2312"/>
          <w:color w:val="000000"/>
          <w:kern w:val="0"/>
          <w:sz w:val="32"/>
          <w:szCs w:val="32"/>
          <w:lang w:bidi="ar"/>
        </w:rPr>
        <w:t>万元。授予中小企业合同金</w:t>
      </w:r>
      <w:r>
        <w:rPr>
          <w:rFonts w:ascii="仿宋_GB2312" w:hAnsi="仿宋_GB2312" w:eastAsia="仿宋_GB2312" w:cs="仿宋_GB2312"/>
          <w:color w:val="000000"/>
          <w:kern w:val="0"/>
          <w:sz w:val="32"/>
          <w:szCs w:val="32"/>
          <w:lang w:bidi="ar"/>
        </w:rPr>
        <w:t>0</w:t>
      </w:r>
      <w:r>
        <w:rPr>
          <w:rFonts w:hint="eastAsia" w:ascii="仿宋_GB2312" w:hAnsi="仿宋_GB2312" w:eastAsia="仿宋_GB2312" w:cs="仿宋_GB2312"/>
          <w:color w:val="000000"/>
          <w:kern w:val="0"/>
          <w:sz w:val="32"/>
          <w:szCs w:val="32"/>
          <w:lang w:bidi="ar"/>
        </w:rPr>
        <w:t>万元，其中授予小微企业合同金额</w:t>
      </w:r>
      <w:r>
        <w:rPr>
          <w:rFonts w:ascii="仿宋_GB2312" w:hAnsi="仿宋_GB2312" w:eastAsia="仿宋_GB2312" w:cs="仿宋_GB2312"/>
          <w:color w:val="000000"/>
          <w:kern w:val="0"/>
          <w:sz w:val="32"/>
          <w:szCs w:val="32"/>
          <w:lang w:bidi="ar"/>
        </w:rPr>
        <w:t>0</w:t>
      </w:r>
      <w:r>
        <w:rPr>
          <w:rFonts w:hint="eastAsia" w:ascii="仿宋_GB2312" w:hAnsi="仿宋_GB2312" w:eastAsia="仿宋_GB2312" w:cs="仿宋_GB2312"/>
          <w:color w:val="000000"/>
          <w:kern w:val="0"/>
          <w:sz w:val="32"/>
          <w:szCs w:val="32"/>
          <w:lang w:bidi="ar"/>
        </w:rPr>
        <w:t>万元。</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辆，与上年持平。其中机要通信用车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辆，应急保障1辆。</w:t>
      </w:r>
      <w:r>
        <w:rPr>
          <w:rFonts w:hint="eastAsia" w:ascii="仿宋_GB2312" w:hAnsi="宋体" w:eastAsia="仿宋_GB2312" w:cs="宋体"/>
          <w:sz w:val="32"/>
          <w:szCs w:val="32"/>
        </w:rPr>
        <w:t>固定资产总额为</w:t>
      </w:r>
      <w:r>
        <w:rPr>
          <w:rFonts w:ascii="仿宋_GB2312" w:hAnsi="宋体" w:eastAsia="仿宋_GB2312" w:cs="宋体"/>
          <w:sz w:val="28"/>
          <w:szCs w:val="28"/>
        </w:rPr>
        <w:t>73.57</w:t>
      </w:r>
      <w:r>
        <w:rPr>
          <w:rFonts w:hint="eastAsia" w:ascii="仿宋_GB2312" w:hAnsi="仿宋" w:eastAsia="仿宋_GB2312" w:cs="仿宋"/>
          <w:sz w:val="32"/>
          <w:szCs w:val="32"/>
        </w:rPr>
        <w:t>万元，通用设备资产总值5</w:t>
      </w:r>
      <w:r>
        <w:rPr>
          <w:rFonts w:ascii="仿宋_GB2312" w:hAnsi="仿宋" w:eastAsia="仿宋_GB2312" w:cs="仿宋"/>
          <w:sz w:val="32"/>
          <w:szCs w:val="32"/>
        </w:rPr>
        <w:t>3.28</w:t>
      </w:r>
      <w:r>
        <w:rPr>
          <w:rFonts w:hint="eastAsia" w:ascii="仿宋_GB2312" w:hAnsi="仿宋" w:eastAsia="仿宋_GB2312" w:cs="仿宋"/>
          <w:sz w:val="32"/>
          <w:szCs w:val="32"/>
        </w:rPr>
        <w:t>万元，家具、用具、装具等资产总值</w:t>
      </w:r>
      <w:r>
        <w:rPr>
          <w:rFonts w:ascii="仿宋_GB2312" w:hAnsi="仿宋" w:eastAsia="仿宋_GB2312" w:cs="仿宋"/>
          <w:sz w:val="32"/>
          <w:szCs w:val="32"/>
        </w:rPr>
        <w:t>20.29</w:t>
      </w:r>
      <w:r>
        <w:rPr>
          <w:rFonts w:hint="eastAsia" w:ascii="仿宋_GB2312" w:hAnsi="仿宋" w:eastAsia="仿宋_GB2312" w:cs="仿宋"/>
          <w:sz w:val="32"/>
          <w:szCs w:val="32"/>
        </w:rPr>
        <w:t>万元。</w:t>
      </w:r>
      <w:r>
        <w:rPr>
          <w:rFonts w:hint="eastAsia" w:ascii="仿宋_GB2312" w:hAnsi="仿宋_GB2312" w:eastAsia="仿宋_GB2312" w:cs="仿宋_GB2312"/>
          <w:sz w:val="32"/>
          <w:szCs w:val="32"/>
        </w:rPr>
        <w:t>单位价值50万元以上通用设备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台（套），与上年持平 ，单位价值100万元以上专用设备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台（套），与上年持平。</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after="160" w:line="52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2020</w:t>
      </w:r>
      <w:r>
        <w:rPr>
          <w:rFonts w:hint="eastAsia" w:ascii="仿宋_GB2312" w:hAnsi="Times New Roman" w:eastAsia="仿宋_GB2312" w:cs="DengXian-Regular"/>
          <w:sz w:val="32"/>
          <w:szCs w:val="32"/>
        </w:rPr>
        <w:t>年度无收支及结转结余情况。</w:t>
      </w:r>
    </w:p>
    <w:p>
      <w:pPr>
        <w:adjustRightInd w:val="0"/>
        <w:snapToGrid w:val="0"/>
        <w:spacing w:after="160" w:line="520" w:lineRule="exact"/>
        <w:ind w:firstLine="640" w:firstLineChars="200"/>
        <w:rPr>
          <w:rFonts w:ascii="仿宋_GB2312" w:hAnsi="仿宋" w:eastAsia="仿宋_GB2312" w:cs="仿宋"/>
          <w:sz w:val="32"/>
          <w:szCs w:val="32"/>
        </w:rPr>
      </w:pPr>
      <w:r>
        <w:rPr>
          <w:rFonts w:hint="eastAsia" w:ascii="仿宋_GB2312" w:hAnsi="Times New Roman" w:eastAsia="仿宋_GB2312" w:cs="DengXian-Regular"/>
          <w:sz w:val="32"/>
          <w:szCs w:val="32"/>
        </w:rPr>
        <w:t>2、</w:t>
      </w:r>
      <w:r>
        <w:rPr>
          <w:rFonts w:hint="eastAsia" w:ascii="仿宋_GB2312" w:hAnsi="仿宋" w:eastAsia="仿宋_GB2312" w:cs="仿宋"/>
          <w:sz w:val="32"/>
          <w:szCs w:val="32"/>
        </w:rPr>
        <w:t>本部门无国有资本经营预算及政府采购情况，空表列示。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4"/>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4384"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4384;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2999"/>
        <w:gridCol w:w="932"/>
        <w:gridCol w:w="686"/>
        <w:gridCol w:w="4817"/>
      </w:tblGrid>
      <w:tr>
        <w:tblPrEx>
          <w:tblCellMar>
            <w:top w:w="0" w:type="dxa"/>
            <w:left w:w="0" w:type="dxa"/>
            <w:bottom w:w="0" w:type="dxa"/>
            <w:right w:w="0" w:type="dxa"/>
          </w:tblCellMar>
        </w:tblPrEx>
        <w:trPr>
          <w:trHeight w:val="882" w:hRule="atLeast"/>
          <w:jc w:val="center"/>
        </w:trPr>
        <w:tc>
          <w:tcPr>
            <w:tcW w:w="9434" w:type="dxa"/>
            <w:gridSpan w:val="4"/>
            <w:tcBorders>
              <w:top w:val="nil"/>
              <w:left w:val="nil"/>
              <w:bottom w:val="nil"/>
              <w:right w:val="nil"/>
            </w:tcBorders>
            <w:shd w:val="clear" w:color="auto" w:fill="auto"/>
            <w:noWrap/>
            <w:tcMar>
              <w:top w:w="15" w:type="dxa"/>
              <w:left w:w="15" w:type="dxa"/>
              <w:right w:w="15" w:type="dxa"/>
            </w:tcMar>
            <w:vAlign w:val="bottom"/>
          </w:tcPr>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部门：中共保定市满城区委政法委员会</w:t>
                  </w: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kern w:val="0"/>
                      <w:sz w:val="18"/>
                      <w:szCs w:val="18"/>
                      <w:lang w:bidi="ar"/>
                    </w:rPr>
                    <w:t>2</w:t>
                  </w:r>
                  <w:r>
                    <w:rPr>
                      <w:rFonts w:ascii="宋体" w:hAnsi="宋体" w:eastAsia="宋体" w:cs="宋体"/>
                      <w:color w:val="000000"/>
                      <w:kern w:val="0"/>
                      <w:sz w:val="18"/>
                      <w:szCs w:val="18"/>
                      <w:lang w:bidi="ar"/>
                    </w:rPr>
                    <w:t>33.40</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 w:val="18"/>
                      <w:szCs w:val="18"/>
                      <w:lang w:bidi="ar"/>
                    </w:rPr>
                    <w:t>1</w:t>
                  </w:r>
                  <w:r>
                    <w:rPr>
                      <w:rFonts w:ascii="宋体" w:hAnsi="宋体" w:eastAsia="宋体" w:cs="宋体"/>
                      <w:color w:val="000000"/>
                      <w:kern w:val="0"/>
                      <w:sz w:val="18"/>
                      <w:szCs w:val="18"/>
                      <w:lang w:bidi="ar"/>
                    </w:rPr>
                    <w:t>93.67</w:t>
                  </w: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kern w:val="0"/>
                      <w:sz w:val="18"/>
                      <w:szCs w:val="18"/>
                      <w:lang w:bidi="ar"/>
                    </w:rPr>
                    <w:t>2</w:t>
                  </w:r>
                  <w:r>
                    <w:rPr>
                      <w:rFonts w:ascii="宋体" w:hAnsi="宋体" w:eastAsia="宋体" w:cs="宋体"/>
                      <w:color w:val="000000"/>
                      <w:kern w:val="0"/>
                      <w:sz w:val="18"/>
                      <w:szCs w:val="18"/>
                      <w:lang w:bidi="ar"/>
                    </w:rPr>
                    <w:t>2.74</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kern w:val="0"/>
                      <w:sz w:val="18"/>
                      <w:szCs w:val="18"/>
                      <w:lang w:bidi="ar"/>
                    </w:rPr>
                    <w:t>7</w:t>
                  </w:r>
                  <w:r>
                    <w:rPr>
                      <w:rFonts w:ascii="宋体" w:hAnsi="宋体" w:eastAsia="宋体" w:cs="宋体"/>
                      <w:color w:val="000000"/>
                      <w:kern w:val="0"/>
                      <w:sz w:val="18"/>
                      <w:szCs w:val="18"/>
                      <w:lang w:bidi="ar"/>
                    </w:rPr>
                    <w:t>.34</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kern w:val="0"/>
                      <w:sz w:val="18"/>
                      <w:szCs w:val="18"/>
                      <w:lang w:bidi="ar"/>
                    </w:rPr>
                    <w:t>9</w:t>
                  </w:r>
                  <w:r>
                    <w:rPr>
                      <w:rFonts w:ascii="宋体" w:hAnsi="宋体" w:eastAsia="宋体" w:cs="宋体"/>
                      <w:color w:val="000000"/>
                      <w:kern w:val="0"/>
                      <w:sz w:val="18"/>
                      <w:szCs w:val="18"/>
                      <w:lang w:bidi="ar"/>
                    </w:rPr>
                    <w:t>.65</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22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kern w:val="0"/>
                      <w:sz w:val="18"/>
                      <w:szCs w:val="18"/>
                      <w:lang w:bidi="ar"/>
                    </w:rPr>
                    <w:t>2</w:t>
                  </w:r>
                  <w:r>
                    <w:rPr>
                      <w:rFonts w:ascii="宋体" w:hAnsi="宋体" w:eastAsia="宋体" w:cs="宋体"/>
                      <w:color w:val="000000"/>
                      <w:kern w:val="0"/>
                      <w:sz w:val="18"/>
                      <w:szCs w:val="18"/>
                      <w:lang w:bidi="ar"/>
                    </w:rPr>
                    <w:t>33.40</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kern w:val="0"/>
                      <w:sz w:val="18"/>
                      <w:szCs w:val="18"/>
                      <w:lang w:bidi="ar"/>
                    </w:rPr>
                    <w:t>2</w:t>
                  </w:r>
                  <w:r>
                    <w:rPr>
                      <w:rFonts w:ascii="宋体" w:hAnsi="宋体" w:eastAsia="宋体" w:cs="宋体"/>
                      <w:color w:val="000000"/>
                      <w:kern w:val="0"/>
                      <w:sz w:val="18"/>
                      <w:szCs w:val="18"/>
                      <w:lang w:bidi="ar"/>
                    </w:rPr>
                    <w:t>33.40</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kern w:val="0"/>
                      <w:sz w:val="18"/>
                      <w:szCs w:val="18"/>
                      <w:lang w:bidi="ar"/>
                    </w:rPr>
                    <w:t>2</w:t>
                  </w:r>
                  <w:r>
                    <w:rPr>
                      <w:rFonts w:ascii="宋体" w:hAnsi="宋体" w:eastAsia="宋体" w:cs="宋体"/>
                      <w:color w:val="000000"/>
                      <w:kern w:val="0"/>
                      <w:sz w:val="18"/>
                      <w:szCs w:val="18"/>
                      <w:lang w:bidi="ar"/>
                    </w:rPr>
                    <w:t>33.40</w:t>
                  </w: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kern w:val="0"/>
                      <w:sz w:val="18"/>
                      <w:szCs w:val="18"/>
                      <w:lang w:bidi="ar"/>
                    </w:rPr>
                    <w:t>2</w:t>
                  </w:r>
                  <w:r>
                    <w:rPr>
                      <w:rFonts w:ascii="宋体" w:hAnsi="宋体" w:eastAsia="宋体" w:cs="宋体"/>
                      <w:color w:val="000000"/>
                      <w:kern w:val="0"/>
                      <w:sz w:val="18"/>
                      <w:szCs w:val="18"/>
                      <w:lang w:bidi="ar"/>
                    </w:rPr>
                    <w:t>33.40</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sz w:val="20"/>
                      <w:szCs w:val="20"/>
                    </w:rPr>
                    <w:t>注：本表反映部门（或单位）本年度的总收支和年末结转结余情况。本套报表金额单位转换时可能存在尾数误差。</w:t>
                  </w:r>
                </w:p>
              </w:tc>
            </w:tr>
          </w:tbl>
          <w:p>
            <w:pPr>
              <w:spacing w:line="400" w:lineRule="exact"/>
              <w:jc w:val="both"/>
              <w:rPr>
                <w:rFonts w:hint="eastAsia" w:ascii="黑体" w:hAnsi="宋体" w:eastAsia="黑体" w:cs="黑体"/>
                <w:color w:val="000000"/>
                <w:sz w:val="28"/>
                <w:szCs w:val="28"/>
                <w:lang w:eastAsia="zh-CN"/>
              </w:rPr>
            </w:pPr>
          </w:p>
        </w:tc>
      </w:tr>
      <w:tr>
        <w:tblPrEx>
          <w:tblCellMar>
            <w:top w:w="0" w:type="dxa"/>
            <w:left w:w="0" w:type="dxa"/>
            <w:bottom w:w="0" w:type="dxa"/>
            <w:right w:w="0" w:type="dxa"/>
          </w:tblCellMar>
        </w:tblPrEx>
        <w:trPr>
          <w:trHeight w:val="209" w:hRule="atLeast"/>
          <w:jc w:val="center"/>
        </w:trPr>
        <w:tc>
          <w:tcPr>
            <w:tcW w:w="2999"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932"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p>
        </w:tc>
      </w:tr>
    </w:tbl>
    <w:tbl>
      <w:tblPr>
        <w:tblStyle w:val="5"/>
        <w:tblW w:w="10938" w:type="dxa"/>
        <w:jc w:val="center"/>
        <w:tblLayout w:type="fixed"/>
        <w:tblCellMar>
          <w:top w:w="0" w:type="dxa"/>
          <w:left w:w="0" w:type="dxa"/>
          <w:bottom w:w="0" w:type="dxa"/>
          <w:right w:w="0" w:type="dxa"/>
        </w:tblCellMar>
      </w:tblPr>
      <w:tblGrid>
        <w:gridCol w:w="1134"/>
        <w:gridCol w:w="2016"/>
        <w:gridCol w:w="50"/>
        <w:gridCol w:w="678"/>
        <w:gridCol w:w="1651"/>
        <w:gridCol w:w="992"/>
        <w:gridCol w:w="850"/>
        <w:gridCol w:w="709"/>
        <w:gridCol w:w="567"/>
        <w:gridCol w:w="363"/>
        <w:gridCol w:w="189"/>
        <w:gridCol w:w="61"/>
        <w:gridCol w:w="248"/>
        <w:gridCol w:w="308"/>
        <w:gridCol w:w="39"/>
        <w:gridCol w:w="427"/>
        <w:gridCol w:w="656"/>
      </w:tblGrid>
      <w:tr>
        <w:trPr>
          <w:gridAfter w:val="1"/>
          <w:wAfter w:w="656" w:type="dxa"/>
          <w:trHeight w:val="670" w:hRule="atLeast"/>
          <w:jc w:val="center"/>
        </w:trPr>
        <w:tc>
          <w:tcPr>
            <w:tcW w:w="10282" w:type="dxa"/>
            <w:gridSpan w:val="16"/>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315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4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39"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8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315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bidi="ar"/>
              </w:rPr>
              <w:t>中共保定市满城区委政法委员会</w:t>
            </w: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4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39"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30"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gridAfter w:val="1"/>
          <w:wAfter w:w="656" w:type="dxa"/>
          <w:trHeight w:val="385" w:hRule="atLeast"/>
          <w:jc w:val="center"/>
        </w:trPr>
        <w:tc>
          <w:tcPr>
            <w:tcW w:w="552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9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7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56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552"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617" w:type="dxa"/>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466"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gridAfter w:val="1"/>
          <w:wAfter w:w="656" w:type="dxa"/>
          <w:trHeight w:val="380" w:hRule="atLeast"/>
          <w:jc w:val="center"/>
        </w:trPr>
        <w:tc>
          <w:tcPr>
            <w:tcW w:w="113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4395"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5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17"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66"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gridAfter w:val="1"/>
          <w:wAfter w:w="656" w:type="dxa"/>
          <w:trHeight w:val="380" w:hRule="atLeast"/>
          <w:jc w:val="center"/>
        </w:trPr>
        <w:tc>
          <w:tcPr>
            <w:tcW w:w="113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395"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7"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66"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0" w:hRule="atLeast"/>
          <w:jc w:val="center"/>
        </w:trPr>
        <w:tc>
          <w:tcPr>
            <w:tcW w:w="113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395"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7"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66"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552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1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46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gridAfter w:val="1"/>
          <w:wAfter w:w="656" w:type="dxa"/>
          <w:trHeight w:val="385" w:hRule="atLeast"/>
          <w:jc w:val="center"/>
        </w:trPr>
        <w:tc>
          <w:tcPr>
            <w:tcW w:w="552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cs="Arial"/>
                <w:b/>
                <w:bCs/>
                <w:color w:val="000000"/>
                <w:sz w:val="22"/>
                <w:szCs w:val="22"/>
              </w:rPr>
              <w:t>233.40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cs="Arial"/>
                <w:b/>
                <w:bCs/>
                <w:color w:val="000000"/>
                <w:sz w:val="22"/>
                <w:szCs w:val="22"/>
              </w:rPr>
              <w:t>233.40</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201</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一般公共服务支出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193.67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193.67</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20131</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党委办公厅（室）及相关机构事务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193.67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193.67</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2013101</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 xml:space="preserve">  行政运行</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162.43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162.43</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2013102</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 xml:space="preserve">  一般行政管理事务</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31.24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31.24</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208</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社会保障和就业支出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22.74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22.74</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20805</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行政事业单位养老支出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22.74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22.74</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2080501</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 xml:space="preserve">  行政单位离退休</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1.70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1.70</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2080505</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 xml:space="preserve">  机关事业单位基本养老保险缴费支出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21.04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21.04</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210</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卫生健康支出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7.34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7.34</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21011</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行政事业单位医疗</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7.34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cs="Arial"/>
                <w:color w:val="000000"/>
                <w:sz w:val="22"/>
                <w:szCs w:val="22"/>
              </w:rPr>
              <w:t>7.34</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2101101</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 xml:space="preserve">  行政单位医疗</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Arial"/>
                <w:color w:val="000000"/>
                <w:sz w:val="22"/>
                <w:szCs w:val="22"/>
              </w:rPr>
            </w:pPr>
            <w:r>
              <w:rPr>
                <w:rFonts w:hint="eastAsia" w:cs="Arial"/>
                <w:color w:val="000000"/>
                <w:sz w:val="22"/>
                <w:szCs w:val="22"/>
              </w:rPr>
              <w:t>7.34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Arial"/>
                <w:color w:val="000000"/>
                <w:sz w:val="22"/>
                <w:szCs w:val="22"/>
              </w:rPr>
            </w:pPr>
            <w:r>
              <w:rPr>
                <w:rFonts w:hint="eastAsia" w:cs="Arial"/>
                <w:color w:val="000000"/>
                <w:sz w:val="22"/>
                <w:szCs w:val="22"/>
              </w:rPr>
              <w:t>7.34</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221</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住房保障支出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Arial"/>
                <w:color w:val="000000"/>
                <w:sz w:val="22"/>
                <w:szCs w:val="22"/>
              </w:rPr>
            </w:pPr>
            <w:r>
              <w:rPr>
                <w:rFonts w:hint="eastAsia" w:cs="Arial"/>
                <w:color w:val="000000"/>
                <w:sz w:val="22"/>
                <w:szCs w:val="22"/>
              </w:rPr>
              <w:t>9.65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Arial"/>
                <w:color w:val="000000"/>
                <w:sz w:val="22"/>
                <w:szCs w:val="22"/>
              </w:rPr>
            </w:pPr>
            <w:r>
              <w:rPr>
                <w:rFonts w:hint="eastAsia" w:cs="Arial"/>
                <w:color w:val="000000"/>
                <w:sz w:val="22"/>
                <w:szCs w:val="22"/>
              </w:rPr>
              <w:t>9.65</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22102</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住房改革支出</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Arial"/>
                <w:color w:val="000000"/>
                <w:sz w:val="22"/>
                <w:szCs w:val="22"/>
              </w:rPr>
            </w:pPr>
            <w:r>
              <w:rPr>
                <w:rFonts w:hint="eastAsia" w:cs="Arial"/>
                <w:color w:val="000000"/>
                <w:sz w:val="22"/>
                <w:szCs w:val="22"/>
              </w:rPr>
              <w:t>9.65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Arial"/>
                <w:color w:val="000000"/>
                <w:sz w:val="22"/>
                <w:szCs w:val="22"/>
              </w:rPr>
            </w:pPr>
            <w:r>
              <w:rPr>
                <w:rFonts w:hint="eastAsia" w:cs="Arial"/>
                <w:color w:val="000000"/>
                <w:sz w:val="22"/>
                <w:szCs w:val="22"/>
              </w:rPr>
              <w:t>9.65</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1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2210201</w:t>
            </w:r>
          </w:p>
        </w:tc>
        <w:tc>
          <w:tcPr>
            <w:tcW w:w="439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cs="Arial"/>
                <w:color w:val="000000"/>
                <w:sz w:val="22"/>
                <w:szCs w:val="22"/>
              </w:rPr>
              <w:t xml:space="preserve">  住房公积金</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Arial"/>
                <w:color w:val="000000"/>
                <w:sz w:val="22"/>
                <w:szCs w:val="22"/>
              </w:rPr>
            </w:pPr>
            <w:r>
              <w:rPr>
                <w:rFonts w:hint="eastAsia" w:cs="Arial"/>
                <w:color w:val="000000"/>
                <w:sz w:val="22"/>
                <w:szCs w:val="22"/>
              </w:rPr>
              <w:t>9.65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Arial"/>
                <w:color w:val="000000"/>
                <w:sz w:val="22"/>
                <w:szCs w:val="22"/>
              </w:rPr>
            </w:pPr>
            <w:r>
              <w:rPr>
                <w:rFonts w:hint="eastAsia" w:cs="Arial"/>
                <w:color w:val="000000"/>
                <w:sz w:val="22"/>
                <w:szCs w:val="22"/>
              </w:rPr>
              <w:t>9.65</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656" w:type="dxa"/>
          <w:trHeight w:val="385" w:hRule="atLeast"/>
          <w:jc w:val="center"/>
        </w:trPr>
        <w:tc>
          <w:tcPr>
            <w:tcW w:w="10282" w:type="dxa"/>
            <w:gridSpan w:val="1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872"/>
        <w:gridCol w:w="648"/>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7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4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部门：中共保定市满城区委政法委员会</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7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4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97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4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87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6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7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6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7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6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97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97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cs="Arial"/>
                <w:b/>
                <w:bCs/>
                <w:color w:val="000000"/>
                <w:sz w:val="22"/>
                <w:szCs w:val="22"/>
              </w:rPr>
              <w:t>233.40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cs="Arial"/>
                <w:b/>
                <w:bCs/>
                <w:color w:val="000000"/>
                <w:sz w:val="22"/>
                <w:szCs w:val="22"/>
              </w:rPr>
              <w:t>202.15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cs="Arial"/>
                <w:b/>
                <w:bCs/>
                <w:color w:val="000000"/>
                <w:sz w:val="22"/>
                <w:szCs w:val="22"/>
              </w:rPr>
              <w:t>31.24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201</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一般公共服务支出</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193.67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162.43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31.24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20131</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党委办公厅（室）及相关机构事务</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193.67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162.43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31.24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2013101</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 xml:space="preserve">  行政运行</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162.43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162.43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2013102</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 xml:space="preserve">  一般行政管理事务</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31.24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31.24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208</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社会保障和就业支出</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22.74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22.74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20805</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行政事业单位养老支出</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22.74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22.74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2080501</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 xml:space="preserve">  行政单位离退休</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1.70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2080505</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 xml:space="preserve">  机关事业单位基本养老保险缴费支出</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21.04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21.04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210</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卫生健康支出</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21011</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行政事业单位医疗</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2101101</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 xml:space="preserve">  行政单位医疗</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221</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住房保障支出</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9.65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9.65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22102</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住房改革支出</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9.65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9.65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Arial"/>
                <w:color w:val="000000"/>
                <w:sz w:val="22"/>
                <w:szCs w:val="22"/>
              </w:rPr>
            </w:pPr>
            <w:r>
              <w:rPr>
                <w:rFonts w:hint="eastAsia" w:cs="Arial"/>
                <w:color w:val="000000"/>
                <w:sz w:val="22"/>
                <w:szCs w:val="22"/>
              </w:rPr>
              <w:t>2210201</w:t>
            </w: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Arial"/>
                <w:color w:val="000000"/>
                <w:sz w:val="22"/>
                <w:szCs w:val="22"/>
              </w:rPr>
            </w:pPr>
            <w:r>
              <w:rPr>
                <w:rFonts w:hint="eastAsia" w:cs="Arial"/>
                <w:color w:val="000000"/>
                <w:sz w:val="22"/>
                <w:szCs w:val="22"/>
              </w:rPr>
              <w:t xml:space="preserve">  住房公积金</w:t>
            </w: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9.65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9.65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Arial"/>
                <w:color w:val="000000"/>
                <w:sz w:val="22"/>
                <w:szCs w:val="22"/>
              </w:rPr>
            </w:pPr>
          </w:p>
        </w:tc>
        <w:tc>
          <w:tcPr>
            <w:tcW w:w="1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Arial"/>
                <w:color w:val="000000"/>
                <w:sz w:val="22"/>
                <w:szCs w:val="22"/>
              </w:rPr>
            </w:pPr>
          </w:p>
        </w:tc>
        <w:tc>
          <w:tcPr>
            <w:tcW w:w="6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993"/>
        <w:gridCol w:w="181"/>
        <w:gridCol w:w="67"/>
        <w:gridCol w:w="50"/>
        <w:gridCol w:w="1712"/>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9"/>
            <w:tcBorders>
              <w:top w:val="nil"/>
              <w:left w:val="nil"/>
              <w:bottom w:val="nil"/>
              <w:right w:val="nil"/>
            </w:tcBorders>
            <w:shd w:val="clear" w:color="auto" w:fill="auto"/>
            <w:noWrap/>
            <w:tcMar>
              <w:top w:w="15" w:type="dxa"/>
              <w:left w:w="15" w:type="dxa"/>
              <w:right w:w="15" w:type="dxa"/>
            </w:tcMar>
            <w:vAlign w:val="center"/>
          </w:tcPr>
          <w:tbl>
            <w:tblPr>
              <w:tblStyle w:val="5"/>
              <w:tblW w:w="18336" w:type="dxa"/>
              <w:tblInd w:w="0" w:type="dxa"/>
              <w:tblLayout w:type="fixed"/>
              <w:tblCellMar>
                <w:top w:w="0" w:type="dxa"/>
                <w:left w:w="108" w:type="dxa"/>
                <w:bottom w:w="0" w:type="dxa"/>
                <w:right w:w="108" w:type="dxa"/>
              </w:tblCellMar>
            </w:tblPr>
            <w:tblGrid>
              <w:gridCol w:w="1831"/>
              <w:gridCol w:w="425"/>
              <w:gridCol w:w="709"/>
              <w:gridCol w:w="2410"/>
              <w:gridCol w:w="709"/>
              <w:gridCol w:w="708"/>
              <w:gridCol w:w="851"/>
              <w:gridCol w:w="1134"/>
              <w:gridCol w:w="707"/>
              <w:gridCol w:w="252"/>
              <w:gridCol w:w="1720"/>
              <w:gridCol w:w="1720"/>
              <w:gridCol w:w="1720"/>
              <w:gridCol w:w="1720"/>
              <w:gridCol w:w="1720"/>
            </w:tblGrid>
            <w:tr>
              <w:tblPrEx>
                <w:tblCellMar>
                  <w:top w:w="0" w:type="dxa"/>
                  <w:left w:w="108" w:type="dxa"/>
                  <w:bottom w:w="0" w:type="dxa"/>
                  <w:right w:w="108" w:type="dxa"/>
                </w:tblCellMar>
              </w:tblPrEx>
              <w:trPr>
                <w:gridAfter w:val="6"/>
                <w:wAfter w:w="8852" w:type="dxa"/>
                <w:trHeight w:val="90" w:hRule="atLeast"/>
              </w:trPr>
              <w:tc>
                <w:tcPr>
                  <w:tcW w:w="1831"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2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09"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1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09"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0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692"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6"/>
                <w:wAfter w:w="8852" w:type="dxa"/>
                <w:trHeight w:val="90" w:hRule="atLeast"/>
              </w:trPr>
              <w:tc>
                <w:tcPr>
                  <w:tcW w:w="1831"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部门：</w:t>
                  </w:r>
                  <w:r>
                    <w:rPr>
                      <w:rFonts w:hint="eastAsia" w:ascii="宋体" w:hAnsi="宋体" w:eastAsia="宋体" w:cs="宋体"/>
                      <w:color w:val="000000"/>
                      <w:kern w:val="0"/>
                      <w:sz w:val="18"/>
                      <w:szCs w:val="18"/>
                      <w:lang w:bidi="ar"/>
                    </w:rPr>
                    <w:t>中共保定市满城区委政法委员会</w:t>
                  </w:r>
                </w:p>
              </w:tc>
              <w:tc>
                <w:tcPr>
                  <w:tcW w:w="425"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709"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1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09"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0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841"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6"/>
                <w:wAfter w:w="8852" w:type="dxa"/>
                <w:trHeight w:val="90" w:hRule="atLeast"/>
              </w:trPr>
              <w:tc>
                <w:tcPr>
                  <w:tcW w:w="29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6519"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6"/>
                <w:wAfter w:w="8852" w:type="dxa"/>
                <w:trHeight w:val="312" w:hRule="atLeast"/>
              </w:trPr>
              <w:tc>
                <w:tcPr>
                  <w:tcW w:w="183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2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10"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0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51"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1134"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707"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gridAfter w:val="5"/>
                <w:wAfter w:w="8600" w:type="dxa"/>
                <w:trHeight w:val="90" w:hRule="atLeast"/>
              </w:trPr>
              <w:tc>
                <w:tcPr>
                  <w:tcW w:w="183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2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9"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10"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9"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1"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1134"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7"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r>
                    <w:rPr>
                      <w:rFonts w:ascii="宋体" w:hAnsi="宋体" w:eastAsia="宋体" w:cs="Arial"/>
                      <w:color w:val="000000"/>
                      <w:kern w:val="0"/>
                      <w:sz w:val="15"/>
                      <w:szCs w:val="15"/>
                    </w:rPr>
                    <w:t>33.40</w:t>
                  </w: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193.67</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193.67</w:t>
                  </w: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22.74</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22.74</w:t>
                  </w: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7.34</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7.34</w:t>
                  </w: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9.65</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9.65</w:t>
                  </w: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r>
                    <w:rPr>
                      <w:rFonts w:ascii="宋体" w:hAnsi="宋体" w:eastAsia="宋体" w:cs="Arial"/>
                      <w:color w:val="000000"/>
                      <w:kern w:val="0"/>
                      <w:sz w:val="15"/>
                      <w:szCs w:val="15"/>
                    </w:rPr>
                    <w:t>33.40</w:t>
                  </w: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2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gridAfter w:val="5"/>
                <w:wAfter w:w="8600" w:type="dxa"/>
                <w:trHeight w:val="90" w:hRule="atLeast"/>
              </w:trPr>
              <w:tc>
                <w:tcPr>
                  <w:tcW w:w="183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2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r>
                    <w:rPr>
                      <w:rFonts w:ascii="宋体" w:hAnsi="宋体" w:eastAsia="宋体" w:cs="Arial"/>
                      <w:color w:val="000000"/>
                      <w:kern w:val="0"/>
                      <w:sz w:val="15"/>
                      <w:szCs w:val="15"/>
                    </w:rPr>
                    <w:t>33.40</w:t>
                  </w:r>
                </w:p>
              </w:tc>
              <w:tc>
                <w:tcPr>
                  <w:tcW w:w="241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709"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0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233.40</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233.40</w:t>
                  </w:r>
                </w:p>
              </w:tc>
              <w:tc>
                <w:tcPr>
                  <w:tcW w:w="1134"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707"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c>
                <w:tcPr>
                  <w:tcW w:w="1720" w:type="dxa"/>
                </w:tcPr>
                <w:p>
                  <w:pPr>
                    <w:widowControl/>
                    <w:jc w:val="left"/>
                  </w:pPr>
                </w:p>
              </w:tc>
              <w:tc>
                <w:tcPr>
                  <w:tcW w:w="1720" w:type="dxa"/>
                </w:tcPr>
                <w:p>
                  <w:pPr>
                    <w:widowControl/>
                    <w:jc w:val="left"/>
                  </w:pPr>
                </w:p>
              </w:tc>
              <w:tc>
                <w:tcPr>
                  <w:tcW w:w="1720" w:type="dxa"/>
                </w:tcPr>
                <w:p>
                  <w:pPr>
                    <w:widowControl/>
                    <w:jc w:val="left"/>
                  </w:pPr>
                </w:p>
              </w:tc>
              <w:tc>
                <w:tcPr>
                  <w:tcW w:w="1720" w:type="dxa"/>
                  <w:tcBorders>
                    <w:top w:val="nil"/>
                    <w:left w:val="nil"/>
                    <w:bottom w:val="single" w:color="000000" w:sz="4" w:space="0"/>
                    <w:right w:val="single" w:color="000000" w:sz="4" w:space="0"/>
                  </w:tcBorders>
                  <w:shd w:val="clear" w:color="auto" w:fill="auto"/>
                  <w:vAlign w:val="center"/>
                </w:tcPr>
                <w:p>
                  <w:pPr>
                    <w:widowControl/>
                    <w:jc w:val="left"/>
                  </w:pPr>
                  <w:r>
                    <w:rPr>
                      <w:rFonts w:hint="eastAsia" w:cs="Arial"/>
                      <w:color w:val="000000"/>
                      <w:sz w:val="22"/>
                      <w:szCs w:val="22"/>
                    </w:rPr>
                    <w:t>233.40</w:t>
                  </w:r>
                </w:p>
              </w:tc>
              <w:tc>
                <w:tcPr>
                  <w:tcW w:w="1720" w:type="dxa"/>
                  <w:tcBorders>
                    <w:top w:val="nil"/>
                    <w:left w:val="nil"/>
                    <w:bottom w:val="single" w:color="000000" w:sz="4" w:space="0"/>
                    <w:right w:val="single" w:color="000000" w:sz="4" w:space="0"/>
                  </w:tcBorders>
                  <w:shd w:val="clear" w:color="auto" w:fill="auto"/>
                  <w:vAlign w:val="center"/>
                </w:tcPr>
                <w:p>
                  <w:pPr>
                    <w:widowControl/>
                    <w:jc w:val="left"/>
                  </w:pPr>
                  <w:r>
                    <w:rPr>
                      <w:rFonts w:hint="eastAsia" w:cs="Arial"/>
                      <w:color w:val="000000"/>
                      <w:sz w:val="22"/>
                      <w:szCs w:val="22"/>
                    </w:rPr>
                    <w:t>233.40</w:t>
                  </w:r>
                </w:p>
              </w:tc>
            </w:tr>
            <w:tr>
              <w:tblPrEx>
                <w:tblCellMar>
                  <w:top w:w="0" w:type="dxa"/>
                  <w:left w:w="108" w:type="dxa"/>
                  <w:bottom w:w="0" w:type="dxa"/>
                  <w:right w:w="108" w:type="dxa"/>
                </w:tblCellMar>
              </w:tblPrEx>
              <w:trPr>
                <w:gridAfter w:val="5"/>
                <w:wAfter w:w="8600" w:type="dxa"/>
                <w:trHeight w:val="90" w:hRule="atLeast"/>
              </w:trPr>
              <w:tc>
                <w:tcPr>
                  <w:tcW w:w="9484" w:type="dxa"/>
                  <w:gridSpan w:val="9"/>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1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gridSpan w:val="2"/>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b/>
                <w:bCs/>
                <w:color w:val="000000"/>
                <w:sz w:val="18"/>
                <w:szCs w:val="18"/>
              </w:rPr>
            </w:pPr>
            <w:r>
              <w:rPr>
                <w:rFonts w:hint="eastAsia" w:ascii="宋体" w:hAnsi="宋体" w:eastAsia="宋体" w:cs="宋体"/>
                <w:color w:val="000000"/>
                <w:kern w:val="0"/>
                <w:sz w:val="18"/>
                <w:szCs w:val="18"/>
                <w:lang w:bidi="ar"/>
              </w:rPr>
              <w:t>部门：中共保定市满城区委政法委员会</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1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99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2010"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99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10"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99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10"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00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2</w:t>
            </w:r>
            <w:r>
              <w:rPr>
                <w:rFonts w:ascii="宋体" w:hAnsi="宋体" w:eastAsia="宋体" w:cs="宋体"/>
                <w:b/>
                <w:color w:val="000000"/>
                <w:sz w:val="18"/>
                <w:szCs w:val="18"/>
              </w:rPr>
              <w:t>33.40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cs="Arial"/>
                <w:b/>
                <w:bCs/>
                <w:color w:val="000000"/>
                <w:sz w:val="22"/>
                <w:szCs w:val="22"/>
              </w:rPr>
              <w:t>202.15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3</w:t>
            </w:r>
            <w:r>
              <w:rPr>
                <w:rFonts w:ascii="宋体" w:hAnsi="宋体" w:eastAsia="宋体" w:cs="宋体"/>
                <w:b/>
                <w:color w:val="000000"/>
                <w:sz w:val="18"/>
                <w:szCs w:val="18"/>
              </w:rPr>
              <w:t>1.24</w:t>
            </w: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201</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193.67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162.43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w:t>
            </w:r>
            <w:r>
              <w:rPr>
                <w:rFonts w:ascii="宋体" w:hAnsi="宋体" w:eastAsia="宋体" w:cs="宋体"/>
                <w:color w:val="000000"/>
                <w:sz w:val="18"/>
                <w:szCs w:val="18"/>
              </w:rPr>
              <w:t>1.24</w:t>
            </w: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20131</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党委办公厅（室）及相关机构事务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193.67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162.43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w:t>
            </w:r>
            <w:r>
              <w:rPr>
                <w:rFonts w:ascii="宋体" w:hAnsi="宋体" w:eastAsia="宋体" w:cs="宋体"/>
                <w:color w:val="000000"/>
                <w:sz w:val="18"/>
                <w:szCs w:val="18"/>
              </w:rPr>
              <w:t>1.24</w:t>
            </w: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2013101</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162.43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162.43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2013102</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 xml:space="preserve">  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31.24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w:t>
            </w:r>
            <w:r>
              <w:rPr>
                <w:rFonts w:ascii="宋体" w:hAnsi="宋体" w:eastAsia="宋体" w:cs="宋体"/>
                <w:color w:val="000000"/>
                <w:sz w:val="18"/>
                <w:szCs w:val="18"/>
              </w:rPr>
              <w:t>1.24</w:t>
            </w: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208</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22.74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22.74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20805</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22.74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22.74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2080501</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 xml:space="preserve">  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1.70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1.70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2080505</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21.04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21.04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210</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21011</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2101101</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7.34</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221</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9.65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9.65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9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22102</w:t>
            </w:r>
          </w:p>
        </w:tc>
        <w:tc>
          <w:tcPr>
            <w:tcW w:w="201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cs="Arial"/>
                <w:color w:val="000000"/>
                <w:sz w:val="22"/>
                <w:szCs w:val="22"/>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9.65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cs="Arial"/>
                <w:color w:val="000000"/>
                <w:sz w:val="22"/>
                <w:szCs w:val="22"/>
              </w:rPr>
              <w:t>9.65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r>
              <w:rPr>
                <w:rFonts w:hint="eastAsia" w:ascii="宋体" w:hAnsi="宋体" w:eastAsia="宋体" w:cs="宋体"/>
                <w:color w:val="000000"/>
                <w:kern w:val="0"/>
                <w:sz w:val="18"/>
                <w:szCs w:val="18"/>
                <w:lang w:bidi="ar"/>
              </w:rPr>
              <w:t>中共保定市满城区委政法委员会</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191.93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cs="Arial"/>
                <w:color w:val="000000"/>
                <w:sz w:val="22"/>
                <w:szCs w:val="22"/>
              </w:rPr>
              <w:t>6.34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107.87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cs="Arial"/>
                <w:color w:val="000000"/>
                <w:sz w:val="22"/>
                <w:szCs w:val="22"/>
              </w:rPr>
              <w:t>0.90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39.46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6.56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21.04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cs="Arial"/>
                <w:color w:val="000000"/>
                <w:sz w:val="22"/>
                <w:szCs w:val="22"/>
              </w:rPr>
              <w:t>0.54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7.34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9.65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3.88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1.83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2.06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cs="Arial"/>
                <w:color w:val="000000"/>
                <w:sz w:val="22"/>
                <w:szCs w:val="22"/>
              </w:rPr>
              <w:t>4.90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　</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195.81</w:t>
            </w:r>
          </w:p>
          <w:p>
            <w:pPr>
              <w:spacing w:line="220" w:lineRule="exact"/>
              <w:jc w:val="right"/>
              <w:rPr>
                <w:rFonts w:ascii="宋体" w:hAnsi="宋体" w:eastAsia="宋体" w:cs="宋体"/>
                <w:color w:val="000000"/>
                <w:kern w:val="0"/>
                <w:sz w:val="16"/>
                <w:szCs w:val="16"/>
                <w:lang w:bidi="ar"/>
              </w:rPr>
            </w:pP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6</w:t>
            </w:r>
            <w:r>
              <w:rPr>
                <w:rFonts w:ascii="宋体" w:hAnsi="宋体" w:eastAsia="宋体" w:cs="宋体"/>
                <w:color w:val="000000"/>
                <w:sz w:val="16"/>
                <w:szCs w:val="16"/>
              </w:rPr>
              <w:t>.34</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部门：中共保定市满城区委政法委员会</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cs="Arial"/>
                <w:color w:val="000000"/>
                <w:sz w:val="22"/>
                <w:szCs w:val="22"/>
              </w:rPr>
              <w:t>5.47</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cs="Arial"/>
                <w:color w:val="000000"/>
                <w:sz w:val="22"/>
                <w:szCs w:val="22"/>
              </w:rPr>
              <w:t>5.00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cs="Arial"/>
                <w:color w:val="000000"/>
                <w:sz w:val="22"/>
                <w:szCs w:val="22"/>
              </w:rPr>
              <w:t>5.00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cs="Arial"/>
                <w:color w:val="000000"/>
                <w:sz w:val="22"/>
                <w:szCs w:val="22"/>
              </w:rPr>
              <w:t>0.47</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cs="Arial"/>
                <w:color w:val="000000"/>
                <w:sz w:val="22"/>
                <w:szCs w:val="22"/>
              </w:rPr>
              <w:t>4.90</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cs="Arial"/>
                <w:color w:val="000000"/>
                <w:sz w:val="22"/>
                <w:szCs w:val="22"/>
              </w:rPr>
              <w:t>4.90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cs="Arial"/>
                <w:color w:val="000000"/>
                <w:sz w:val="22"/>
                <w:szCs w:val="22"/>
              </w:rPr>
              <w:t>4.90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3090"/>
        <w:gridCol w:w="36"/>
        <w:gridCol w:w="36"/>
        <w:gridCol w:w="830"/>
        <w:gridCol w:w="920"/>
        <w:gridCol w:w="920"/>
        <w:gridCol w:w="920"/>
        <w:gridCol w:w="920"/>
        <w:gridCol w:w="920"/>
        <w:gridCol w:w="92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部门：中共保定市满城区委政法委员会</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注：本部门本年度无政府性基金预算财政拨款收入、支出及结转结余情况，故空表列示。</w:t>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bidi="ar"/>
              </w:rPr>
              <w:t>中共保定市满城区委政法委员会</w:t>
            </w:r>
            <w:bookmarkStart w:id="0" w:name="_GoBack"/>
            <w:bookmarkEnd w:id="0"/>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注：本部门本年度无国有资本经营预算财政拨款收入、支出及结转结余情况</w:t>
      </w:r>
      <w:r>
        <w:rPr>
          <w:rFonts w:hint="eastAsia" w:ascii="宋体" w:hAnsi="宋体" w:eastAsia="宋体" w:cs="宋体"/>
          <w:sz w:val="20"/>
          <w:szCs w:val="22"/>
        </w:rPr>
        <w:t>，故空表列示。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3360;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3OTk0NTA3Njc3MjRlM2FjZjA5ZmUxZmJiNjkxMGEifQ=="/>
  </w:docVars>
  <w:rsids>
    <w:rsidRoot w:val="34C45458"/>
    <w:rsid w:val="00061A05"/>
    <w:rsid w:val="000B6131"/>
    <w:rsid w:val="000C4A2A"/>
    <w:rsid w:val="00160286"/>
    <w:rsid w:val="0018668E"/>
    <w:rsid w:val="001B73D2"/>
    <w:rsid w:val="001E62BF"/>
    <w:rsid w:val="00260702"/>
    <w:rsid w:val="002732F1"/>
    <w:rsid w:val="00285053"/>
    <w:rsid w:val="002935FF"/>
    <w:rsid w:val="00293E7B"/>
    <w:rsid w:val="002A2845"/>
    <w:rsid w:val="002A5DE5"/>
    <w:rsid w:val="002D1F4F"/>
    <w:rsid w:val="00312F10"/>
    <w:rsid w:val="0033040D"/>
    <w:rsid w:val="00331E3E"/>
    <w:rsid w:val="00356983"/>
    <w:rsid w:val="0036299F"/>
    <w:rsid w:val="00366D90"/>
    <w:rsid w:val="003D678E"/>
    <w:rsid w:val="003F5B50"/>
    <w:rsid w:val="00454973"/>
    <w:rsid w:val="00465538"/>
    <w:rsid w:val="005257CF"/>
    <w:rsid w:val="00533C9E"/>
    <w:rsid w:val="005C45BE"/>
    <w:rsid w:val="005D478A"/>
    <w:rsid w:val="006874BF"/>
    <w:rsid w:val="00757D82"/>
    <w:rsid w:val="007D656B"/>
    <w:rsid w:val="00801F66"/>
    <w:rsid w:val="008509D4"/>
    <w:rsid w:val="008973F4"/>
    <w:rsid w:val="008D7DBA"/>
    <w:rsid w:val="009334BF"/>
    <w:rsid w:val="00964F1F"/>
    <w:rsid w:val="00AB14E8"/>
    <w:rsid w:val="00AE6E57"/>
    <w:rsid w:val="00AF4A89"/>
    <w:rsid w:val="00B036A4"/>
    <w:rsid w:val="00B70D71"/>
    <w:rsid w:val="00CB2B91"/>
    <w:rsid w:val="00CC10AD"/>
    <w:rsid w:val="00CF7388"/>
    <w:rsid w:val="00CF7D8D"/>
    <w:rsid w:val="00E74F28"/>
    <w:rsid w:val="00F232AB"/>
    <w:rsid w:val="058B71E0"/>
    <w:rsid w:val="0EA325C9"/>
    <w:rsid w:val="2FB96948"/>
    <w:rsid w:val="3327616A"/>
    <w:rsid w:val="34C45458"/>
    <w:rsid w:val="35C83C42"/>
    <w:rsid w:val="3D050E77"/>
    <w:rsid w:val="3EF15DFF"/>
    <w:rsid w:val="483E0F05"/>
    <w:rsid w:val="5D0C63C4"/>
    <w:rsid w:val="6C84793B"/>
    <w:rsid w:val="73D824BD"/>
    <w:rsid w:val="7A3C67E2"/>
    <w:rsid w:val="7B0D7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bmp"/><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4B167C-6611-4D44-9C8E-475B148B1F56}">
  <ds:schemaRefs/>
</ds:datastoreItem>
</file>

<file path=docProps/app.xml><?xml version="1.0" encoding="utf-8"?>
<Properties xmlns="http://schemas.openxmlformats.org/officeDocument/2006/extended-properties" xmlns:vt="http://schemas.openxmlformats.org/officeDocument/2006/docPropsVTypes">
  <Template>Normal</Template>
  <Pages>30</Pages>
  <Words>7820</Words>
  <Characters>9392</Characters>
  <Lines>82</Lines>
  <Paragraphs>23</Paragraphs>
  <TotalTime>0</TotalTime>
  <ScaleCrop>false</ScaleCrop>
  <LinksUpToDate>false</LinksUpToDate>
  <CharactersWithSpaces>9636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2021-10-08T09:24:00Z</dcterms:created>
  <dc:creator>王明新TIAD</dc:creator>
  <cp:lastModifiedBy>lenovo</cp:lastModifiedBy>
  <dcterms:modified xsi:type="dcterms:W3CDTF">2022-09-15T09:11:30Z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25AC5B65243E426EA56E3AFAF9B8EDFE</vt:lpwstr>
  </property>
</Properties>
</file>