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72"/>
          <w:szCs w:val="96"/>
        </w:rPr>
      </w:pP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drawing>
          <wp:anchor distT="0" distB="0" distL="114300" distR="114300" simplePos="0" relativeHeight="251666432" behindDoc="0" locked="0" layoutInCell="1" allowOverlap="1">
            <wp:simplePos x="0" y="0"/>
            <wp:positionH relativeFrom="column">
              <wp:posOffset>-957580</wp:posOffset>
            </wp:positionH>
            <wp:positionV relativeFrom="paragraph">
              <wp:posOffset>-1337945</wp:posOffset>
            </wp:positionV>
            <wp:extent cx="8646160" cy="10694670"/>
            <wp:effectExtent l="0" t="0" r="10160" b="3810"/>
            <wp:wrapNone/>
            <wp:docPr id="4" name="图片 4"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公开封面"/>
                    <pic:cNvPicPr>
                      <a:picLocks noChangeAspect="1"/>
                    </pic:cNvPicPr>
                  </pic:nvPicPr>
                  <pic:blipFill>
                    <a:blip r:embed="rId13"/>
                    <a:stretch>
                      <a:fillRect/>
                    </a:stretch>
                  </pic:blipFill>
                  <pic:spPr>
                    <a:xfrm>
                      <a:off x="0" y="0"/>
                      <a:ext cx="8646160" cy="10694670"/>
                    </a:xfrm>
                    <a:prstGeom prst="rect">
                      <a:avLst/>
                    </a:prstGeom>
                  </pic:spPr>
                </pic:pic>
              </a:graphicData>
            </a:graphic>
          </wp:anchor>
        </w:drawing>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hint="eastAsia" w:ascii="黑体" w:hAnsi="黑体" w:eastAsia="黑体" w:cs="黑体"/>
          <w:sz w:val="72"/>
          <w:szCs w:val="96"/>
        </w:rPr>
      </w:pPr>
    </w:p>
    <w:p>
      <w:pPr>
        <w:jc w:val="center"/>
        <w:rPr>
          <w:rFonts w:ascii="黑体" w:hAnsi="黑体" w:eastAsia="黑体" w:cs="黑体"/>
          <w:sz w:val="72"/>
          <w:szCs w:val="96"/>
          <w:highlight w:val="yellow"/>
        </w:rPr>
      </w:pPr>
      <w:r>
        <w:rPr>
          <w:rFonts w:hint="eastAsia" w:ascii="黑体" w:hAnsi="黑体" w:eastAsia="黑体" w:cs="黑体"/>
          <w:sz w:val="72"/>
          <w:szCs w:val="96"/>
        </w:rPr>
        <w:t>保定市满城区信访局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满城区信访局由行政编制组成。根据满办字[</w:t>
      </w:r>
      <w:r>
        <w:rPr>
          <w:rFonts w:ascii="仿宋_GB2312" w:hAnsi="仿宋" w:eastAsia="仿宋_GB2312"/>
          <w:sz w:val="28"/>
          <w:szCs w:val="28"/>
        </w:rPr>
        <w:t>2019</w:t>
      </w:r>
      <w:r>
        <w:rPr>
          <w:rFonts w:hint="eastAsia" w:ascii="仿宋_GB2312" w:hAnsi="仿宋" w:eastAsia="仿宋_GB2312"/>
          <w:sz w:val="28"/>
          <w:szCs w:val="28"/>
        </w:rPr>
        <w:t>]1</w:t>
      </w:r>
      <w:r>
        <w:rPr>
          <w:rFonts w:ascii="仿宋_GB2312" w:hAnsi="仿宋" w:eastAsia="仿宋_GB2312"/>
          <w:sz w:val="28"/>
          <w:szCs w:val="28"/>
        </w:rPr>
        <w:t>9</w:t>
      </w:r>
      <w:r>
        <w:rPr>
          <w:rFonts w:hint="eastAsia" w:ascii="仿宋_GB2312" w:hAnsi="仿宋" w:eastAsia="仿宋_GB2312"/>
          <w:sz w:val="28"/>
          <w:szCs w:val="28"/>
        </w:rPr>
        <w:t>号关于印发《保定市满城区信访局职能配置、内设机构和人员编制规定》的通知要求，满城区信访局主要职责是：</w:t>
      </w:r>
    </w:p>
    <w:p>
      <w:pPr>
        <w:ind w:firstLine="560" w:firstLineChars="200"/>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研究提出全区信访工作思路，拟订信访工作规范性文件。</w:t>
      </w:r>
    </w:p>
    <w:p>
      <w:pPr>
        <w:ind w:firstLine="560" w:firstLineChars="200"/>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办理人民群众来信，接待群众来访，受理群众网上投诉，查办信访案件，负责人民群众建议征集工作。</w:t>
      </w:r>
    </w:p>
    <w:p>
      <w:pPr>
        <w:ind w:firstLine="560" w:firstLineChars="200"/>
        <w:rPr>
          <w:rFonts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调查研究和综合分析全区信访形势及信访工作状况，总结推广各乡镇、部门信访工作经验，提出改进和加强信访工作的意见和建议。</w:t>
      </w:r>
    </w:p>
    <w:p>
      <w:pPr>
        <w:ind w:firstLine="560" w:firstLineChars="200"/>
        <w:rPr>
          <w:rFonts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参与组织、协调、指导全区社会治安综合治理和维护社会政治稳定工作，协调保障国家和省、市、区重大政治活动顺利进行，参与处理影响社会政治稳定的突发性、群体性事件。</w:t>
      </w:r>
    </w:p>
    <w:p>
      <w:pPr>
        <w:ind w:firstLine="560" w:firstLineChars="200"/>
        <w:rPr>
          <w:rFonts w:ascii="仿宋_GB2312" w:hAnsi="仿宋" w:eastAsia="仿宋_GB2312"/>
          <w:sz w:val="28"/>
          <w:szCs w:val="28"/>
        </w:rPr>
      </w:pPr>
      <w:r>
        <w:rPr>
          <w:rFonts w:ascii="仿宋_GB2312" w:hAnsi="仿宋" w:eastAsia="仿宋_GB2312"/>
          <w:sz w:val="28"/>
          <w:szCs w:val="28"/>
        </w:rPr>
        <w:t>5.</w:t>
      </w:r>
      <w:r>
        <w:rPr>
          <w:rFonts w:hint="eastAsia" w:ascii="仿宋_GB2312" w:hAnsi="仿宋" w:eastAsia="仿宋_GB2312"/>
          <w:sz w:val="28"/>
          <w:szCs w:val="28"/>
        </w:rPr>
        <w:t>督促检查和指导乡（镇）党委、政府和区直部门的信访工作。对乡（镇）党委、政府和区直部门信访工作年度责任目标进行考核，对全区社会治安综合治理和维护社会政治稳定年度责任目标中有关信访工作进行考核。</w:t>
      </w:r>
    </w:p>
    <w:p>
      <w:pPr>
        <w:ind w:firstLine="560" w:firstLineChars="200"/>
        <w:rPr>
          <w:rFonts w:ascii="仿宋_GB2312" w:hAnsi="仿宋" w:eastAsia="仿宋_GB2312"/>
          <w:sz w:val="28"/>
          <w:szCs w:val="28"/>
        </w:rPr>
      </w:pPr>
      <w:r>
        <w:rPr>
          <w:rFonts w:ascii="仿宋_GB2312" w:hAnsi="仿宋" w:eastAsia="仿宋_GB2312"/>
          <w:sz w:val="28"/>
          <w:szCs w:val="28"/>
        </w:rPr>
        <w:t>6.</w:t>
      </w:r>
      <w:r>
        <w:rPr>
          <w:rFonts w:hint="eastAsia" w:ascii="仿宋_GB2312" w:hAnsi="仿宋" w:eastAsia="仿宋_GB2312"/>
          <w:sz w:val="28"/>
          <w:szCs w:val="28"/>
        </w:rPr>
        <w:t>协助国家、省、市信访局处理满城区群众进京、赴省、到市上访工作，综合协调处理跨地区、跨部门、跨行业的重要信访问题，协助公安机关维护区委、区政府机关正常工作秩序。</w:t>
      </w:r>
    </w:p>
    <w:p>
      <w:pPr>
        <w:ind w:firstLine="560" w:firstLineChars="200"/>
        <w:rPr>
          <w:rFonts w:ascii="仿宋_GB2312" w:hAnsi="仿宋" w:eastAsia="仿宋_GB2312"/>
          <w:sz w:val="28"/>
          <w:szCs w:val="28"/>
        </w:rPr>
      </w:pPr>
      <w:r>
        <w:rPr>
          <w:rFonts w:ascii="仿宋_GB2312" w:hAnsi="仿宋" w:eastAsia="仿宋_GB2312"/>
          <w:sz w:val="28"/>
          <w:szCs w:val="28"/>
        </w:rPr>
        <w:t>7.</w:t>
      </w:r>
      <w:r>
        <w:rPr>
          <w:rFonts w:hint="eastAsia" w:ascii="仿宋_GB2312" w:hAnsi="仿宋" w:eastAsia="仿宋_GB2312"/>
          <w:sz w:val="28"/>
          <w:szCs w:val="28"/>
        </w:rPr>
        <w:t>负责区级领导和区直部门领导公开接访、包联案件和重点信访事项会商的组织协调工作。</w:t>
      </w:r>
    </w:p>
    <w:p>
      <w:pPr>
        <w:ind w:firstLine="560" w:firstLineChars="200"/>
        <w:rPr>
          <w:rFonts w:ascii="仿宋_GB2312" w:hAnsi="仿宋" w:eastAsia="仿宋_GB2312"/>
          <w:sz w:val="28"/>
          <w:szCs w:val="28"/>
        </w:rPr>
      </w:pPr>
      <w:r>
        <w:rPr>
          <w:rFonts w:ascii="仿宋_GB2312" w:hAnsi="仿宋" w:eastAsia="仿宋_GB2312"/>
          <w:sz w:val="28"/>
          <w:szCs w:val="28"/>
        </w:rPr>
        <w:t>8.</w:t>
      </w:r>
      <w:r>
        <w:rPr>
          <w:rFonts w:hint="eastAsia" w:ascii="仿宋_GB2312" w:hAnsi="仿宋" w:eastAsia="仿宋_GB2312"/>
          <w:sz w:val="28"/>
          <w:szCs w:val="28"/>
        </w:rPr>
        <w:t>承担保定市满城区信访工作联席会议的日常工作，督促落实联席会议决定的事项。</w:t>
      </w:r>
    </w:p>
    <w:p>
      <w:pPr>
        <w:ind w:firstLine="560" w:firstLineChars="200"/>
        <w:rPr>
          <w:rFonts w:ascii="仿宋_GB2312" w:hAnsi="仿宋" w:eastAsia="仿宋_GB2312"/>
          <w:sz w:val="28"/>
          <w:szCs w:val="28"/>
        </w:rPr>
      </w:pPr>
      <w:r>
        <w:rPr>
          <w:rFonts w:ascii="仿宋_GB2312" w:hAnsi="仿宋" w:eastAsia="仿宋_GB2312"/>
          <w:sz w:val="28"/>
          <w:szCs w:val="28"/>
        </w:rPr>
        <w:t>9.</w:t>
      </w:r>
      <w:r>
        <w:rPr>
          <w:rFonts w:hint="eastAsia" w:ascii="仿宋_GB2312" w:hAnsi="仿宋" w:eastAsia="仿宋_GB2312"/>
          <w:sz w:val="28"/>
          <w:szCs w:val="28"/>
        </w:rPr>
        <w:t>完成区委、区政府以及国家信访局、省信访局、市信访局交办的其他任务。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年度本部门决算汇编范围的独立核算单位共1个，具体情况如下：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保定市满城区信访局</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收入142.81万元、支出142.81万元。与2019年度决算相比，收入减少54.26万元，下降27.53%；支出减少54.26万元，下降27.53%，主要原因是一是有人员退休，二是因疫情外出接访任务较去年减少，信访值班经费也随之减少。</w:t>
      </w:r>
    </w:p>
    <w:p>
      <w:pPr>
        <w:adjustRightInd w:val="0"/>
        <w:snapToGrid w:val="0"/>
        <w:spacing w:line="600" w:lineRule="exact"/>
        <w:ind w:firstLine="3840" w:firstLineChars="1200"/>
        <w:rPr>
          <w:rFonts w:hint="eastAsia" w:ascii="仿宋_GB2312" w:hAnsi="Times New Roman" w:eastAsia="仿宋_GB2312" w:cs="Wingdings"/>
          <w:sz w:val="32"/>
          <w:szCs w:val="32"/>
          <w:highlight w:val="yellow"/>
        </w:rPr>
      </w:pPr>
      <w:r>
        <w:rPr>
          <w:rFonts w:hint="eastAsia" w:ascii="仿宋_GB2312" w:hAnsi="Times New Roman" w:eastAsia="仿宋_GB2312" w:cs="Wingdings"/>
          <w:sz w:val="32"/>
          <w:szCs w:val="32"/>
        </w:rPr>
        <w:t>图一</w:t>
      </w:r>
    </w:p>
    <w:p>
      <w:pPr>
        <w:tabs>
          <w:tab w:val="left" w:pos="1620"/>
        </w:tabs>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margin">
              <wp:posOffset>-182880</wp:posOffset>
            </wp:positionH>
            <wp:positionV relativeFrom="paragraph">
              <wp:posOffset>62230</wp:posOffset>
            </wp:positionV>
            <wp:extent cx="5957570" cy="2614295"/>
            <wp:effectExtent l="0" t="0" r="508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本部门2020年度本年收入合计142.81万元，其中：财政拨款收入142.81万元，占100%；事业收入0万元，占0%；经营收入0万元，占0%；其他收入0万元，占0%。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本部门2020年度本年支出合计142.81万元，其中：基本支出142.81万元，占100%；项目支出0万元，占0%；经营支出0万元，占0%。</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142.81万元,比2019年度减少54.26万元，降低27.53%，主要是有人员退休，工资保险等费用减少，因疫情外出解放任务较去年减少，信访值班经费也随之减少；本年支出142.81万元，减少54.26万元，降低27.53%，主要是有人员退休和因疫情导致外出接访量较少值班经费减少。</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本部门2020年度一般公共预算财政拨款收入142.81万元，完成年初预算的101.7</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%,比年初预算增加2.45万元，决算数大于预算数主要原因是按编制人数做预算，群众工作中心没有编制但有二十余人入驻办公，故需增加运行经费；本年支出142.81万元，完成年初预算的101.7</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%,比年初预算增加2.45万元，决算数大于预算数主要原因是按编制人数做预算，群众工作中心没有编制但有二十余人入驻办公，故需增加运行经费。</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年度财政拨款支出142.81万元，主要用于以下方面：一般公共服务支出115.90万元，占81.16%，；社会保障和就业支出17.88万元，占12.52%；卫生健康支出3.77万元，占 2.64%;住房保障支出5.26万元，占3.68%。</w:t>
      </w:r>
    </w:p>
    <w:p>
      <w:pPr>
        <w:adjustRightInd w:val="0"/>
        <w:snapToGrid w:val="0"/>
        <w:spacing w:line="600" w:lineRule="exact"/>
        <w:ind w:firstLine="560" w:firstLineChars="200"/>
        <w:jc w:val="center"/>
        <w:rPr>
          <w:rFonts w:ascii="楷体_GB2312" w:hAnsi="Times New Roman" w:eastAsia="楷体_GB2312" w:cs="Mongolian Baiti"/>
          <w:b w:val="0"/>
          <w:bCs w:val="0"/>
          <w:sz w:val="28"/>
          <w:szCs w:val="28"/>
        </w:rPr>
      </w:pPr>
      <w:r>
        <w:rPr>
          <w:rFonts w:ascii="楷体_GB2312" w:hAnsi="Times New Roman" w:eastAsia="楷体_GB2312" w:cs="Mongolian Baiti"/>
          <w:b w:val="0"/>
          <w:bCs w:val="0"/>
          <w:sz w:val="28"/>
          <w:szCs w:val="28"/>
        </w:rPr>
        <w:drawing>
          <wp:anchor distT="0" distB="0" distL="114300" distR="114300" simplePos="0" relativeHeight="251665408" behindDoc="0" locked="0" layoutInCell="1" allowOverlap="1">
            <wp:simplePos x="0" y="0"/>
            <wp:positionH relativeFrom="margin">
              <wp:align>right</wp:align>
            </wp:positionH>
            <wp:positionV relativeFrom="paragraph">
              <wp:posOffset>1270</wp:posOffset>
            </wp:positionV>
            <wp:extent cx="5610225" cy="3448050"/>
            <wp:effectExtent l="0" t="0" r="9525"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楷体_GB2312" w:hAnsi="Times New Roman" w:eastAsia="楷体_GB2312" w:cs="Mongolian Baiti"/>
          <w:b w:val="0"/>
          <w:bCs w:val="0"/>
          <w:sz w:val="28"/>
          <w:szCs w:val="28"/>
        </w:rPr>
        <w:t>财政拨款支出决算结构图</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年度财政拨款基本支出142.81万元，其中：人员经费 100.35万元，主要包括基本工资、津贴补贴、奖金、机关事业单位基本养老保险缴费、职业年金缴费、职工基本医疗保险缴费、住房公积金、其他社会保障缴费、退休费、生活补助、奖励金；公用经费42.46万元，主要包括办公费、印刷费、手续费、水费、电费、邮电费、取暖费、物业管理费、差旅费、维修（护）费、租赁费、公务用车运行维护费、其他交通费用、其他商品和服务支出、办公设备购置。</w:t>
      </w:r>
    </w:p>
    <w:p>
      <w:pPr>
        <w:adjustRightInd w:val="0"/>
        <w:snapToGrid w:val="0"/>
        <w:spacing w:line="60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本部门2020年度“三公”经费财政拨款支出预算为2.5</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万元，支出决算为1.82元，完成预算的72.8</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%,较预算减少0.68万元，降低27.2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%，主要是因疫情外出接访任务有所减少；较2019年度减少0.29万元，降低13.74%，主要是落实中央八项规定、厉行节俭。</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color w:val="000000"/>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w:t>
      </w:r>
      <w:r>
        <w:rPr>
          <w:rFonts w:hint="eastAsia" w:ascii="仿宋_GB2312" w:hAnsi="Times New Roman" w:eastAsia="仿宋_GB2312" w:cs="Wingdings"/>
          <w:sz w:val="32"/>
          <w:szCs w:val="32"/>
        </w:rPr>
        <w:t>因公出国（境）费支出</w:t>
      </w:r>
      <w:r>
        <w:rPr>
          <w:rFonts w:hint="eastAsia" w:ascii="仿宋_GB2312" w:hAnsi="Times New Roman" w:eastAsia="仿宋_GB2312" w:cs="Wingdings"/>
          <w:sz w:val="32"/>
          <w:szCs w:val="32"/>
          <w:lang w:val="en-US" w:eastAsia="zh-CN"/>
        </w:rPr>
        <w:t>0万元，</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w:t>
      </w:r>
      <w:r>
        <w:rPr>
          <w:rFonts w:hint="eastAsia" w:ascii="仿宋_GB2312" w:hAnsi="仿宋_GB2312" w:eastAsia="仿宋_GB2312" w:cs="仿宋_GB2312"/>
          <w:sz w:val="32"/>
          <w:szCs w:val="32"/>
        </w:rPr>
        <w:t>本部门2020年</w:t>
      </w:r>
      <w:r>
        <w:rPr>
          <w:rFonts w:hint="eastAsia" w:ascii="仿宋_GB2312" w:hAnsi="Times New Roman" w:eastAsia="仿宋_GB2312" w:cs="Wingdings"/>
          <w:sz w:val="32"/>
          <w:szCs w:val="32"/>
        </w:rPr>
        <w:t>因公出国（境）费支出</w:t>
      </w:r>
      <w:r>
        <w:rPr>
          <w:rFonts w:hint="eastAsia" w:ascii="仿宋_GB2312" w:hAnsi="Times New Roman" w:eastAsia="仿宋_GB2312" w:cs="Wingdings"/>
          <w:sz w:val="32"/>
          <w:szCs w:val="32"/>
          <w:lang w:eastAsia="zh-CN"/>
        </w:rPr>
        <w:t>与</w:t>
      </w:r>
      <w:r>
        <w:rPr>
          <w:rFonts w:hint="eastAsia" w:ascii="仿宋_GB2312" w:hAnsi="Times New Roman" w:eastAsia="仿宋_GB2312" w:cs="Wingdings"/>
          <w:color w:val="000000"/>
          <w:sz w:val="32"/>
          <w:szCs w:val="32"/>
        </w:rPr>
        <w:t>2020年度年初预算持平、与2019年度决算支出持平。</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本部门2020年公务用车购置及运行维护费支出1.82万元，完成预算的72.8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较预算减少0.68万元，降低27.2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%,主要是因疫情外出接访任务有所减少；较上年减少0.29万元，降低13.74%,主要是落实中央八项规定、厉行节俭。</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w:t>
      </w:r>
      <w:r>
        <w:rPr>
          <w:rFonts w:hint="eastAsia" w:ascii="仿宋_GB2312" w:hAnsi="Times New Roman" w:eastAsia="仿宋_GB2312" w:cs="Wingdings"/>
          <w:color w:val="000000"/>
          <w:sz w:val="32"/>
          <w:szCs w:val="32"/>
        </w:rPr>
        <w:t>发生公务用车购置经费支出</w:t>
      </w:r>
      <w:r>
        <w:rPr>
          <w:rFonts w:hint="eastAsia" w:ascii="仿宋_GB2312" w:hAnsi="Times New Roman" w:eastAsia="仿宋_GB2312" w:cs="Wingdings"/>
          <w:color w:val="000000"/>
          <w:sz w:val="32"/>
          <w:szCs w:val="32"/>
          <w:lang w:val="en-US" w:eastAsia="zh-CN"/>
        </w:rPr>
        <w:t>0万元，</w:t>
      </w:r>
      <w:r>
        <w:rPr>
          <w:rFonts w:hint="eastAsia" w:ascii="仿宋_GB2312" w:hAnsi="Times New Roman" w:eastAsia="仿宋_GB2312" w:cs="Wingdings"/>
          <w:color w:val="000000"/>
          <w:sz w:val="32"/>
          <w:szCs w:val="32"/>
        </w:rPr>
        <w:t>与2020年度年初预算持平、与2019年度决算支出持平。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本部门2020年度单位公务用车保有量1辆,发生运行维护费支出1.82万元。公车运行维护费支出较预算减少0.68万元，降低27.2</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%,主要是因疫情外出接访任务有所减少；较上年减少0.29万元，降低13.74%,主要是落实中央八项规定、厉行节俭。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b w:val="0"/>
          <w:bCs w:val="0"/>
          <w:sz w:val="32"/>
          <w:szCs w:val="32"/>
        </w:rPr>
        <w:t>本部门2020年公务</w:t>
      </w:r>
      <w:r>
        <w:rPr>
          <w:rFonts w:hint="eastAsia" w:ascii="仿宋_GB2312" w:hAnsi="仿宋_GB2312" w:eastAsia="仿宋_GB2312" w:cs="仿宋_GB2312"/>
          <w:b w:val="0"/>
          <w:bCs w:val="0"/>
          <w:sz w:val="32"/>
          <w:szCs w:val="32"/>
          <w:lang w:val="en-US" w:eastAsia="zh-CN"/>
        </w:rPr>
        <w:t>接待</w:t>
      </w:r>
      <w:r>
        <w:rPr>
          <w:rFonts w:hint="eastAsia" w:ascii="仿宋_GB2312" w:hAnsi="仿宋_GB2312" w:eastAsia="仿宋_GB2312" w:cs="仿宋_GB2312"/>
          <w:b w:val="0"/>
          <w:bCs w:val="0"/>
          <w:sz w:val="32"/>
          <w:szCs w:val="32"/>
        </w:rPr>
        <w:t>费支出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w:t>
      </w:r>
      <w:r>
        <w:rPr>
          <w:rFonts w:hint="eastAsia" w:ascii="仿宋_GB2312" w:hAnsi="Times New Roman" w:eastAsia="仿宋_GB2312" w:cs="Wingdings"/>
          <w:color w:val="000000"/>
          <w:sz w:val="32"/>
          <w:szCs w:val="32"/>
        </w:rPr>
        <w:t>与2020年度年初预算持平、与2019年度决算支出持平。</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left="420" w:leftChars="20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本部门2020年度无项目支出。</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left="420" w:leftChars="20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本部门2020年度无项目支出。</w:t>
      </w:r>
    </w:p>
    <w:p>
      <w:pPr>
        <w:numPr>
          <w:numId w:val="0"/>
        </w:num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财政评价项目绩效。</w:t>
      </w:r>
    </w:p>
    <w:p>
      <w:pPr>
        <w:adjustRightInd w:val="0"/>
        <w:snapToGrid w:val="0"/>
        <w:spacing w:line="600" w:lineRule="exact"/>
        <w:ind w:left="420" w:leftChars="200" w:firstLine="960" w:firstLineChars="300"/>
        <w:rPr>
          <w:rFonts w:hint="eastAsia" w:ascii="仿宋_GB2312" w:hAnsi="仿宋_GB2312" w:eastAsia="楷体_GB2312" w:cs="仿宋_GB2312"/>
          <w:sz w:val="32"/>
          <w:szCs w:val="32"/>
        </w:rPr>
      </w:pPr>
      <w:r>
        <w:rPr>
          <w:rFonts w:hint="eastAsia" w:ascii="楷体_GB2312" w:hAnsi="楷体_GB2312" w:eastAsia="楷体_GB2312" w:cs="楷体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本部门2020年度机关运行经费支出42.46万元，比2019年度减少30.2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万元，降低41.56%。主要原因是</w:t>
      </w:r>
      <w:r>
        <w:rPr>
          <w:rFonts w:hint="eastAsia" w:ascii="仿宋_GB2312" w:hAnsi="Times New Roman" w:eastAsia="仿宋_GB2312" w:cs="Wingdings"/>
          <w:sz w:val="32"/>
          <w:szCs w:val="32"/>
        </w:rPr>
        <w:t>落实中央八项规定、厉行节俭。</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eastAsia="zh-CN" w:bidi="ar"/>
        </w:rPr>
        <w:t>。</w:t>
      </w:r>
      <w:r>
        <w:rPr>
          <w:rFonts w:hint="eastAsia" w:ascii="仿宋_GB2312" w:hAnsi="Times New Roman" w:eastAsia="仿宋_GB2312" w:cs="Wingdings"/>
          <w:sz w:val="32"/>
          <w:szCs w:val="32"/>
        </w:rPr>
        <w:t>本部门2020年度</w:t>
      </w:r>
      <w:r>
        <w:rPr>
          <w:rFonts w:hint="eastAsia" w:ascii="仿宋_GB2312" w:hAnsi="仿宋_GB2312" w:eastAsia="仿宋_GB2312" w:cs="仿宋_GB2312"/>
          <w:sz w:val="32"/>
          <w:szCs w:val="32"/>
        </w:rPr>
        <w:t>政府采购</w:t>
      </w:r>
      <w:r>
        <w:rPr>
          <w:rFonts w:hint="eastAsia" w:ascii="仿宋_GB2312" w:hAnsi="Times New Roman" w:eastAsia="仿宋_GB2312" w:cs="Wingdings"/>
          <w:color w:val="000000"/>
          <w:sz w:val="32"/>
          <w:szCs w:val="32"/>
        </w:rPr>
        <w:t>支出与2020年度年初预算持平、与2019年度决算支出持平。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截至2020年12月31日，本部门共有车辆1辆，</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上年增无变化。其中，其他用车1辆，主要</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rPr>
        <w:t>外出接访。</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无变化</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无变化。</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本部门2020年度未发生收支及结转结余情况，故政府性基金预算财政拨款收入支出决算表、国有资本经营预算财政拨款支出决算表以空表列示。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1440" w:firstLineChars="200"/>
        <w:jc w:val="left"/>
        <w:rPr>
          <w:rFonts w:ascii="仿宋_GB2312" w:hAnsi="Cambria" w:eastAsia="仿宋_GB2312" w:cs="Arial Black"/>
          <w:kern w:val="0"/>
          <w:sz w:val="32"/>
          <w:szCs w:val="32"/>
        </w:r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363220</wp:posOffset>
                </wp:positionV>
                <wp:extent cx="7793355" cy="4139565"/>
                <wp:effectExtent l="6350" t="6350" r="10795" b="6985"/>
                <wp:wrapNone/>
                <wp:docPr id="1" name="文本框 1"/>
                <wp:cNvGraphicFramePr/>
                <a:graphic xmlns:a="http://schemas.openxmlformats.org/drawingml/2006/main">
                  <a:graphicData uri="http://schemas.microsoft.com/office/word/2010/wordprocessingShape">
                    <wps:wsp>
                      <wps:cNvSpPr txBox="1"/>
                      <wps:spPr>
                        <a:xfrm>
                          <a:off x="0" y="0"/>
                          <a:ext cx="7793355" cy="4139565"/>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28.6pt;height:325.95pt;width:613.65pt;z-index:251664384;v-text-anchor:middle;mso-width-relative:page;mso-height-relative:page;" fillcolor="#7F7F7F" filled="t" stroked="t" coordsize="21600,21600" o:gfxdata="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nq+P59sAAAAMAQAADwAAAAAAAAABACAAAAAiAAAAZHJzL2Rvd25y&#10;ZXYueG1sUEsBAhQAFAAAAAgAh07iQDHx5rymAgAAqQUAAA4AAAAAAAAAAQAgAAAAKgEAAGRycy9l&#10;Mm9Eb2MueG1sUEsFBgAAAAAGAAYAWQEAAEIGA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部门：保定市满城区信访局</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142.81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115.90　</w:t>
            </w:r>
          </w:p>
        </w:tc>
      </w:tr>
      <w:tr>
        <w:tblPrEx>
          <w:tblCellMar>
            <w:top w:w="0" w:type="dxa"/>
            <w:left w:w="0" w:type="dxa"/>
            <w:bottom w:w="0" w:type="dxa"/>
            <w:right w:w="0" w:type="dxa"/>
          </w:tblCellMar>
        </w:tblPrEx>
        <w:trPr>
          <w:trHeight w:val="90"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rPr>
          <w:trHeight w:val="26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3</w:t>
            </w:r>
            <w:r>
              <w:rPr>
                <w:rFonts w:hint="eastAsia" w:ascii="宋体" w:hAnsi="宋体" w:eastAsia="宋体" w:cs="宋体"/>
                <w:color w:val="000000"/>
                <w:kern w:val="0"/>
                <w:sz w:val="18"/>
                <w:szCs w:val="18"/>
                <w:lang w:val="en-US" w:eastAsia="zh-CN" w:bidi="ar"/>
              </w:rPr>
              <w:t>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17.88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3.77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val="en-US" w:eastAsia="zh-CN" w:bidi="ar"/>
              </w:rPr>
              <w:t>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二十一、</w:t>
            </w:r>
            <w:r>
              <w:rPr>
                <w:rFonts w:hint="eastAsia" w:ascii="宋体" w:hAnsi="宋体" w:eastAsia="宋体" w:cs="宋体"/>
                <w:color w:val="000000"/>
                <w:kern w:val="0"/>
                <w:sz w:val="18"/>
                <w:szCs w:val="18"/>
                <w:lang w:eastAsia="zh-CN" w:bidi="ar"/>
              </w:rPr>
              <w:t>国有资本经营预算支出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二十三、其他支出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615"/>
              </w:tabs>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eastAsia="zh-CN" w:bidi="ar"/>
              </w:rPr>
              <w:t>二十五、债务付息支出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二十六、抗疫特别国债安排的支出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57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2"/>
                <w:sz w:val="18"/>
                <w:szCs w:val="18"/>
                <w:lang w:val="en-US" w:eastAsia="zh-CN" w:bidi="ar-SA"/>
              </w:rPr>
            </w:pPr>
            <w:r>
              <w:rPr>
                <w:rFonts w:hint="eastAsia" w:ascii="宋体" w:hAnsi="宋体" w:eastAsia="宋体" w:cs="宋体"/>
                <w:b/>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142.81</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2"/>
                <w:sz w:val="18"/>
                <w:szCs w:val="18"/>
                <w:lang w:val="en-US" w:eastAsia="zh-CN" w:bidi="ar-SA"/>
              </w:rPr>
            </w:pPr>
            <w:r>
              <w:rPr>
                <w:rFonts w:hint="eastAsia" w:ascii="宋体" w:hAnsi="宋体" w:eastAsia="宋体" w:cs="宋体"/>
                <w:b/>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142.81</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用事业基金弥补收支差额</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5</w:t>
            </w:r>
            <w:r>
              <w:rPr>
                <w:rFonts w:hint="eastAsia" w:ascii="宋体" w:hAnsi="宋体" w:eastAsia="宋体" w:cs="宋体"/>
                <w:color w:val="000000"/>
                <w:kern w:val="0"/>
                <w:sz w:val="18"/>
                <w:szCs w:val="18"/>
                <w:lang w:val="en-US" w:eastAsia="zh-CN" w:bidi="ar"/>
              </w:rPr>
              <w:t>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sz w:val="18"/>
                <w:szCs w:val="18"/>
                <w:lang w:val="en-US" w:eastAsia="zh-CN"/>
              </w:rPr>
              <w:t>61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142.81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62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142.81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5"/>
        <w:tblW w:w="9584" w:type="dxa"/>
        <w:jc w:val="center"/>
        <w:tblLayout w:type="autofit"/>
        <w:tblCellMar>
          <w:top w:w="0" w:type="dxa"/>
          <w:left w:w="0" w:type="dxa"/>
          <w:bottom w:w="0" w:type="dxa"/>
          <w:right w:w="0" w:type="dxa"/>
        </w:tblCellMar>
      </w:tblPr>
      <w:tblGrid>
        <w:gridCol w:w="198"/>
        <w:gridCol w:w="198"/>
        <w:gridCol w:w="195"/>
        <w:gridCol w:w="3592"/>
        <w:gridCol w:w="1047"/>
        <w:gridCol w:w="1047"/>
        <w:gridCol w:w="749"/>
        <w:gridCol w:w="749"/>
        <w:gridCol w:w="749"/>
        <w:gridCol w:w="749"/>
        <w:gridCol w:w="752"/>
      </w:tblGrid>
      <w:tr>
        <w:tblPrEx>
          <w:tblCellMar>
            <w:top w:w="0" w:type="dxa"/>
            <w:left w:w="0" w:type="dxa"/>
            <w:bottom w:w="0" w:type="dxa"/>
            <w:right w:w="0" w:type="dxa"/>
          </w:tblCellMar>
        </w:tblPrEx>
        <w:trPr>
          <w:trHeight w:val="670" w:hRule="atLeast"/>
          <w:jc w:val="center"/>
        </w:trPr>
        <w:tc>
          <w:tcPr>
            <w:tcW w:w="9584"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3332"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部门：保定市满城区信访局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85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25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25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5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27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color w:val="000000"/>
                <w:sz w:val="22"/>
              </w:rPr>
            </w:pPr>
            <w:r>
              <w:rPr>
                <w:rFonts w:hint="eastAsia" w:ascii="宋体" w:hAnsi="宋体" w:eastAsia="宋体" w:cs="宋体"/>
                <w:color w:val="000000"/>
                <w:kern w:val="0"/>
                <w:sz w:val="16"/>
                <w:szCs w:val="16"/>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Cs/>
                <w:color w:val="000000"/>
                <w:sz w:val="16"/>
                <w:szCs w:val="16"/>
              </w:rPr>
            </w:pPr>
            <w:r>
              <w:rPr>
                <w:rFonts w:hint="eastAsia" w:ascii="宋体" w:hAnsi="宋体" w:eastAsia="宋体" w:cs="宋体"/>
                <w:bCs/>
                <w:color w:val="000000"/>
                <w:sz w:val="16"/>
                <w:szCs w:val="16"/>
              </w:rPr>
              <w:t>142.81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Cs/>
                <w:color w:val="000000"/>
                <w:sz w:val="16"/>
                <w:szCs w:val="16"/>
              </w:rPr>
            </w:pPr>
            <w:r>
              <w:rPr>
                <w:rFonts w:hint="eastAsia" w:ascii="宋体" w:hAnsi="宋体" w:eastAsia="宋体" w:cs="宋体"/>
                <w:bCs/>
                <w:color w:val="000000"/>
                <w:sz w:val="16"/>
                <w:szCs w:val="16"/>
              </w:rPr>
              <w:t>142.81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b/>
                <w:color w:val="000000"/>
                <w:sz w:val="22"/>
              </w:rPr>
            </w:pPr>
          </w:p>
        </w:tc>
      </w:tr>
      <w:tr>
        <w:tblPrEx>
          <w:tblCellMar>
            <w:top w:w="0" w:type="dxa"/>
            <w:left w:w="0" w:type="dxa"/>
            <w:bottom w:w="0" w:type="dxa"/>
            <w:right w:w="0" w:type="dxa"/>
          </w:tblCellMar>
        </w:tblPrEx>
        <w:trPr>
          <w:trHeight w:val="26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2010308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信访事务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115.90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17.88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1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5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8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5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9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8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2210</w:t>
            </w:r>
            <w:r>
              <w:rPr>
                <w:rFonts w:hint="eastAsia" w:ascii="宋体" w:hAnsi="宋体" w:eastAsia="宋体" w:cs="宋体"/>
                <w:color w:val="000000"/>
                <w:sz w:val="16"/>
                <w:szCs w:val="16"/>
                <w:lang w:val="en-US" w:eastAsia="zh-CN"/>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25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6"/>
                <w:szCs w:val="16"/>
              </w:rPr>
            </w:pPr>
            <w:r>
              <w:rPr>
                <w:rFonts w:hint="eastAsia" w:ascii="宋体" w:hAnsi="宋体" w:eastAsia="宋体" w:cs="宋体"/>
                <w:color w:val="000000"/>
                <w:sz w:val="16"/>
                <w:szCs w:val="16"/>
              </w:rPr>
              <w:t>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240"/>
        <w:gridCol w:w="1503"/>
        <w:gridCol w:w="888"/>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2737"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8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73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8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5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8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73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8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73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142.81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142.81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一般公共服务支出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政府办公厅（室）及相关机构事务</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2010308</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信访事务</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行政事业单位养老支出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行政单位离退休</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机关事业单位基本养老保险缴费支出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机关事业单位职业年金缴费支出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卫生健康支出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行政事业单位医疗</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行政单位医疗</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住房保障支出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住房改革支出</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1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住房公积金</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10103" w:type="dxa"/>
              <w:tblInd w:w="0" w:type="dxa"/>
              <w:tblLayout w:type="fixed"/>
              <w:tblCellMar>
                <w:top w:w="0" w:type="dxa"/>
                <w:left w:w="108" w:type="dxa"/>
                <w:bottom w:w="0" w:type="dxa"/>
                <w:right w:w="108" w:type="dxa"/>
              </w:tblCellMar>
            </w:tblPr>
            <w:tblGrid>
              <w:gridCol w:w="2317"/>
              <w:gridCol w:w="465"/>
              <w:gridCol w:w="748"/>
              <w:gridCol w:w="2456"/>
              <w:gridCol w:w="446"/>
              <w:gridCol w:w="810"/>
              <w:gridCol w:w="810"/>
              <w:gridCol w:w="579"/>
              <w:gridCol w:w="1236"/>
              <w:gridCol w:w="236"/>
            </w:tblGrid>
            <w:tr>
              <w:tblPrEx>
                <w:tblCellMar>
                  <w:top w:w="0" w:type="dxa"/>
                  <w:left w:w="108" w:type="dxa"/>
                  <w:bottom w:w="0" w:type="dxa"/>
                  <w:right w:w="108" w:type="dxa"/>
                </w:tblCellMar>
              </w:tblPrEx>
              <w:trPr>
                <w:gridAfter w:val="1"/>
                <w:wAfter w:w="236"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625"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36"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部门：保定市满城区信访局</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815"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36"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337"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36"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1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1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579"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123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1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1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79"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123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3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115.90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115.90</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17.88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17.88</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3.77</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5.26</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5.26</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142.81</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142.81</w:t>
                  </w:r>
                </w:p>
              </w:tc>
              <w:tc>
                <w:tcPr>
                  <w:tcW w:w="8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142.81</w:t>
                  </w:r>
                </w:p>
              </w:tc>
              <w:tc>
                <w:tcPr>
                  <w:tcW w:w="579"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123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867" w:type="dxa"/>
                  <w:gridSpan w:val="9"/>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867" w:type="dxa"/>
                  <w:gridSpan w:val="9"/>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3003"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142.81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142.81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信访事务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115.90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17.88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机关事业单位基本养老缴费支出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11.16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2.98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5.26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spacing w:line="420" w:lineRule="exact"/>
        <w:jc w:val="center"/>
        <w:textAlignment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lang w:bidi="ar"/>
              </w:rPr>
              <w:t>部门：保定市满城区信访局</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97.28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40.86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57.78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2.51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1.37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3.23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1.6</w:t>
            </w:r>
            <w:r>
              <w:rPr>
                <w:rFonts w:hint="eastAsia" w:ascii="宋体" w:hAnsi="宋体" w:eastAsia="宋体" w:cs="宋体"/>
                <w:color w:val="000000"/>
                <w:sz w:val="16"/>
                <w:szCs w:val="16"/>
                <w:lang w:val="en-US" w:eastAsia="zh-CN"/>
              </w:rPr>
              <w:t>0</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1.96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rPr>
              <w:t>1.6</w:t>
            </w:r>
            <w:r>
              <w:rPr>
                <w:rFonts w:hint="eastAsia" w:ascii="宋体" w:hAnsi="宋体" w:eastAsia="宋体" w:cs="宋体"/>
                <w:color w:val="000000"/>
                <w:sz w:val="16"/>
                <w:szCs w:val="16"/>
                <w:lang w:val="en-US" w:eastAsia="zh-CN"/>
              </w:rPr>
              <w:t>0</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11.16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2.98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3.77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25.39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5.26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1.67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3.08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2.64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9"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0.25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100.35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ascii="宋体" w:hAnsi="宋体" w:eastAsia="宋体" w:cs="宋体"/>
                <w:color w:val="000000"/>
                <w:sz w:val="16"/>
                <w:szCs w:val="16"/>
              </w:rPr>
            </w:pPr>
            <w:r>
              <w:rPr>
                <w:rFonts w:hint="eastAsia" w:ascii="宋体" w:hAnsi="宋体" w:eastAsia="宋体" w:cs="宋体"/>
                <w:color w:val="000000"/>
                <w:sz w:val="16"/>
                <w:szCs w:val="16"/>
              </w:rPr>
              <w:t>42.46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2.50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r>
              <w:rPr>
                <w:rFonts w:hint="eastAsia" w:ascii="宋体" w:hAnsi="宋体" w:eastAsia="宋体" w:cs="宋体"/>
                <w:color w:val="000000"/>
                <w:szCs w:val="22"/>
              </w:rPr>
              <w:t>2.5</w:t>
            </w:r>
            <w:r>
              <w:rPr>
                <w:rFonts w:hint="eastAsia" w:ascii="宋体" w:hAnsi="宋体" w:eastAsia="宋体" w:cs="宋体"/>
                <w:color w:val="000000"/>
                <w:szCs w:val="22"/>
                <w:lang w:val="en-US" w:eastAsia="zh-CN"/>
              </w:rPr>
              <w:t>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1.82</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1.82</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eastAsia="宋体" w:cs="宋体"/>
                <w:color w:val="000000"/>
                <w:szCs w:val="22"/>
              </w:rPr>
              <w:t>1.82</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10141" w:type="dxa"/>
        <w:jc w:val="center"/>
        <w:tblLayout w:type="autofit"/>
        <w:tblCellMar>
          <w:top w:w="0" w:type="dxa"/>
          <w:left w:w="0" w:type="dxa"/>
          <w:bottom w:w="0" w:type="dxa"/>
          <w:right w:w="0" w:type="dxa"/>
        </w:tblCellMar>
      </w:tblPr>
      <w:tblGrid>
        <w:gridCol w:w="77"/>
        <w:gridCol w:w="77"/>
        <w:gridCol w:w="76"/>
        <w:gridCol w:w="1656"/>
        <w:gridCol w:w="1792"/>
        <w:gridCol w:w="1369"/>
        <w:gridCol w:w="1369"/>
        <w:gridCol w:w="1369"/>
        <w:gridCol w:w="1369"/>
        <w:gridCol w:w="1368"/>
      </w:tblGrid>
      <w:tr>
        <w:tblPrEx>
          <w:tblCellMar>
            <w:top w:w="0" w:type="dxa"/>
            <w:left w:w="0" w:type="dxa"/>
            <w:bottom w:w="0" w:type="dxa"/>
            <w:right w:w="0" w:type="dxa"/>
          </w:tblCellMar>
        </w:tblPrEx>
        <w:trPr>
          <w:trHeight w:val="780" w:hRule="atLeast"/>
          <w:jc w:val="center"/>
        </w:trPr>
        <w:tc>
          <w:tcPr>
            <w:tcW w:w="1014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3664" w:type="dxa"/>
            <w:gridSpan w:val="5"/>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eastAsia="宋体" w:cs="Arial"/>
                <w:color w:val="000000"/>
                <w:sz w:val="18"/>
                <w:szCs w:val="18"/>
              </w:rPr>
            </w:pPr>
            <w:r>
              <w:rPr>
                <w:rFonts w:hint="eastAsia" w:ascii="宋体" w:hAnsi="宋体" w:eastAsia="宋体" w:cs="宋体"/>
                <w:color w:val="000000"/>
                <w:kern w:val="0"/>
                <w:sz w:val="18"/>
                <w:szCs w:val="18"/>
                <w:lang w:bidi="ar"/>
              </w:rPr>
              <w:t>部门：保定市满城区信访局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5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2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88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24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5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24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rPr>
          <w:trHeight w:val="312" w:hRule="atLeast"/>
          <w:jc w:val="center"/>
        </w:trPr>
        <w:tc>
          <w:tcPr>
            <w:tcW w:w="24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5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eastAsia="宋体"/>
          <w:b/>
          <w:sz w:val="20"/>
          <w:szCs w:val="22"/>
          <w:highlight w:val="yellow"/>
        </w:rPr>
      </w:pPr>
      <w:r>
        <w:rPr>
          <w:rFonts w:hint="eastAsia" w:ascii="宋体" w:hAnsi="宋体" w:eastAsia="宋体" w:cs="宋体"/>
          <w:sz w:val="20"/>
          <w:szCs w:val="22"/>
        </w:rPr>
        <w:t>注：我单位本年度无政府性基金预算财政拨款收入、支出及结转结余，故空表列示。</w:t>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75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保定市满城区信访局</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w:t>
      </w:r>
      <w:bookmarkStart w:id="0" w:name="_GoBack"/>
      <w:r>
        <w:rPr>
          <w:rFonts w:hint="eastAsia" w:ascii="宋体" w:hAnsi="宋体" w:eastAsia="宋体" w:cs="宋体"/>
        </w:rPr>
        <w:t>我单位本年度无国有资本经营预算财政拨款收入、支出及结转结余</w:t>
      </w:r>
      <w:r>
        <w:rPr>
          <w:rFonts w:hint="eastAsia" w:ascii="宋体" w:hAnsi="宋体" w:eastAsia="宋体" w:cs="宋体"/>
          <w:lang w:eastAsia="zh-CN"/>
        </w:rPr>
        <w:t>，</w:t>
      </w:r>
      <w:r>
        <w:rPr>
          <w:rFonts w:hint="eastAsia" w:ascii="宋体" w:hAnsi="宋体" w:eastAsia="宋体" w:cs="宋体"/>
        </w:rPr>
        <w:t>故空表列示。</w:t>
      </w:r>
      <w:bookmarkEnd w:id="0"/>
    </w:p>
    <w:p>
      <w:pPr>
        <w:rPr>
          <w:rFonts w:ascii="黑体" w:hAnsi="黑体" w:eastAsia="黑体" w:cs="黑体"/>
          <w:sz w:val="56"/>
          <w:szCs w:val="72"/>
        </w:rPr>
      </w:pPr>
    </w:p>
    <w:p>
      <w:pPr>
        <w:tabs>
          <w:tab w:val="left" w:pos="235"/>
        </w:tabs>
        <w:spacing w:line="600" w:lineRule="exact"/>
        <w:jc w:val="left"/>
        <w:rPr>
          <w:rFonts w:ascii="仿宋_GB2312" w:hAnsi="Cambria" w:eastAsia="仿宋_GB2312" w:cs="Arial Black"/>
          <w:kern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C45458"/>
    <w:rsid w:val="00045C88"/>
    <w:rsid w:val="00061A05"/>
    <w:rsid w:val="000F641B"/>
    <w:rsid w:val="0014110A"/>
    <w:rsid w:val="00147C91"/>
    <w:rsid w:val="0018668E"/>
    <w:rsid w:val="001B73D2"/>
    <w:rsid w:val="001E62BF"/>
    <w:rsid w:val="00237EE7"/>
    <w:rsid w:val="00293E7B"/>
    <w:rsid w:val="002D1F4F"/>
    <w:rsid w:val="003574B9"/>
    <w:rsid w:val="00366D90"/>
    <w:rsid w:val="003D678E"/>
    <w:rsid w:val="005313F4"/>
    <w:rsid w:val="005A5363"/>
    <w:rsid w:val="0074481E"/>
    <w:rsid w:val="00801F66"/>
    <w:rsid w:val="009334BF"/>
    <w:rsid w:val="00B077FA"/>
    <w:rsid w:val="00C825B2"/>
    <w:rsid w:val="00F97340"/>
    <w:rsid w:val="00FC0168"/>
    <w:rsid w:val="01231935"/>
    <w:rsid w:val="04A31531"/>
    <w:rsid w:val="04E05615"/>
    <w:rsid w:val="055B3C77"/>
    <w:rsid w:val="058B71E0"/>
    <w:rsid w:val="081B42B0"/>
    <w:rsid w:val="08547C25"/>
    <w:rsid w:val="09E332D8"/>
    <w:rsid w:val="0C8F037A"/>
    <w:rsid w:val="0D8C5881"/>
    <w:rsid w:val="0DC667D3"/>
    <w:rsid w:val="0EA325C9"/>
    <w:rsid w:val="0EDD78A2"/>
    <w:rsid w:val="107A5935"/>
    <w:rsid w:val="12FF70F5"/>
    <w:rsid w:val="1467513B"/>
    <w:rsid w:val="149E0A74"/>
    <w:rsid w:val="18657380"/>
    <w:rsid w:val="19277340"/>
    <w:rsid w:val="193C6E5B"/>
    <w:rsid w:val="1C955029"/>
    <w:rsid w:val="1CF16831"/>
    <w:rsid w:val="1DE85B0A"/>
    <w:rsid w:val="1F686382"/>
    <w:rsid w:val="1FDF099E"/>
    <w:rsid w:val="20A80907"/>
    <w:rsid w:val="20CA722D"/>
    <w:rsid w:val="217824ED"/>
    <w:rsid w:val="2347494C"/>
    <w:rsid w:val="253A17B2"/>
    <w:rsid w:val="255E0C12"/>
    <w:rsid w:val="27A14B21"/>
    <w:rsid w:val="28295348"/>
    <w:rsid w:val="288D34B3"/>
    <w:rsid w:val="28F72BB8"/>
    <w:rsid w:val="2981092D"/>
    <w:rsid w:val="2A414DB9"/>
    <w:rsid w:val="2A8B09C2"/>
    <w:rsid w:val="2B9134E6"/>
    <w:rsid w:val="2C9A47B8"/>
    <w:rsid w:val="2CE25DF2"/>
    <w:rsid w:val="2D140CD0"/>
    <w:rsid w:val="2E1D1A2C"/>
    <w:rsid w:val="2FB96948"/>
    <w:rsid w:val="2FCD3AAA"/>
    <w:rsid w:val="30740D9C"/>
    <w:rsid w:val="3205581B"/>
    <w:rsid w:val="321C37DE"/>
    <w:rsid w:val="32D23AE2"/>
    <w:rsid w:val="3327616A"/>
    <w:rsid w:val="34673E79"/>
    <w:rsid w:val="34C45458"/>
    <w:rsid w:val="34E96916"/>
    <w:rsid w:val="35C83C42"/>
    <w:rsid w:val="3814321B"/>
    <w:rsid w:val="38174FB5"/>
    <w:rsid w:val="38FE3E58"/>
    <w:rsid w:val="39B35671"/>
    <w:rsid w:val="3A206291"/>
    <w:rsid w:val="3A8843F0"/>
    <w:rsid w:val="3EE44C49"/>
    <w:rsid w:val="413F50FD"/>
    <w:rsid w:val="428229AE"/>
    <w:rsid w:val="42B40860"/>
    <w:rsid w:val="43541FC4"/>
    <w:rsid w:val="44492187"/>
    <w:rsid w:val="44F601A7"/>
    <w:rsid w:val="45E90262"/>
    <w:rsid w:val="46AB2139"/>
    <w:rsid w:val="46E2118D"/>
    <w:rsid w:val="481C2832"/>
    <w:rsid w:val="496C0D81"/>
    <w:rsid w:val="4BEA6703"/>
    <w:rsid w:val="4C2B77C2"/>
    <w:rsid w:val="4E494188"/>
    <w:rsid w:val="4FFC1E6A"/>
    <w:rsid w:val="50B662C4"/>
    <w:rsid w:val="52110905"/>
    <w:rsid w:val="54B33666"/>
    <w:rsid w:val="551516A0"/>
    <w:rsid w:val="55DB6B70"/>
    <w:rsid w:val="561214A4"/>
    <w:rsid w:val="56886C56"/>
    <w:rsid w:val="56B2144E"/>
    <w:rsid w:val="58511D70"/>
    <w:rsid w:val="593F47EF"/>
    <w:rsid w:val="59CA0EBF"/>
    <w:rsid w:val="5B4230ED"/>
    <w:rsid w:val="5D0C63C4"/>
    <w:rsid w:val="5DEA61DE"/>
    <w:rsid w:val="5EB970D8"/>
    <w:rsid w:val="60055FEC"/>
    <w:rsid w:val="608F0CBE"/>
    <w:rsid w:val="60902499"/>
    <w:rsid w:val="615608F7"/>
    <w:rsid w:val="65E43AE0"/>
    <w:rsid w:val="65EA1BE8"/>
    <w:rsid w:val="665D5A11"/>
    <w:rsid w:val="67A913FE"/>
    <w:rsid w:val="67D54C23"/>
    <w:rsid w:val="6AE40D3B"/>
    <w:rsid w:val="6B6245DA"/>
    <w:rsid w:val="6BE63EDC"/>
    <w:rsid w:val="6C17130C"/>
    <w:rsid w:val="6D9C3FC7"/>
    <w:rsid w:val="6E031219"/>
    <w:rsid w:val="6E0E357F"/>
    <w:rsid w:val="701958F9"/>
    <w:rsid w:val="70EA2ABA"/>
    <w:rsid w:val="72BD5C24"/>
    <w:rsid w:val="73D824BD"/>
    <w:rsid w:val="75D819EF"/>
    <w:rsid w:val="779C60E2"/>
    <w:rsid w:val="7BE151E0"/>
    <w:rsid w:val="7C210974"/>
    <w:rsid w:val="7CB90B23"/>
    <w:rsid w:val="7D656AB6"/>
    <w:rsid w:val="7E49204C"/>
    <w:rsid w:val="7F88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endPar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197.07</c:v>
                </c:pt>
                <c:pt idx="1">
                  <c:v>142.81</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zh-CN" altLang="en-US"/>
                  <a:t>年份</a:t>
                </a:r>
                <a:endParaRPr lang="zh-CN" altLang="en-US"/>
              </a:p>
            </c:rich>
          </c:tx>
          <c:layout>
            <c:manualLayout>
              <c:xMode val="edge"/>
              <c:yMode val="edge"/>
              <c:x val="0.838469761759316"/>
              <c:y val="0.725698324022347"/>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max val="200"/>
        </c:scaling>
        <c:delete val="0"/>
        <c:axPos val="l"/>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zh-CN" altLang="en-US"/>
                  <a:t>金额：万元</a:t>
                </a:r>
                <a:endParaRPr lang="zh-CN" altLang="en-US"/>
              </a:p>
            </c:rich>
          </c:tx>
          <c:layout>
            <c:manualLayout>
              <c:xMode val="edge"/>
              <c:yMode val="edge"/>
              <c:x val="0.0281458895273836"/>
              <c:y val="0.0085251491901108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图二</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1" vertOverflow="ellipsis" vert="horz" wrap="square" lIns="38100" tIns="19050" rIns="38100" bIns="19050" anchor="ctr" anchorCtr="1"/>
                  <a:lstStyle/>
                  <a:p>
                    <a:fld id="{ae5ecedf-ec0e-471e-b18a-5230ee7d79c3}" type="VALUE">
                      <a:t>[VALUE]</a:t>
                    </a:fld>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fld id="{6d72eec9-3377-42c8-b53c-238a6f338c7b}" type="VALUE">
                      <a:t>[VALUE]</a:t>
                    </a:fld>
                  </a:p>
                </c:rich>
              </c:tx>
              <c:dLblPos val="in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fld id="{00d43372-d6d7-429f-829a-2397112030c7}" type="VALUE">
                      <a:t>[VALUE]</a:t>
                    </a:fld>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0.8116</c:v>
                </c:pt>
                <c:pt idx="1">
                  <c:v>0.1252</c:v>
                </c:pt>
                <c:pt idx="2">
                  <c:v>0.0264</c:v>
                </c:pt>
                <c:pt idx="3">
                  <c:v>0.0368</c:v>
                </c:pt>
              </c:numCache>
            </c:numRef>
          </c:val>
        </c:ser>
        <c:dLbls>
          <c:showLegendKey val="0"/>
          <c:showVal val="0"/>
          <c:showCatName val="0"/>
          <c:showSerName val="0"/>
          <c:showPercent val="1"/>
          <c:showBubbleSize val="0"/>
          <c:showLeaderLines val="1"/>
        </c:dLbls>
        <c:firstSliceAng val="292"/>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1591</Words>
  <Characters>9071</Characters>
  <Lines>75</Lines>
  <Paragraphs>21</Paragraphs>
  <TotalTime>7</TotalTime>
  <ScaleCrop>false</ScaleCrop>
  <LinksUpToDate>false</LinksUpToDate>
  <CharactersWithSpaces>10641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2021-10-11T13:37:00Z</dcterms:created>
  <dc:creator>王明新TIAD</dc:creator>
  <cp:lastModifiedBy>lenovo</cp:lastModifiedBy>
  <cp:lastPrinted>2021-10-12T01:54:00Z</cp:lastPrinted>
  <dcterms:modified xsi:type="dcterms:W3CDTF">2022-09-16T01:27:21Z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9235553B2859467A9014A5DE15479F29</vt:lpwstr>
  </property>
</Properties>
</file>