
<file path=[Content_Types].xml><?xml version="1.0" encoding="utf-8"?>
<Types xmlns="http://schemas.openxmlformats.org/package/2006/content-types">
  <Default Extension="xml" ContentType="application/xml"/>
  <Default Extension="xlsx" ContentType="application/vnd.openxmlformats-officedocument.spreadsheetml.sheet"/>
  <Default Extension="jpeg" ContentType="image/jpeg"/>
  <Default Extension="JPG" ContentType="image/.jpg"/>
  <Default Extension="bmp" ContentType="image/bmp"/>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eastAsiaTheme="minorEastAsia"/>
          <w:lang w:eastAsia="zh-CN"/>
        </w:rPr>
        <w:drawing>
          <wp:anchor distT="0" distB="0" distL="114300" distR="114300" simplePos="0" relativeHeight="251665408" behindDoc="0" locked="0" layoutInCell="1" allowOverlap="1">
            <wp:simplePos x="0" y="0"/>
            <wp:positionH relativeFrom="column">
              <wp:posOffset>-990600</wp:posOffset>
            </wp:positionH>
            <wp:positionV relativeFrom="paragraph">
              <wp:posOffset>-1352550</wp:posOffset>
            </wp:positionV>
            <wp:extent cx="8467090" cy="10615930"/>
            <wp:effectExtent l="0" t="0" r="6350" b="6350"/>
            <wp:wrapNone/>
            <wp:docPr id="5" name="图片 5" descr="微信图片_20220829103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220829103330"/>
                    <pic:cNvPicPr>
                      <a:picLocks noChangeAspect="1"/>
                    </pic:cNvPicPr>
                  </pic:nvPicPr>
                  <pic:blipFill>
                    <a:blip r:embed="rId9"/>
                    <a:stretch>
                      <a:fillRect/>
                    </a:stretch>
                  </pic:blipFill>
                  <pic:spPr>
                    <a:xfrm>
                      <a:off x="0" y="0"/>
                      <a:ext cx="8467090" cy="10615930"/>
                    </a:xfrm>
                    <a:prstGeom prst="rect">
                      <a:avLst/>
                    </a:prstGeom>
                  </pic:spPr>
                </pic:pic>
              </a:graphicData>
            </a:graphic>
          </wp:anchor>
        </w:drawing>
      </w:r>
      <w:r>
        <w:br w:type="page"/>
      </w:r>
    </w:p>
    <w:p>
      <w:pPr>
        <w:snapToGrid w:val="0"/>
        <w:jc w:val="center"/>
        <w:rPr>
          <w:rFonts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p>
      <w:pPr>
        <w:snapToGrid w:val="0"/>
        <w:jc w:val="center"/>
        <w:rPr>
          <w:rFonts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p>
      <w:pPr>
        <w:rPr>
          <w:rFonts w:hint="eastAsia" w:ascii="黑体" w:hAnsi="黑体" w:eastAsia="黑体" w:cs="黑体"/>
          <w:sz w:val="72"/>
          <w:szCs w:val="96"/>
          <w:lang w:eastAsia="zh-CN"/>
        </w:rPr>
      </w:pPr>
      <w:r>
        <w:rPr>
          <w:rFonts w:hint="eastAsia" w:ascii="黑体" w:hAnsi="黑体" w:eastAsia="黑体" w:cs="黑体"/>
          <w:sz w:val="72"/>
          <w:szCs w:val="96"/>
          <w:lang w:eastAsia="zh-CN"/>
        </w:rPr>
        <w:t>中共保定市满城区委统战部</w:t>
      </w:r>
    </w:p>
    <w:p>
      <w:pPr>
        <w:rPr>
          <w:rFonts w:ascii="黑体" w:hAnsi="黑体" w:eastAsia="黑体" w:cs="黑体"/>
          <w:sz w:val="72"/>
          <w:szCs w:val="96"/>
        </w:rPr>
      </w:pPr>
      <w:r>
        <w:rPr>
          <w:rFonts w:hint="eastAsia" w:ascii="黑体" w:hAnsi="黑体" w:eastAsia="黑体" w:cs="黑体"/>
          <w:sz w:val="72"/>
          <w:szCs w:val="96"/>
        </w:rPr>
        <w:t>2020年度部门决算公开文本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jc w:val="center"/>
        <w:rPr>
          <w:rFonts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p>
      <w:pPr>
        <w:snapToGrid w:val="0"/>
        <w:jc w:val="center"/>
        <w:rPr>
          <w:rFonts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p>
      <w:pPr>
        <w:snapToGrid w:val="0"/>
        <w:jc w:val="center"/>
        <w:rPr>
          <w:rFonts w:hint="eastAsia" w:ascii="楷体_GB2312" w:hAnsi="楷体_GB2312" w:eastAsia="楷体_GB2312" w:cs="楷体_GB2312"/>
          <w:color w:val="000000" w:themeColor="text1"/>
          <w:kern w:val="0"/>
          <w:sz w:val="40"/>
          <w:szCs w:val="40"/>
          <w:lang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sectPr>
          <w:pgSz w:w="11906" w:h="16838"/>
          <w:pgMar w:top="2098" w:right="1531" w:bottom="1984" w:left="1531" w:header="851" w:footer="992" w:gutter="0"/>
          <w:pgBorders>
            <w:top w:val="none" w:sz="0" w:space="0"/>
            <w:left w:val="none" w:sz="0" w:space="0"/>
            <w:bottom w:val="none" w:sz="0" w:space="0"/>
            <w:right w:val="none" w:sz="0" w:space="0"/>
          </w:pgBorders>
          <w:cols w:space="0" w:num="1"/>
          <w:titlePg/>
          <w:docGrid w:type="lines" w:linePitch="312" w:charSpace="0"/>
        </w:sectPr>
      </w:pPr>
      <w:r>
        <w:rPr>
          <w:rFonts w:hint="eastAsia"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二〇二一年</w:t>
      </w:r>
      <w:r>
        <w:rPr>
          <w:rFonts w:hint="eastAsia" w:ascii="楷体_GB2312" w:hAnsi="楷体_GB2312" w:eastAsia="楷体_GB2312" w:cs="楷体_GB2312"/>
          <w:color w:val="000000" w:themeColor="text1"/>
          <w:kern w:val="0"/>
          <w:sz w:val="40"/>
          <w:szCs w:val="40"/>
          <w:lang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十</w:t>
      </w:r>
      <w:r>
        <w:rPr>
          <w:rFonts w:hint="eastAsia"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月</w:t>
      </w:r>
    </w:p>
    <w:p>
      <w:pPr>
        <w:tabs>
          <w:tab w:val="left" w:pos="2728"/>
        </w:tabs>
        <w:jc w:val="center"/>
        <w:rPr>
          <w:rFonts w:hint="eastAsia" w:ascii="黑体" w:hAnsi="Times New Roman" w:eastAsia="黑体" w:cs="Times New Roman"/>
          <w:sz w:val="48"/>
          <w:szCs w:val="48"/>
        </w:rPr>
      </w:pPr>
    </w:p>
    <w:p>
      <w:pPr>
        <w:tabs>
          <w:tab w:val="left" w:pos="2728"/>
        </w:tabs>
        <w:jc w:val="center"/>
        <w:rPr>
          <w:rFonts w:hint="eastAsia" w:ascii="黑体" w:hAnsi="Times New Roman" w:eastAsia="黑体" w:cs="Times New Roman"/>
          <w:sz w:val="48"/>
          <w:szCs w:val="48"/>
        </w:rPr>
      </w:pPr>
    </w:p>
    <w:p>
      <w:pPr>
        <w:tabs>
          <w:tab w:val="left" w:pos="2728"/>
        </w:tabs>
        <w:jc w:val="center"/>
        <w:rPr>
          <w:rFonts w:ascii="黑体" w:hAnsi="Times New Roman" w:eastAsia="黑体" w:cs="Times New Roman"/>
          <w:sz w:val="48"/>
          <w:szCs w:val="48"/>
        </w:rPr>
      </w:pPr>
      <w:r>
        <w:rPr>
          <w:rFonts w:hint="eastAsia" w:ascii="黑体" w:hAnsi="Times New Roman" w:eastAsia="黑体" w:cs="Times New Roman"/>
          <w:sz w:val="48"/>
          <w:szCs w:val="48"/>
        </w:rPr>
        <w:t>目    录</w:t>
      </w:r>
    </w:p>
    <w:p>
      <w:pPr>
        <w:widowControl/>
        <w:spacing w:after="160" w:line="580" w:lineRule="exact"/>
        <w:ind w:firstLine="640" w:firstLineChars="200"/>
        <w:rPr>
          <w:rFonts w:ascii="Times New Roman" w:hAnsi="Times New Roman" w:eastAsia="黑体" w:cs="Times New Roman"/>
          <w:sz w:val="32"/>
          <w:szCs w:val="32"/>
        </w:rPr>
      </w:pP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keepNext w:val="0"/>
        <w:keepLines w:val="0"/>
        <w:pageBreakBefore w:val="0"/>
        <w:widowControl/>
        <w:kinsoku/>
        <w:wordWrap/>
        <w:overflowPunct/>
        <w:topLinePunct w:val="0"/>
        <w:autoSpaceDE/>
        <w:autoSpaceDN/>
        <w:bidi w:val="0"/>
        <w:adjustRightInd/>
        <w:snapToGrid/>
        <w:spacing w:line="640" w:lineRule="exact"/>
        <w:ind w:firstLine="1273" w:firstLineChars="398"/>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keepNext w:val="0"/>
        <w:keepLines w:val="0"/>
        <w:pageBreakBefore w:val="0"/>
        <w:widowControl/>
        <w:kinsoku/>
        <w:wordWrap/>
        <w:overflowPunct/>
        <w:topLinePunct w:val="0"/>
        <w:autoSpaceDE/>
        <w:autoSpaceDN/>
        <w:bidi w:val="0"/>
        <w:adjustRightInd/>
        <w:snapToGrid/>
        <w:spacing w:line="640" w:lineRule="exact"/>
        <w:ind w:firstLine="1273" w:firstLineChars="398"/>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第二部分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20</w:t>
      </w:r>
      <w:r>
        <w:rPr>
          <w:rFonts w:hint="eastAsia" w:ascii="Times New Roman" w:hAnsi="Times New Roman" w:eastAsia="黑体" w:cs="Times New Roman"/>
          <w:sz w:val="32"/>
          <w:szCs w:val="32"/>
        </w:rPr>
        <w:t>20</w:t>
      </w:r>
      <w:r>
        <w:rPr>
          <w:rFonts w:ascii="Times New Roman" w:hAnsi="Times New Roman" w:eastAsia="黑体" w:cs="Times New Roman"/>
          <w:sz w:val="32"/>
          <w:szCs w:val="32"/>
        </w:rPr>
        <w:t>年部门决算情况说明</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一、收入支出决算总体情况说明</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二、收入决算情况说明</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三、支出决算情况说明</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四、财政拨款收入支出决算总体情况说明</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五、一般公共预算“三公” 经费支出决算情况说明</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六、预算绩效情况说明</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七、机关运行经费情况</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八、政府采购情况</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九、国有资产占用情况</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十、其他需要说明的情况</w:t>
      </w: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黑体" w:cs="Times New Roman"/>
          <w:sz w:val="32"/>
          <w:szCs w:val="32"/>
        </w:rPr>
        <w:t>第三部分   名词解释</w:t>
      </w: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cs="Times New Roman"/>
          <w:sz w:val="20"/>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 xml:space="preserve"> 20</w:t>
      </w:r>
      <w:r>
        <w:rPr>
          <w:rFonts w:hint="eastAsia" w:ascii="Times New Roman" w:hAnsi="Times New Roman" w:eastAsia="黑体" w:cs="Times New Roman"/>
          <w:sz w:val="32"/>
          <w:szCs w:val="32"/>
        </w:rPr>
        <w:t>20</w:t>
      </w:r>
      <w:r>
        <w:rPr>
          <w:rFonts w:ascii="Times New Roman" w:hAnsi="Times New Roman" w:eastAsia="黑体" w:cs="Times New Roman"/>
          <w:sz w:val="32"/>
          <w:szCs w:val="32"/>
        </w:rPr>
        <w:t>年度部门决算报表</w:t>
      </w:r>
    </w:p>
    <w:p>
      <w:pPr>
        <w:widowControl/>
        <w:spacing w:after="160" w:line="580" w:lineRule="exact"/>
        <w:ind w:firstLine="640" w:firstLineChars="200"/>
        <w:rPr>
          <w:rFonts w:ascii="Times New Roman" w:hAnsi="Times New Roman" w:eastAsia="黑体" w:cs="Times New Roman"/>
          <w:sz w:val="32"/>
          <w:szCs w:val="32"/>
        </w:rPr>
        <w:sectPr>
          <w:headerReference r:id="rId4" w:type="first"/>
          <w:footerReference r:id="rId6" w:type="first"/>
          <w:headerReference r:id="rId3" w:type="default"/>
          <w:footerReference r:id="rId5" w:type="default"/>
          <w:type w:val="continuous"/>
          <w:pgSz w:w="11906" w:h="16838"/>
          <w:pgMar w:top="2098" w:right="1531" w:bottom="1984" w:left="1531" w:header="851" w:footer="992" w:gutter="0"/>
          <w:pgBorders>
            <w:top w:val="none" w:sz="0" w:space="0"/>
            <w:left w:val="none" w:sz="0" w:space="0"/>
            <w:bottom w:val="none" w:sz="0" w:space="0"/>
            <w:right w:val="none" w:sz="0" w:space="0"/>
          </w:pgBorders>
          <w:cols w:space="0" w:num="1"/>
          <w:titlePg/>
          <w:docGrid w:type="lines" w:linePitch="312" w:charSpace="0"/>
        </w:sect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rPr>
          <w:sz w:val="72"/>
        </w:rPr>
        <mc:AlternateContent>
          <mc:Choice Requires="wps">
            <w:drawing>
              <wp:anchor distT="0" distB="0" distL="114300" distR="114300" simplePos="0" relativeHeight="251659264" behindDoc="0" locked="0" layoutInCell="1" allowOverlap="1">
                <wp:simplePos x="0" y="0"/>
                <wp:positionH relativeFrom="column">
                  <wp:posOffset>-1088390</wp:posOffset>
                </wp:positionH>
                <wp:positionV relativeFrom="paragraph">
                  <wp:posOffset>1024890</wp:posOffset>
                </wp:positionV>
                <wp:extent cx="7793355" cy="3341370"/>
                <wp:effectExtent l="6350" t="6350" r="18415" b="20320"/>
                <wp:wrapNone/>
                <wp:docPr id="143" name="文本框 143"/>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chemeClr val="bg1">
                              <a:lumMod val="50000"/>
                            </a:schemeClr>
                          </a:fgClr>
                          <a:bgClr>
                            <a:schemeClr val="bg1"/>
                          </a:bgClr>
                        </a:pattFill>
                        <a:ln w="12700" cmpd="sng">
                          <a:solidFill>
                            <a:schemeClr val="bg1">
                              <a:lumMod val="65000"/>
                            </a:schemeClr>
                          </a:solidFill>
                          <a:prstDash val="solid"/>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第一部分  部门概况</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5.7pt;margin-top:80.7pt;height:263.1pt;width:613.65pt;z-index:251659264;v-text-anchor:middle;mso-width-relative:page;mso-height-relative:page;" fillcolor="#7F7F7F [1612]" filled="t" stroked="t" coordsize="21600,21600" o:gfxdata="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">
                <v:fill type="pattern" on="t" color2="#FFFFFF [3212]" o:title="5%" focussize="0,0" r:id="rId10"/>
                <v:stroke weight="1pt" color="#A6A6A6 [2092]" joinstyle="round"/>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第一部分  部门概况</w:t>
                      </w:r>
                    </w:p>
                  </w:txbxContent>
                </v:textbox>
              </v:shape>
            </w:pict>
          </mc:Fallback>
        </mc:AlternateContent>
      </w:r>
      <w: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spacing w:line="580" w:lineRule="exact"/>
        <w:ind w:firstLine="640" w:firstLineChars="200"/>
        <w:rPr>
          <w:rFonts w:hint="eastAsia" w:ascii="仿宋_GB2312" w:hAnsi="Calibri" w:eastAsia="仿宋_GB2312" w:cs="ArialUnicodeMS"/>
          <w:kern w:val="0"/>
          <w:sz w:val="32"/>
          <w:szCs w:val="32"/>
        </w:rPr>
      </w:pPr>
      <w:bookmarkStart w:id="0" w:name="_GoBack"/>
      <w:r>
        <w:rPr>
          <w:rFonts w:hint="eastAsia" w:ascii="仿宋_GB2312" w:hAnsi="Calibri" w:eastAsia="仿宋_GB2312" w:cs="ArialUnicodeMS"/>
          <w:kern w:val="0"/>
          <w:sz w:val="32"/>
          <w:szCs w:val="32"/>
        </w:rPr>
        <w:t>我单位编制人数7 个，行政编制数6个，机关工勤编制数1个，实有在职人员6 人，退休人员</w:t>
      </w:r>
      <w:r>
        <w:rPr>
          <w:rFonts w:hint="eastAsia" w:ascii="仿宋_GB2312" w:hAnsi="Calibri" w:eastAsia="仿宋_GB2312" w:cs="ArialUnicodeMS"/>
          <w:kern w:val="0"/>
          <w:sz w:val="32"/>
          <w:szCs w:val="32"/>
          <w:lang w:val="en-US"/>
        </w:rPr>
        <w:t>5</w:t>
      </w:r>
      <w:r>
        <w:rPr>
          <w:rFonts w:hint="eastAsia" w:ascii="仿宋_GB2312" w:hAnsi="Calibri" w:eastAsia="仿宋_GB2312" w:cs="ArialUnicodeMS"/>
          <w:kern w:val="0"/>
          <w:sz w:val="32"/>
          <w:szCs w:val="32"/>
        </w:rPr>
        <w:t xml:space="preserve"> 人。</w:t>
      </w:r>
    </w:p>
    <w:p>
      <w:pPr>
        <w:spacing w:line="580" w:lineRule="exact"/>
        <w:ind w:firstLine="640" w:firstLineChars="200"/>
        <w:rPr>
          <w:rFonts w:hint="eastAsia" w:ascii="仿宋_GB2312" w:hAnsi="Calibri" w:eastAsia="仿宋_GB2312" w:cs="ArialUnicodeMS"/>
          <w:kern w:val="0"/>
          <w:sz w:val="32"/>
          <w:szCs w:val="32"/>
        </w:rPr>
      </w:pPr>
      <w:r>
        <w:rPr>
          <w:rFonts w:hint="eastAsia" w:ascii="仿宋_GB2312" w:hAnsi="Calibri" w:eastAsia="仿宋_GB2312" w:cs="ArialUnicodeMS"/>
          <w:kern w:val="0"/>
          <w:sz w:val="32"/>
          <w:szCs w:val="32"/>
        </w:rPr>
        <w:t xml:space="preserve">   （一）调查研究统一战线的理论和重大的方针政策，组织贯彻执行中央关于统一战线的方针、政策；向上级统战部门和各级党委反映情况，提出开展统战工作的意见和建议。检查统战政策执行情况，协调统一战线各方面的关系。（二）负责联系各民主党派和无党派人士，及时通报情况，反映他们的意见和建议；研究、贯彻党领导的多党合作和政治协商制度及对民主党派的方针、政策；落实中央关于民主党派、无党派人士参政议政和民主监督作用的工作；支持、帮助各民主党派加强自身建设，选拔、培养新一代代表人物。（三）负责调查研究、协调检查有关民族宗教工作的重大方针、政策问题；联系少数民族和宗教界的代表人物；协助有关部门做好少数民族干部的培养和举荐工作。（四）负责开展以祖国统一为重点的海外统战工作；联系港、澳、台和华侨华人中的有关社团及代表人士；做好台胞、台属的有关工作。（五）负责党外人士的政治安排，会同有关部门做好培养、选拔、推荐党外人士担任政府和司法机关领导职务的工作，做好党外后备干部和党外代表人物的队伍建设工作。（六）负责联系工商联、港、澳、台及海外工商社团和代表人士。调查、研究并反映非公有制经济代表人物的情况，协调关系，提出政策建议，选拔、培养积极分子队伍。（七）调查研究党外知识分子的情况，反映意见，协调关系，提出政策建议；联系并培养党外知识分子的代表人物。（八）负责开展海内外统一战线的宣传工作。（九）协调政府各有关部门的统战工作。（十）负责贯彻落实党中央、国务院对台工作的方针、政策。（十一）负责对台宣传。坚持“和平统一、一国两制”的基本方针，结合两岸形势有针对性的开展对台工作的调查研究，及时向上级领导提出报告和建议。（十二）会同区有关部门，指导全区对台经贸工作。（十三）会同公安等部门做好两岸人员往来、交流工作。协调、指导全区涉及两岸金融、文化、教育、学术、科技、体育等方面的交流与合作事宜。（十四）负责对台湾上层人士的联络，做好来本区台胞的接待服务工作；协调处理全区涉台重大事件。（十五）完成上级统战部门和各级党委交办的其他任务。</w:t>
      </w:r>
    </w:p>
    <w:bookmarkEnd w:id="0"/>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从决算编报单位构成看，纳入</w:t>
      </w:r>
      <w:r>
        <w:rPr>
          <w:rFonts w:ascii="仿宋_GB2312" w:hAnsi="Calibri" w:eastAsia="仿宋_GB2312" w:cs="ArialUnicodeMS"/>
          <w:kern w:val="0"/>
          <w:sz w:val="32"/>
          <w:szCs w:val="32"/>
        </w:rPr>
        <w:t>20</w:t>
      </w:r>
      <w:r>
        <w:rPr>
          <w:rFonts w:hint="default" w:ascii="仿宋_GB2312" w:hAnsi="Calibri" w:eastAsia="仿宋_GB2312" w:cs="ArialUnicodeMS"/>
          <w:kern w:val="0"/>
          <w:sz w:val="32"/>
          <w:szCs w:val="32"/>
          <w:lang w:val="en-US"/>
        </w:rPr>
        <w:t>20</w:t>
      </w:r>
      <w:r>
        <w:rPr>
          <w:rFonts w:hint="eastAsia" w:ascii="仿宋_GB2312" w:hAnsi="Calibri" w:eastAsia="仿宋_GB2312" w:cs="ArialUnicodeMS"/>
          <w:kern w:val="0"/>
          <w:sz w:val="32"/>
          <w:szCs w:val="32"/>
        </w:rPr>
        <w:t>年度本部门决算汇编范围的独立核算单位（以下简称“单位”）共</w:t>
      </w:r>
      <w:r>
        <w:rPr>
          <w:rFonts w:hint="eastAsia" w:ascii="仿宋_GB2312" w:hAnsi="Calibri" w:eastAsia="仿宋_GB2312" w:cs="ArialUnicodeMS"/>
          <w:kern w:val="0"/>
          <w:sz w:val="32"/>
          <w:szCs w:val="32"/>
          <w:lang w:val="en-US" w:eastAsia="zh-CN"/>
        </w:rPr>
        <w:t>1</w:t>
      </w:r>
      <w:r>
        <w:rPr>
          <w:rFonts w:hint="eastAsia" w:ascii="仿宋_GB2312" w:hAnsi="Calibri" w:eastAsia="仿宋_GB2312" w:cs="ArialUnicodeMS"/>
          <w:kern w:val="0"/>
          <w:sz w:val="32"/>
          <w:szCs w:val="32"/>
        </w:rPr>
        <w:t>个，具体情况如下：</w:t>
      </w:r>
    </w:p>
    <w:tbl>
      <w:tblPr>
        <w:tblStyle w:val="5"/>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635"/>
        <w:gridCol w:w="229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序号</w:t>
            </w:r>
          </w:p>
        </w:tc>
        <w:tc>
          <w:tcPr>
            <w:tcW w:w="363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单位名称</w:t>
            </w:r>
          </w:p>
        </w:tc>
        <w:tc>
          <w:tcPr>
            <w:tcW w:w="229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单位基本性质</w:t>
            </w:r>
          </w:p>
        </w:tc>
        <w:tc>
          <w:tcPr>
            <w:tcW w:w="266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ascii="仿宋_GB2312" w:hAnsi="Calibri" w:eastAsia="仿宋_GB2312" w:cs="ArialUnicodeMS"/>
                <w:kern w:val="0"/>
                <w:sz w:val="28"/>
                <w:szCs w:val="28"/>
              </w:rPr>
              <w:t>1</w:t>
            </w:r>
          </w:p>
        </w:tc>
        <w:tc>
          <w:tcPr>
            <w:tcW w:w="3635" w:type="dxa"/>
          </w:tcPr>
          <w:p>
            <w:pPr>
              <w:spacing w:line="560" w:lineRule="exact"/>
              <w:rPr>
                <w:rFonts w:hint="eastAsia" w:ascii="仿宋_GB2312" w:hAnsi="Calibri" w:eastAsia="仿宋_GB2312" w:cs="ArialUnicodeMS"/>
                <w:kern w:val="0"/>
                <w:sz w:val="28"/>
                <w:szCs w:val="28"/>
                <w:lang w:eastAsia="zh-CN"/>
              </w:rPr>
            </w:pPr>
            <w:r>
              <w:rPr>
                <w:rFonts w:hint="eastAsia" w:ascii="仿宋_GB2312" w:hAnsi="Calibri" w:eastAsia="仿宋_GB2312" w:cs="ArialUnicodeMS"/>
                <w:kern w:val="0"/>
                <w:sz w:val="28"/>
                <w:szCs w:val="28"/>
                <w:lang w:eastAsia="zh-CN"/>
              </w:rPr>
              <w:t>中共保定市满城区委统战部</w:t>
            </w:r>
          </w:p>
        </w:tc>
        <w:tc>
          <w:tcPr>
            <w:tcW w:w="2295" w:type="dxa"/>
          </w:tcPr>
          <w:p>
            <w:pPr>
              <w:spacing w:line="560" w:lineRule="exact"/>
              <w:jc w:val="center"/>
              <w:rPr>
                <w:rFonts w:hint="eastAsia" w:ascii="仿宋_GB2312" w:hAnsi="Calibri" w:eastAsia="仿宋_GB2312" w:cs="ArialUnicodeMS"/>
                <w:kern w:val="0"/>
                <w:sz w:val="28"/>
                <w:szCs w:val="28"/>
                <w:lang w:eastAsia="zh-CN"/>
              </w:rPr>
            </w:pPr>
            <w:r>
              <w:rPr>
                <w:rFonts w:hint="eastAsia" w:ascii="仿宋_GB2312" w:hAnsi="Calibri" w:eastAsia="仿宋_GB2312" w:cs="ArialUnicodeMS"/>
                <w:kern w:val="0"/>
                <w:sz w:val="28"/>
                <w:szCs w:val="28"/>
                <w:lang w:eastAsia="zh-CN"/>
              </w:rPr>
              <w:t>行政单位</w:t>
            </w:r>
          </w:p>
        </w:tc>
        <w:tc>
          <w:tcPr>
            <w:tcW w:w="2665" w:type="dxa"/>
          </w:tcPr>
          <w:p>
            <w:pPr>
              <w:spacing w:line="560" w:lineRule="exact"/>
              <w:jc w:val="center"/>
              <w:rPr>
                <w:rFonts w:hint="eastAsia" w:ascii="仿宋_GB2312" w:hAnsi="Calibri" w:eastAsia="仿宋_GB2312" w:cs="ArialUnicodeMS"/>
                <w:kern w:val="0"/>
                <w:sz w:val="28"/>
                <w:szCs w:val="28"/>
                <w:lang w:eastAsia="zh-CN"/>
              </w:rPr>
            </w:pPr>
            <w:r>
              <w:rPr>
                <w:rFonts w:hint="eastAsia" w:ascii="仿宋_GB2312" w:hAnsi="Calibri" w:eastAsia="仿宋_GB2312" w:cs="ArialUnicodeMS"/>
                <w:kern w:val="0"/>
                <w:sz w:val="28"/>
                <w:szCs w:val="28"/>
                <w:lang w:eastAsia="zh-CN"/>
              </w:rPr>
              <w:t>财政拨款</w:t>
            </w:r>
          </w:p>
        </w:tc>
      </w:tr>
    </w:tbl>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r>
        <w:rPr>
          <w:sz w:val="72"/>
        </w:rPr>
        <mc:AlternateContent>
          <mc:Choice Requires="wps">
            <w:drawing>
              <wp:anchor distT="0" distB="0" distL="114300" distR="114300" simplePos="0" relativeHeight="251661312" behindDoc="0" locked="0" layoutInCell="1" allowOverlap="1">
                <wp:simplePos x="0" y="0"/>
                <wp:positionH relativeFrom="column">
                  <wp:posOffset>-1028065</wp:posOffset>
                </wp:positionH>
                <wp:positionV relativeFrom="paragraph">
                  <wp:posOffset>-2637155</wp:posOffset>
                </wp:positionV>
                <wp:extent cx="7793355" cy="3341370"/>
                <wp:effectExtent l="6350" t="6350" r="18415" b="20320"/>
                <wp:wrapNone/>
                <wp:docPr id="2" name="文本框 2"/>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chemeClr val="bg1">
                              <a:lumMod val="50000"/>
                            </a:schemeClr>
                          </a:fgClr>
                          <a:bgClr>
                            <a:schemeClr val="bg1"/>
                          </a:bgClr>
                        </a:pattFill>
                        <a:ln w="12700" cmpd="sng">
                          <a:solidFill>
                            <a:schemeClr val="bg1">
                              <a:lumMod val="65000"/>
                            </a:schemeClr>
                          </a:solidFill>
                          <a:prstDash val="solid"/>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第二部分 </w:t>
                            </w:r>
                          </w:p>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2020年部门决算情况说明</w:t>
                            </w:r>
                          </w:p>
                          <w:p>
                            <w:pPr>
                              <w:widowControl/>
                              <w:jc w:val="center"/>
                              <w:rPr>
                                <w14:textOutline w14:w="9525" w14:cap="flat" w14:cmpd="sng" w14:algn="ctr">
                                  <w14:solidFill>
                                    <w14:schemeClr w14:val="tx1">
                                      <w14:lumMod w14:val="50000"/>
                                      <w14:lumOff w14:val="50000"/>
                                    </w14:schemeClr>
                                  </w14:solidFill>
                                  <w14:prstDash w14:val="solid"/>
                                  <w14:round/>
                                </w14:textOutline>
                              </w:rPr>
                            </w:pPr>
                          </w:p>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0.95pt;margin-top:-207.65pt;height:263.1pt;width:613.65pt;z-index:251661312;v-text-anchor:middle;mso-width-relative:page;mso-height-relative:page;" fillcolor="#7F7F7F [1612]" filled="t" stroked="t" coordsize="21600,21600" o:gfxdata="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">
                <v:fill type="pattern" on="t" color2="#FFFFFF [3212]" o:title="5%" focussize="0,0" r:id="rId10"/>
                <v:stroke weight="1pt" color="#A6A6A6 [2092]" joinstyle="round"/>
                <v:imagedata o:title=""/>
                <o:lock v:ext="edit" aspectratio="f"/>
                <v:textbo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第二部分 </w:t>
                      </w:r>
                    </w:p>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2020年部门决算情况说明</w:t>
                      </w:r>
                    </w:p>
                    <w:p>
                      <w:pPr>
                        <w:widowControl/>
                        <w:jc w:val="center"/>
                        <w:rPr>
                          <w14:textOutline w14:w="9525" w14:cap="flat" w14:cmpd="sng" w14:algn="ctr">
                            <w14:solidFill>
                              <w14:schemeClr w14:val="tx1">
                                <w14:lumMod w14:val="50000"/>
                                <w14:lumOff w14:val="50000"/>
                              </w14:schemeClr>
                            </w14:solidFill>
                            <w14:prstDash w14:val="solid"/>
                            <w14:round/>
                          </w14:textOutline>
                        </w:rPr>
                      </w:pPr>
                    </w:p>
                    <w:p/>
                  </w:txbxContent>
                </v:textbox>
              </v:shape>
            </w:pict>
          </mc:Fallback>
        </mc:AlternateContent>
      </w:r>
    </w:p>
    <w:p>
      <w:pPr>
        <w:jc w:val="center"/>
        <w:rPr>
          <w:rFonts w:ascii="黑体" w:hAnsi="黑体" w:eastAsia="黑体" w:cs="黑体"/>
          <w:sz w:val="56"/>
          <w:szCs w:val="72"/>
        </w:rPr>
      </w:pPr>
    </w:p>
    <w:p>
      <w:pPr>
        <w:keepNext/>
        <w:keepLines/>
        <w:snapToGrid w:val="0"/>
        <w:spacing w:line="600" w:lineRule="exact"/>
        <w:ind w:firstLine="420" w:firstLineChars="200"/>
        <w:outlineLvl w:val="1"/>
        <w:rPr>
          <w:rFonts w:ascii="黑体" w:hAnsi="Calibri" w:eastAsia="黑体" w:cs="Times New Roman"/>
          <w:sz w:val="32"/>
          <w:szCs w:val="32"/>
        </w:rPr>
      </w:pPr>
      <w:r>
        <w:br w:type="page"/>
      </w:r>
      <w:r>
        <w:rPr>
          <w:rFonts w:hint="eastAsia" w:ascii="黑体" w:hAnsi="Calibri" w:eastAsia="黑体" w:cs="Times New Roman"/>
          <w:sz w:val="32"/>
          <w:szCs w:val="32"/>
        </w:rPr>
        <w:t>一、收入</w:t>
      </w:r>
      <w:r>
        <w:rPr>
          <w:rFonts w:hint="eastAsia" w:ascii="黑体" w:hAnsi="Cambria" w:eastAsia="黑体" w:cs="黑体"/>
          <w:kern w:val="0"/>
          <w:sz w:val="32"/>
          <w:szCs w:val="32"/>
        </w:rPr>
        <w:t>支出</w:t>
      </w:r>
      <w:r>
        <w:rPr>
          <w:rFonts w:hint="eastAsia" w:ascii="黑体" w:hAnsi="Calibri" w:eastAsia="黑体" w:cs="Times New Roman"/>
          <w:sz w:val="32"/>
          <w:szCs w:val="32"/>
        </w:rPr>
        <w:t>决算总体情况说明</w:t>
      </w:r>
    </w:p>
    <w:p>
      <w:pPr>
        <w:adjustRightInd w:val="0"/>
        <w:snapToGrid w:val="0"/>
        <w:spacing w:line="600" w:lineRule="exact"/>
        <w:ind w:firstLine="640" w:firstLineChars="200"/>
        <w:rPr>
          <w:rFonts w:ascii="仿宋_GB2312" w:hAnsi="Times New Roman" w:eastAsia="仿宋_GB2312" w:cs="Wingdings"/>
          <w:sz w:val="32"/>
          <w:szCs w:val="32"/>
          <w:highlight w:val="yellow"/>
        </w:rPr>
      </w:pPr>
      <w:r>
        <w:rPr>
          <w:rFonts w:hint="eastAsia" w:ascii="仿宋_GB2312" w:hAnsi="Times New Roman" w:eastAsia="仿宋_GB2312" w:cs="Wingdings"/>
          <w:sz w:val="32"/>
          <w:szCs w:val="32"/>
        </w:rPr>
        <w:t>本部门2020年度收、支总计（含结转和结余）</w:t>
      </w:r>
      <w:r>
        <w:rPr>
          <w:rFonts w:hint="default" w:ascii="仿宋_GB2312" w:hAnsi="Times New Roman" w:eastAsia="仿宋_GB2312" w:cs="Wingdings"/>
          <w:sz w:val="32"/>
          <w:szCs w:val="32"/>
          <w:lang w:val="en-US"/>
        </w:rPr>
        <w:t>72.2</w:t>
      </w:r>
      <w:r>
        <w:rPr>
          <w:rFonts w:hint="eastAsia" w:ascii="仿宋_GB2312" w:hAnsi="Times New Roman" w:eastAsia="仿宋_GB2312" w:cs="Wingdings"/>
          <w:sz w:val="32"/>
          <w:szCs w:val="32"/>
        </w:rPr>
        <w:t>万元。与2019年度决算相比，收支各增加</w:t>
      </w:r>
      <w:r>
        <w:rPr>
          <w:rFonts w:hint="default" w:ascii="仿宋_GB2312" w:hAnsi="Times New Roman" w:eastAsia="仿宋_GB2312" w:cs="Wingdings"/>
          <w:sz w:val="32"/>
          <w:szCs w:val="32"/>
          <w:lang w:val="en-US"/>
        </w:rPr>
        <w:t>1.02</w:t>
      </w:r>
      <w:r>
        <w:rPr>
          <w:rFonts w:hint="eastAsia" w:ascii="仿宋_GB2312" w:hAnsi="Times New Roman" w:eastAsia="仿宋_GB2312" w:cs="Wingdings"/>
          <w:sz w:val="32"/>
          <w:szCs w:val="32"/>
        </w:rPr>
        <w:t>万元，增长</w:t>
      </w:r>
      <w:r>
        <w:rPr>
          <w:rFonts w:hint="default" w:ascii="仿宋_GB2312" w:hAnsi="Times New Roman" w:eastAsia="仿宋_GB2312" w:cs="Wingdings"/>
          <w:sz w:val="32"/>
          <w:szCs w:val="32"/>
          <w:lang w:val="en-US"/>
        </w:rPr>
        <w:t>1.41</w:t>
      </w:r>
      <w:r>
        <w:rPr>
          <w:rFonts w:hint="eastAsia" w:ascii="仿宋_GB2312" w:hAnsi="Times New Roman" w:eastAsia="仿宋_GB2312" w:cs="Wingdings"/>
          <w:sz w:val="32"/>
          <w:szCs w:val="32"/>
        </w:rPr>
        <w:t>%，主要原因是</w:t>
      </w:r>
      <w:r>
        <w:rPr>
          <w:rFonts w:hint="eastAsia" w:ascii="仿宋_GB2312" w:hAnsi="Times New Roman" w:eastAsia="仿宋_GB2312" w:cs="Wingdings"/>
          <w:sz w:val="32"/>
          <w:szCs w:val="32"/>
          <w:lang w:eastAsia="zh-CN"/>
        </w:rPr>
        <w:t>在职人员工资调整、职级晋升增加工资</w:t>
      </w:r>
      <w:r>
        <w:rPr>
          <w:rFonts w:hint="eastAsia" w:ascii="仿宋_GB2312" w:hAnsi="Times New Roman" w:eastAsia="仿宋_GB2312" w:cs="Wingdings"/>
          <w:sz w:val="32"/>
          <w:szCs w:val="32"/>
        </w:rPr>
        <w:t>。</w:t>
      </w:r>
    </w:p>
    <w:p>
      <w:pPr>
        <w:adjustRightInd w:val="0"/>
        <w:snapToGrid w:val="0"/>
        <w:spacing w:line="600" w:lineRule="exact"/>
        <w:rPr>
          <w:rFonts w:ascii="仿宋_GB2312" w:hAnsi="Times New Roman" w:eastAsia="仿宋_GB2312" w:cs="Wingdings"/>
          <w:sz w:val="32"/>
          <w:szCs w:val="32"/>
        </w:rPr>
      </w:pPr>
      <w:r>
        <w:rPr>
          <w:rFonts w:hint="eastAsia" w:ascii="仿宋_GB2312" w:hAnsi="Times New Roman" w:eastAsia="仿宋_GB2312" w:cs="Wingdings"/>
          <w:sz w:val="32"/>
          <w:szCs w:val="32"/>
        </w:rPr>
        <w:drawing>
          <wp:anchor distT="0" distB="0" distL="114300" distR="114300" simplePos="0" relativeHeight="251662336" behindDoc="1" locked="0" layoutInCell="1" allowOverlap="1">
            <wp:simplePos x="0" y="0"/>
            <wp:positionH relativeFrom="column">
              <wp:posOffset>744220</wp:posOffset>
            </wp:positionH>
            <wp:positionV relativeFrom="paragraph">
              <wp:posOffset>62230</wp:posOffset>
            </wp:positionV>
            <wp:extent cx="4157980" cy="2273300"/>
            <wp:effectExtent l="0" t="0" r="2540" b="12700"/>
            <wp:wrapNone/>
            <wp:docPr id="27" name="图表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adjustRightInd w:val="0"/>
        <w:snapToGrid w:val="0"/>
        <w:spacing w:line="600" w:lineRule="exact"/>
        <w:ind w:firstLine="640" w:firstLineChars="200"/>
        <w:rPr>
          <w:rFonts w:ascii="仿宋_GB2312" w:hAnsi="Times New Roman" w:eastAsia="仿宋_GB2312" w:cs="Wingdings"/>
          <w:sz w:val="32"/>
          <w:szCs w:val="32"/>
        </w:rPr>
      </w:pPr>
    </w:p>
    <w:p>
      <w:pPr>
        <w:tabs>
          <w:tab w:val="left" w:pos="5800"/>
        </w:tabs>
        <w:adjustRightInd w:val="0"/>
        <w:snapToGrid w:val="0"/>
        <w:spacing w:line="600" w:lineRule="exact"/>
        <w:ind w:firstLine="640" w:firstLineChars="200"/>
        <w:rPr>
          <w:rFonts w:ascii="仿宋_GB2312" w:hAnsi="Times New Roman" w:eastAsia="仿宋_GB2312" w:cs="Wingdings"/>
          <w:sz w:val="18"/>
          <w:szCs w:val="18"/>
        </w:rPr>
      </w:pPr>
      <w:r>
        <w:rPr>
          <w:rFonts w:ascii="仿宋_GB2312" w:hAnsi="Times New Roman" w:eastAsia="仿宋_GB2312" w:cs="Wingdings"/>
          <w:sz w:val="32"/>
          <w:szCs w:val="32"/>
        </w:rPr>
        <w:tab/>
      </w:r>
    </w:p>
    <w:p>
      <w:pPr>
        <w:adjustRightInd w:val="0"/>
        <w:snapToGrid w:val="0"/>
        <w:spacing w:line="600" w:lineRule="exact"/>
        <w:ind w:firstLine="640" w:firstLineChars="200"/>
        <w:rPr>
          <w:rFonts w:ascii="仿宋_GB2312" w:hAnsi="Times New Roman" w:eastAsia="仿宋_GB2312" w:cs="Wingdings"/>
          <w:sz w:val="32"/>
          <w:szCs w:val="32"/>
        </w:rPr>
      </w:pPr>
    </w:p>
    <w:p>
      <w:pPr>
        <w:tabs>
          <w:tab w:val="left" w:pos="2820"/>
        </w:tabs>
        <w:adjustRightInd w:val="0"/>
        <w:snapToGrid w:val="0"/>
        <w:spacing w:line="600" w:lineRule="exact"/>
        <w:ind w:firstLine="640" w:firstLineChars="200"/>
        <w:rPr>
          <w:rFonts w:ascii="仿宋_GB2312" w:hAnsi="Times New Roman" w:eastAsia="仿宋_GB2312" w:cs="Wingdings"/>
          <w:sz w:val="20"/>
          <w:szCs w:val="20"/>
        </w:rPr>
      </w:pPr>
      <w:r>
        <w:rPr>
          <w:rFonts w:ascii="仿宋_GB2312" w:hAnsi="Times New Roman" w:eastAsia="仿宋_GB2312" w:cs="Wingdings"/>
          <w:sz w:val="32"/>
          <w:szCs w:val="32"/>
        </w:rPr>
        <w:tab/>
      </w:r>
    </w:p>
    <w:p>
      <w:pPr>
        <w:keepNext/>
        <w:keepLines/>
        <w:snapToGrid w:val="0"/>
        <w:spacing w:line="600" w:lineRule="exact"/>
        <w:ind w:firstLine="640" w:firstLineChars="200"/>
        <w:outlineLvl w:val="1"/>
        <w:rPr>
          <w:rFonts w:ascii="黑体" w:hAnsi="Calibri" w:eastAsia="黑体" w:cs="Times New Roman"/>
          <w:sz w:val="32"/>
          <w:szCs w:val="32"/>
        </w:rPr>
      </w:pPr>
    </w:p>
    <w:p>
      <w:pPr>
        <w:keepNext/>
        <w:keepLines/>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二、收入决算情况说明</w:t>
      </w:r>
    </w:p>
    <w:p>
      <w:pPr>
        <w:snapToGrid w:val="0"/>
        <w:spacing w:line="600" w:lineRule="exact"/>
        <w:ind w:firstLine="640" w:firstLineChars="200"/>
        <w:outlineLvl w:val="1"/>
        <w:rPr>
          <w:rFonts w:ascii="黑体" w:hAnsi="Calibri" w:eastAsia="黑体" w:cs="Times New Roman"/>
          <w:sz w:val="32"/>
          <w:szCs w:val="32"/>
        </w:rPr>
      </w:pPr>
      <w:r>
        <w:rPr>
          <w:rFonts w:hint="eastAsia" w:ascii="仿宋_GB2312" w:hAnsi="Times New Roman" w:eastAsia="仿宋_GB2312" w:cs="Wingdings"/>
          <w:sz w:val="32"/>
          <w:szCs w:val="32"/>
        </w:rPr>
        <w:t>本部门2020年度本年收入合计</w:t>
      </w:r>
      <w:r>
        <w:rPr>
          <w:rFonts w:hint="eastAsia" w:ascii="仿宋_GB2312" w:hAnsi="Times New Roman" w:eastAsia="仿宋_GB2312" w:cs="Wingdings"/>
          <w:sz w:val="32"/>
          <w:szCs w:val="32"/>
          <w:lang w:val="en-US" w:eastAsia="zh-CN"/>
        </w:rPr>
        <w:t>72.2</w:t>
      </w:r>
      <w:r>
        <w:rPr>
          <w:rFonts w:hint="eastAsia" w:ascii="仿宋_GB2312" w:hAnsi="Times New Roman" w:eastAsia="仿宋_GB2312" w:cs="Wingdings"/>
          <w:sz w:val="32"/>
          <w:szCs w:val="32"/>
        </w:rPr>
        <w:t>万元，其中：财政拨款收入</w:t>
      </w:r>
      <w:r>
        <w:rPr>
          <w:rFonts w:hint="eastAsia" w:ascii="仿宋_GB2312" w:hAnsi="Times New Roman" w:eastAsia="仿宋_GB2312" w:cs="Wingdings"/>
          <w:sz w:val="32"/>
          <w:szCs w:val="32"/>
          <w:lang w:val="en-US" w:eastAsia="zh-CN"/>
        </w:rPr>
        <w:t>72.2</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100</w:t>
      </w:r>
      <w:r>
        <w:rPr>
          <w:rFonts w:hint="eastAsia" w:ascii="仿宋_GB2312" w:hAnsi="Times New Roman" w:eastAsia="仿宋_GB2312" w:cs="Wingdings"/>
          <w:sz w:val="32"/>
          <w:szCs w:val="32"/>
        </w:rPr>
        <w:t>%；事业收入</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%；经营收入</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%；其他收入</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w:t>
      </w:r>
    </w:p>
    <w:p>
      <w:pPr>
        <w:numPr>
          <w:ilvl w:val="0"/>
          <w:numId w:val="1"/>
        </w:numPr>
        <w:snapToGrid w:val="0"/>
        <w:spacing w:line="600" w:lineRule="exact"/>
        <w:ind w:firstLine="640" w:firstLineChars="200"/>
        <w:outlineLvl w:val="1"/>
        <w:rPr>
          <w:rFonts w:hint="eastAsia" w:ascii="黑体" w:hAnsi="Calibri" w:eastAsia="黑体" w:cs="Times New Roman"/>
          <w:sz w:val="32"/>
          <w:szCs w:val="32"/>
        </w:rPr>
      </w:pPr>
      <w:r>
        <w:rPr>
          <w:rFonts w:hint="eastAsia" w:ascii="黑体" w:hAnsi="Calibri" w:eastAsia="黑体" w:cs="Times New Roman"/>
          <w:sz w:val="32"/>
          <w:szCs w:val="32"/>
        </w:rPr>
        <w:t>支出决算情况说明</w:t>
      </w:r>
    </w:p>
    <w:p>
      <w:pPr>
        <w:numPr>
          <w:ilvl w:val="0"/>
          <w:numId w:val="0"/>
        </w:numPr>
        <w:snapToGrid w:val="0"/>
        <w:spacing w:line="600" w:lineRule="exact"/>
        <w:ind w:firstLine="640" w:firstLineChars="200"/>
        <w:outlineLvl w:val="1"/>
        <w:rPr>
          <w:rFonts w:ascii="仿宋_GB2312" w:hAnsi="Times New Roman" w:eastAsia="仿宋_GB2312" w:cs="Wingdings"/>
          <w:sz w:val="32"/>
          <w:szCs w:val="32"/>
        </w:rPr>
      </w:pPr>
      <w:r>
        <w:rPr>
          <w:rFonts w:hint="eastAsia" w:ascii="仿宋_GB2312" w:hAnsi="Times New Roman" w:eastAsia="仿宋_GB2312" w:cs="Wingdings"/>
          <w:sz w:val="32"/>
          <w:szCs w:val="32"/>
        </w:rPr>
        <w:t>本部门2020年度本年支出合计</w:t>
      </w:r>
      <w:r>
        <w:rPr>
          <w:rFonts w:hint="eastAsia" w:ascii="仿宋_GB2312" w:hAnsi="Times New Roman" w:eastAsia="仿宋_GB2312" w:cs="Wingdings"/>
          <w:sz w:val="32"/>
          <w:szCs w:val="32"/>
          <w:lang w:val="en-US" w:eastAsia="zh-CN"/>
        </w:rPr>
        <w:t>72.2</w:t>
      </w:r>
      <w:r>
        <w:rPr>
          <w:rFonts w:hint="eastAsia" w:ascii="仿宋_GB2312" w:hAnsi="Times New Roman" w:eastAsia="仿宋_GB2312" w:cs="Wingdings"/>
          <w:sz w:val="32"/>
          <w:szCs w:val="32"/>
        </w:rPr>
        <w:t>万元，其中：基本支出</w:t>
      </w:r>
      <w:r>
        <w:rPr>
          <w:rFonts w:hint="eastAsia" w:ascii="仿宋_GB2312" w:hAnsi="Times New Roman" w:eastAsia="仿宋_GB2312" w:cs="Wingdings"/>
          <w:sz w:val="32"/>
          <w:szCs w:val="32"/>
          <w:lang w:val="en-US" w:eastAsia="zh-CN"/>
        </w:rPr>
        <w:t>67.2</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93.07</w:t>
      </w:r>
      <w:r>
        <w:rPr>
          <w:rFonts w:hint="eastAsia" w:ascii="仿宋_GB2312" w:hAnsi="Times New Roman" w:eastAsia="仿宋_GB2312" w:cs="Wingdings"/>
          <w:sz w:val="32"/>
          <w:szCs w:val="32"/>
        </w:rPr>
        <w:t>%；项目支出</w:t>
      </w:r>
      <w:r>
        <w:rPr>
          <w:rFonts w:hint="eastAsia" w:ascii="仿宋_GB2312" w:hAnsi="Times New Roman" w:eastAsia="仿宋_GB2312" w:cs="Wingdings"/>
          <w:sz w:val="32"/>
          <w:szCs w:val="32"/>
          <w:lang w:val="en-US" w:eastAsia="zh-CN"/>
        </w:rPr>
        <w:t>5</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6.93</w:t>
      </w:r>
      <w:r>
        <w:rPr>
          <w:rFonts w:hint="eastAsia" w:ascii="仿宋_GB2312" w:hAnsi="Times New Roman" w:eastAsia="仿宋_GB2312" w:cs="Wingdings"/>
          <w:sz w:val="32"/>
          <w:szCs w:val="32"/>
        </w:rPr>
        <w:t>%；经营支出</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w:t>
      </w:r>
    </w:p>
    <w:p>
      <w:pPr>
        <w:keepNext/>
        <w:keepLines/>
        <w:snapToGrid w:val="0"/>
        <w:spacing w:line="600" w:lineRule="exact"/>
        <w:ind w:firstLine="643" w:firstLineChars="200"/>
        <w:outlineLvl w:val="1"/>
        <w:rPr>
          <w:rFonts w:ascii="黑体" w:hAnsi="Calibri" w:eastAsia="黑体" w:cs="Times New Roman"/>
          <w:b/>
          <w:bCs/>
          <w:sz w:val="32"/>
          <w:szCs w:val="32"/>
        </w:rPr>
      </w:pPr>
    </w:p>
    <w:p>
      <w:pPr>
        <w:keepNext/>
        <w:keepLines/>
        <w:snapToGrid w:val="0"/>
        <w:spacing w:line="600" w:lineRule="exact"/>
        <w:ind w:firstLine="643" w:firstLineChars="200"/>
        <w:outlineLvl w:val="1"/>
        <w:rPr>
          <w:rFonts w:ascii="黑体" w:hAnsi="Calibri" w:eastAsia="黑体" w:cs="Times New Roman"/>
          <w:b/>
          <w:bCs/>
          <w:sz w:val="32"/>
          <w:szCs w:val="32"/>
        </w:rPr>
      </w:pPr>
    </w:p>
    <w:p>
      <w:pPr>
        <w:keepNext/>
        <w:keepLines/>
        <w:snapToGrid w:val="0"/>
        <w:spacing w:line="600" w:lineRule="exact"/>
        <w:ind w:firstLine="643" w:firstLineChars="200"/>
        <w:outlineLvl w:val="1"/>
        <w:rPr>
          <w:rFonts w:ascii="黑体" w:hAnsi="Calibri" w:eastAsia="黑体" w:cs="Times New Roman"/>
          <w:b/>
          <w:bCs/>
          <w:sz w:val="32"/>
          <w:szCs w:val="32"/>
        </w:rPr>
      </w:pPr>
    </w:p>
    <w:p>
      <w:pPr>
        <w:keepNext/>
        <w:keepLines/>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四、</w:t>
      </w:r>
      <w:r>
        <w:rPr>
          <w:rFonts w:hint="eastAsia" w:ascii="黑体" w:hAnsi="Cambria" w:eastAsia="黑体" w:cs="黑体"/>
          <w:kern w:val="0"/>
          <w:sz w:val="32"/>
          <w:szCs w:val="32"/>
        </w:rPr>
        <w:t>财政</w:t>
      </w:r>
      <w:r>
        <w:rPr>
          <w:rFonts w:hint="eastAsia" w:ascii="黑体" w:hAnsi="Calibri" w:eastAsia="黑体" w:cs="Times New Roman"/>
          <w:sz w:val="32"/>
          <w:szCs w:val="32"/>
        </w:rPr>
        <w:t>拨款收入支出决算总体情况说明</w:t>
      </w:r>
    </w:p>
    <w:p>
      <w:pPr>
        <w:snapToGrid w:val="0"/>
        <w:spacing w:line="600" w:lineRule="exact"/>
        <w:ind w:firstLine="643" w:firstLine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（一）财政拨款收支与2019年度决算对比情况</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本部门2020年度财政拨款收支均为一般公共预算财政拨款，其中本年收入</w:t>
      </w:r>
      <w:r>
        <w:rPr>
          <w:rFonts w:hint="eastAsia" w:ascii="仿宋_GB2312" w:hAnsi="Times New Roman" w:eastAsia="仿宋_GB2312" w:cs="Wingdings"/>
          <w:sz w:val="32"/>
          <w:szCs w:val="32"/>
          <w:lang w:val="en-US" w:eastAsia="zh-CN"/>
        </w:rPr>
        <w:t>72.2</w:t>
      </w:r>
      <w:r>
        <w:rPr>
          <w:rFonts w:hint="eastAsia" w:ascii="仿宋_GB2312" w:hAnsi="Times New Roman" w:eastAsia="仿宋_GB2312" w:cs="Wingdings"/>
          <w:sz w:val="32"/>
          <w:szCs w:val="32"/>
        </w:rPr>
        <w:t>万元,比2019年度增加</w:t>
      </w:r>
      <w:r>
        <w:rPr>
          <w:rFonts w:hint="eastAsia" w:ascii="仿宋_GB2312" w:hAnsi="Times New Roman" w:eastAsia="仿宋_GB2312" w:cs="Wingdings"/>
          <w:sz w:val="32"/>
          <w:szCs w:val="32"/>
          <w:lang w:val="en-US" w:eastAsia="zh-CN"/>
        </w:rPr>
        <w:t>1.02</w:t>
      </w:r>
      <w:r>
        <w:rPr>
          <w:rFonts w:hint="eastAsia" w:ascii="仿宋_GB2312" w:hAnsi="Times New Roman" w:eastAsia="仿宋_GB2312" w:cs="Wingdings"/>
          <w:sz w:val="32"/>
          <w:szCs w:val="32"/>
        </w:rPr>
        <w:t>万元，增长</w:t>
      </w:r>
      <w:r>
        <w:rPr>
          <w:rFonts w:hint="eastAsia" w:ascii="仿宋_GB2312" w:hAnsi="Times New Roman" w:eastAsia="仿宋_GB2312" w:cs="Wingdings"/>
          <w:sz w:val="32"/>
          <w:szCs w:val="32"/>
          <w:lang w:val="en-US" w:eastAsia="zh-CN"/>
        </w:rPr>
        <w:t>1.41</w:t>
      </w:r>
      <w:r>
        <w:rPr>
          <w:rFonts w:hint="eastAsia" w:ascii="仿宋_GB2312" w:hAnsi="Times New Roman" w:eastAsia="仿宋_GB2312" w:cs="Wingdings"/>
          <w:sz w:val="32"/>
          <w:szCs w:val="32"/>
        </w:rPr>
        <w:t>%，主要是</w:t>
      </w:r>
      <w:r>
        <w:rPr>
          <w:rFonts w:hint="eastAsia" w:ascii="仿宋_GB2312" w:hAnsi="Times New Roman" w:eastAsia="仿宋_GB2312" w:cs="Wingdings"/>
          <w:sz w:val="32"/>
          <w:szCs w:val="32"/>
          <w:lang w:eastAsia="zh-CN"/>
        </w:rPr>
        <w:t>在职人员工资调整、职级晋升增加工资</w:t>
      </w:r>
      <w:r>
        <w:rPr>
          <w:rFonts w:hint="eastAsia" w:ascii="仿宋_GB2312" w:hAnsi="Times New Roman" w:eastAsia="仿宋_GB2312" w:cs="Wingdings"/>
          <w:sz w:val="32"/>
          <w:szCs w:val="32"/>
        </w:rPr>
        <w:t>；本年支出</w:t>
      </w:r>
      <w:r>
        <w:rPr>
          <w:rFonts w:hint="eastAsia" w:ascii="仿宋_GB2312" w:hAnsi="Times New Roman" w:eastAsia="仿宋_GB2312" w:cs="Wingdings"/>
          <w:sz w:val="32"/>
          <w:szCs w:val="32"/>
          <w:lang w:val="en-US" w:eastAsia="zh-CN"/>
        </w:rPr>
        <w:t>72.2</w:t>
      </w:r>
      <w:r>
        <w:rPr>
          <w:rFonts w:hint="eastAsia" w:ascii="仿宋_GB2312" w:hAnsi="Times New Roman" w:eastAsia="仿宋_GB2312" w:cs="Wingdings"/>
          <w:sz w:val="32"/>
          <w:szCs w:val="32"/>
        </w:rPr>
        <w:t>万元，增加</w:t>
      </w:r>
      <w:r>
        <w:rPr>
          <w:rFonts w:hint="eastAsia" w:ascii="仿宋_GB2312" w:hAnsi="Times New Roman" w:eastAsia="仿宋_GB2312" w:cs="Wingdings"/>
          <w:sz w:val="32"/>
          <w:szCs w:val="32"/>
          <w:lang w:val="en-US" w:eastAsia="zh-CN"/>
        </w:rPr>
        <w:t>1.02</w:t>
      </w:r>
      <w:r>
        <w:rPr>
          <w:rFonts w:hint="eastAsia" w:ascii="仿宋_GB2312" w:hAnsi="Times New Roman" w:eastAsia="仿宋_GB2312" w:cs="Wingdings"/>
          <w:sz w:val="32"/>
          <w:szCs w:val="32"/>
        </w:rPr>
        <w:t>万元，增长</w:t>
      </w:r>
      <w:r>
        <w:rPr>
          <w:rFonts w:hint="eastAsia" w:ascii="仿宋_GB2312" w:hAnsi="Times New Roman" w:eastAsia="仿宋_GB2312" w:cs="Wingdings"/>
          <w:sz w:val="32"/>
          <w:szCs w:val="32"/>
          <w:lang w:val="en-US" w:eastAsia="zh-CN"/>
        </w:rPr>
        <w:t>1.41</w:t>
      </w:r>
      <w:r>
        <w:rPr>
          <w:rFonts w:hint="eastAsia" w:ascii="仿宋_GB2312" w:hAnsi="Times New Roman" w:eastAsia="仿宋_GB2312" w:cs="Wingdings"/>
          <w:sz w:val="32"/>
          <w:szCs w:val="32"/>
        </w:rPr>
        <w:t>%，主要是</w:t>
      </w:r>
      <w:r>
        <w:rPr>
          <w:rFonts w:hint="eastAsia" w:ascii="仿宋_GB2312" w:hAnsi="Times New Roman" w:eastAsia="仿宋_GB2312" w:cs="Wingdings"/>
          <w:sz w:val="32"/>
          <w:szCs w:val="32"/>
          <w:lang w:eastAsia="zh-CN"/>
        </w:rPr>
        <w:t>在职人员工资调整、职级晋升增加工资</w:t>
      </w:r>
      <w:r>
        <w:rPr>
          <w:rFonts w:hint="eastAsia" w:ascii="仿宋_GB2312" w:hAnsi="Times New Roman" w:eastAsia="仿宋_GB2312" w:cs="Wingdings"/>
          <w:sz w:val="32"/>
          <w:szCs w:val="32"/>
        </w:rPr>
        <w:t>。</w:t>
      </w:r>
    </w:p>
    <w:p>
      <w:pPr>
        <w:snapToGrid w:val="0"/>
        <w:spacing w:line="600" w:lineRule="exact"/>
        <w:ind w:firstLine="643" w:firstLineChars="200"/>
        <w:rPr>
          <w:rFonts w:ascii="仿宋_GB2312" w:hAnsi="Times New Roman" w:eastAsia="仿宋_GB2312" w:cs="Mongolian Baiti"/>
          <w:b/>
          <w:bCs/>
          <w:sz w:val="32"/>
          <w:szCs w:val="32"/>
        </w:rPr>
      </w:pPr>
      <w:r>
        <w:rPr>
          <w:rFonts w:hint="eastAsia" w:ascii="楷体_GB2312" w:hAnsi="Times New Roman" w:eastAsia="楷体_GB2312" w:cs="Mongolian Baiti"/>
          <w:b/>
          <w:bCs/>
          <w:sz w:val="32"/>
          <w:szCs w:val="32"/>
        </w:rPr>
        <w:t>（二）财政拨款收支与年初预算数对比情况</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本部门2020年度一般公共预算财政拨款收入</w:t>
      </w:r>
      <w:r>
        <w:rPr>
          <w:rFonts w:hint="eastAsia" w:ascii="仿宋_GB2312" w:hAnsi="Times New Roman" w:eastAsia="仿宋_GB2312" w:cs="Wingdings"/>
          <w:sz w:val="32"/>
          <w:szCs w:val="32"/>
          <w:lang w:val="en-US" w:eastAsia="zh-CN"/>
        </w:rPr>
        <w:t>72.2</w:t>
      </w:r>
      <w:r>
        <w:rPr>
          <w:rFonts w:hint="eastAsia" w:ascii="仿宋_GB2312" w:hAnsi="Times New Roman" w:eastAsia="仿宋_GB2312" w:cs="Wingdings"/>
          <w:sz w:val="32"/>
          <w:szCs w:val="32"/>
        </w:rPr>
        <w:t>万元，完成年初预算的</w:t>
      </w:r>
      <w:r>
        <w:rPr>
          <w:rFonts w:hint="eastAsia" w:ascii="仿宋_GB2312" w:hAnsi="Times New Roman" w:eastAsia="仿宋_GB2312" w:cs="Wingdings"/>
          <w:sz w:val="32"/>
          <w:szCs w:val="32"/>
          <w:lang w:val="en-US" w:eastAsia="zh-CN"/>
        </w:rPr>
        <w:t>95.1</w:t>
      </w:r>
      <w:r>
        <w:rPr>
          <w:rFonts w:hint="eastAsia" w:ascii="仿宋_GB2312" w:hAnsi="Times New Roman" w:eastAsia="仿宋_GB2312" w:cs="Wingdings"/>
          <w:sz w:val="32"/>
          <w:szCs w:val="32"/>
        </w:rPr>
        <w:t>%,比年初预算减少</w:t>
      </w:r>
      <w:r>
        <w:rPr>
          <w:rFonts w:hint="eastAsia" w:ascii="仿宋_GB2312" w:hAnsi="Times New Roman" w:eastAsia="仿宋_GB2312" w:cs="Wingdings"/>
          <w:sz w:val="32"/>
          <w:szCs w:val="32"/>
          <w:lang w:val="en-US" w:eastAsia="zh-CN"/>
        </w:rPr>
        <w:t>3.73</w:t>
      </w:r>
      <w:r>
        <w:rPr>
          <w:rFonts w:hint="eastAsia" w:ascii="仿宋_GB2312" w:hAnsi="Times New Roman" w:eastAsia="仿宋_GB2312" w:cs="Wingdings"/>
          <w:sz w:val="32"/>
          <w:szCs w:val="32"/>
        </w:rPr>
        <w:t>万元，决算数小于预算数主要原因是</w:t>
      </w:r>
      <w:r>
        <w:rPr>
          <w:rFonts w:hint="eastAsia" w:ascii="仿宋_GB2312" w:hAnsi="Times New Roman" w:eastAsia="仿宋_GB2312" w:cs="DengXian-Regular"/>
          <w:sz w:val="32"/>
          <w:szCs w:val="32"/>
          <w:lang w:eastAsia="zh-CN"/>
        </w:rPr>
        <w:t>减少人员经费支出和严格控制三公经费开支</w:t>
      </w:r>
      <w:r>
        <w:rPr>
          <w:rFonts w:hint="eastAsia" w:ascii="仿宋_GB2312" w:hAnsi="Times New Roman" w:eastAsia="仿宋_GB2312" w:cs="Wingdings"/>
          <w:sz w:val="32"/>
          <w:szCs w:val="32"/>
        </w:rPr>
        <w:t>；本年支出</w:t>
      </w:r>
      <w:r>
        <w:rPr>
          <w:rFonts w:hint="eastAsia" w:ascii="仿宋_GB2312" w:hAnsi="Times New Roman" w:eastAsia="仿宋_GB2312" w:cs="Wingdings"/>
          <w:sz w:val="32"/>
          <w:szCs w:val="32"/>
          <w:lang w:val="en-US" w:eastAsia="zh-CN"/>
        </w:rPr>
        <w:t>72.2</w:t>
      </w:r>
      <w:r>
        <w:rPr>
          <w:rFonts w:hint="eastAsia" w:ascii="仿宋_GB2312" w:hAnsi="Times New Roman" w:eastAsia="仿宋_GB2312" w:cs="Wingdings"/>
          <w:sz w:val="32"/>
          <w:szCs w:val="32"/>
        </w:rPr>
        <w:t>万元，完成年初预算的</w:t>
      </w:r>
      <w:r>
        <w:rPr>
          <w:rFonts w:hint="eastAsia" w:ascii="仿宋_GB2312" w:hAnsi="Times New Roman" w:eastAsia="仿宋_GB2312" w:cs="Wingdings"/>
          <w:sz w:val="32"/>
          <w:szCs w:val="32"/>
          <w:lang w:val="en-US" w:eastAsia="zh-CN"/>
        </w:rPr>
        <w:t>95.1</w:t>
      </w:r>
      <w:r>
        <w:rPr>
          <w:rFonts w:hint="eastAsia" w:ascii="仿宋_GB2312" w:hAnsi="Times New Roman" w:eastAsia="仿宋_GB2312" w:cs="Wingdings"/>
          <w:sz w:val="32"/>
          <w:szCs w:val="32"/>
        </w:rPr>
        <w:t>%,比年初预算减少</w:t>
      </w:r>
      <w:r>
        <w:rPr>
          <w:rFonts w:hint="eastAsia" w:ascii="仿宋_GB2312" w:hAnsi="Times New Roman" w:eastAsia="仿宋_GB2312" w:cs="Wingdings"/>
          <w:sz w:val="32"/>
          <w:szCs w:val="32"/>
          <w:lang w:val="en-US" w:eastAsia="zh-CN"/>
        </w:rPr>
        <w:t>3.73</w:t>
      </w:r>
      <w:r>
        <w:rPr>
          <w:rFonts w:hint="eastAsia" w:ascii="仿宋_GB2312" w:hAnsi="Times New Roman" w:eastAsia="仿宋_GB2312" w:cs="Wingdings"/>
          <w:sz w:val="32"/>
          <w:szCs w:val="32"/>
        </w:rPr>
        <w:t>万元，决算数小于预算数主要原因是主要是</w:t>
      </w:r>
      <w:r>
        <w:rPr>
          <w:rFonts w:hint="eastAsia" w:ascii="仿宋_GB2312" w:hAnsi="Times New Roman" w:eastAsia="仿宋_GB2312" w:cs="DengXian-Regular"/>
          <w:sz w:val="32"/>
          <w:szCs w:val="32"/>
          <w:lang w:eastAsia="zh-CN"/>
        </w:rPr>
        <w:t>减少人员经费支出和严格控制三公经费开支</w:t>
      </w:r>
      <w:r>
        <w:rPr>
          <w:rFonts w:hint="eastAsia" w:ascii="仿宋_GB2312" w:hAnsi="Times New Roman" w:eastAsia="仿宋_GB2312" w:cs="Wingdings"/>
          <w:sz w:val="32"/>
          <w:szCs w:val="32"/>
        </w:rPr>
        <w:t>。</w:t>
      </w:r>
    </w:p>
    <w:p>
      <w:pPr>
        <w:numPr>
          <w:ilvl w:val="0"/>
          <w:numId w:val="2"/>
        </w:numPr>
        <w:adjustRightInd w:val="0"/>
        <w:snapToGrid w:val="0"/>
        <w:spacing w:line="600" w:lineRule="exact"/>
        <w:ind w:left="420" w:left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财政拨款支出决算结构情况。</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2020 年度财政拨款支出</w:t>
      </w:r>
      <w:r>
        <w:rPr>
          <w:rFonts w:hint="eastAsia" w:ascii="仿宋_GB2312" w:hAnsi="Times New Roman" w:eastAsia="仿宋_GB2312" w:cs="Wingdings"/>
          <w:sz w:val="32"/>
          <w:szCs w:val="32"/>
          <w:lang w:val="en-US" w:eastAsia="zh-CN"/>
        </w:rPr>
        <w:t>72.2</w:t>
      </w:r>
      <w:r>
        <w:rPr>
          <w:rFonts w:hint="eastAsia" w:ascii="仿宋_GB2312" w:hAnsi="Times New Roman" w:eastAsia="仿宋_GB2312" w:cs="Wingdings"/>
          <w:sz w:val="32"/>
          <w:szCs w:val="32"/>
        </w:rPr>
        <w:t>万元，主要用于以下方面（按本部门支出的功能分类大类进行列举，可对各类资多支出用途进行概括说明）：比如：一般公共服务（类）支出</w:t>
      </w:r>
      <w:r>
        <w:rPr>
          <w:rFonts w:hint="eastAsia" w:ascii="仿宋_GB2312" w:hAnsi="Times New Roman" w:eastAsia="仿宋_GB2312" w:cs="Wingdings"/>
          <w:sz w:val="32"/>
          <w:szCs w:val="32"/>
          <w:lang w:val="en-US" w:eastAsia="zh-CN"/>
        </w:rPr>
        <w:t>55.04</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76.23</w:t>
      </w:r>
      <w:r>
        <w:rPr>
          <w:rFonts w:hint="eastAsia" w:ascii="仿宋_GB2312" w:hAnsi="Times New Roman" w:eastAsia="仿宋_GB2312" w:cs="Wingdings"/>
          <w:sz w:val="32"/>
          <w:szCs w:val="32"/>
        </w:rPr>
        <w:t>%，；公共安全类（类）支出</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%；教育（类）支出</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%；科学技术（类）支出</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 xml:space="preserve">万元，占 </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%；社会保障和就业（类）支出</w:t>
      </w:r>
      <w:r>
        <w:rPr>
          <w:rFonts w:hint="eastAsia" w:ascii="仿宋_GB2312" w:hAnsi="Times New Roman" w:eastAsia="仿宋_GB2312" w:cs="Wingdings"/>
          <w:sz w:val="32"/>
          <w:szCs w:val="32"/>
          <w:lang w:val="en-US" w:eastAsia="zh-CN"/>
        </w:rPr>
        <w:t>11.63</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16.11</w:t>
      </w:r>
      <w:r>
        <w:rPr>
          <w:rFonts w:hint="eastAsia" w:ascii="仿宋_GB2312" w:hAnsi="Times New Roman" w:eastAsia="仿宋_GB2312" w:cs="Wingdings"/>
          <w:sz w:val="32"/>
          <w:szCs w:val="32"/>
        </w:rPr>
        <w:t>%；住房保障（类）支出</w:t>
      </w:r>
      <w:r>
        <w:rPr>
          <w:rFonts w:hint="eastAsia" w:ascii="仿宋_GB2312" w:hAnsi="Times New Roman" w:eastAsia="仿宋_GB2312" w:cs="Wingdings"/>
          <w:sz w:val="32"/>
          <w:szCs w:val="32"/>
          <w:lang w:val="en-US" w:eastAsia="zh-CN"/>
        </w:rPr>
        <w:t>3.17</w:t>
      </w:r>
      <w:r>
        <w:rPr>
          <w:rFonts w:hint="eastAsia" w:ascii="仿宋_GB2312" w:hAnsi="Times New Roman" w:eastAsia="仿宋_GB2312" w:cs="Wingdings"/>
          <w:sz w:val="32"/>
          <w:szCs w:val="32"/>
        </w:rPr>
        <w:t xml:space="preserve">万元，占 </w:t>
      </w:r>
      <w:r>
        <w:rPr>
          <w:rFonts w:hint="eastAsia" w:ascii="仿宋_GB2312" w:hAnsi="Times New Roman" w:eastAsia="仿宋_GB2312" w:cs="Wingdings"/>
          <w:sz w:val="32"/>
          <w:szCs w:val="32"/>
          <w:lang w:val="en-US" w:eastAsia="zh-CN"/>
        </w:rPr>
        <w:t>4.39</w:t>
      </w:r>
      <w:r>
        <w:rPr>
          <w:rFonts w:hint="eastAsia" w:ascii="仿宋_GB2312" w:hAnsi="Times New Roman" w:eastAsia="仿宋_GB2312" w:cs="Wingdings"/>
          <w:sz w:val="32"/>
          <w:szCs w:val="32"/>
        </w:rPr>
        <w:t>%;</w:t>
      </w:r>
      <w:r>
        <w:rPr>
          <w:rFonts w:hint="eastAsia" w:ascii="仿宋_GB2312" w:hAnsi="Times New Roman" w:eastAsia="仿宋_GB2312" w:cs="Wingdings"/>
          <w:sz w:val="32"/>
          <w:szCs w:val="32"/>
          <w:lang w:eastAsia="zh-CN"/>
        </w:rPr>
        <w:t>卫生健康支出</w:t>
      </w:r>
      <w:r>
        <w:rPr>
          <w:rFonts w:hint="eastAsia" w:ascii="仿宋_GB2312" w:hAnsi="Times New Roman" w:eastAsia="仿宋_GB2312" w:cs="Wingdings"/>
          <w:sz w:val="32"/>
          <w:szCs w:val="32"/>
          <w:lang w:val="en-US" w:eastAsia="zh-CN"/>
        </w:rPr>
        <w:t>2.36万元，占3.27</w:t>
      </w:r>
      <w:r>
        <w:rPr>
          <w:rFonts w:hint="eastAsia" w:ascii="仿宋_GB2312" w:hAnsi="Times New Roman" w:eastAsia="仿宋_GB2312" w:cs="Wingdings"/>
          <w:sz w:val="32"/>
          <w:szCs w:val="32"/>
        </w:rPr>
        <w:t>%。</w:t>
      </w:r>
    </w:p>
    <w:p>
      <w:pPr>
        <w:adjustRightInd w:val="0"/>
        <w:snapToGrid w:val="0"/>
        <w:spacing w:line="600" w:lineRule="exact"/>
        <w:rPr>
          <w:rFonts w:ascii="楷体_GB2312" w:hAnsi="Times New Roman" w:eastAsia="楷体_GB2312" w:cs="Mongolian Baiti"/>
          <w:b/>
          <w:bCs/>
          <w:sz w:val="32"/>
          <w:szCs w:val="32"/>
        </w:rPr>
      </w:pPr>
    </w:p>
    <w:p>
      <w:pPr>
        <w:adjustRightInd w:val="0"/>
        <w:snapToGrid w:val="0"/>
        <w:spacing w:line="600" w:lineRule="exact"/>
        <w:ind w:left="420" w:left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（四）一般公共预算基本支出决算情况说明</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2020 年度财政拨款基本支出</w:t>
      </w:r>
      <w:r>
        <w:rPr>
          <w:rFonts w:hint="eastAsia" w:ascii="仿宋_GB2312" w:hAnsi="Times New Roman" w:eastAsia="仿宋_GB2312" w:cs="Wingdings"/>
          <w:sz w:val="32"/>
          <w:szCs w:val="32"/>
          <w:lang w:val="en-US" w:eastAsia="zh-CN"/>
        </w:rPr>
        <w:t>72.2</w:t>
      </w:r>
      <w:r>
        <w:rPr>
          <w:rFonts w:hint="eastAsia" w:ascii="仿宋_GB2312" w:hAnsi="Times New Roman" w:eastAsia="仿宋_GB2312" w:cs="Wingdings"/>
          <w:sz w:val="32"/>
          <w:szCs w:val="32"/>
        </w:rPr>
        <w:t xml:space="preserve">万元，其中：人员经费 </w:t>
      </w:r>
      <w:r>
        <w:rPr>
          <w:rFonts w:hint="eastAsia" w:ascii="仿宋_GB2312" w:hAnsi="Times New Roman" w:eastAsia="仿宋_GB2312" w:cs="Wingdings"/>
          <w:sz w:val="32"/>
          <w:szCs w:val="32"/>
          <w:lang w:val="en-US" w:eastAsia="zh-CN"/>
        </w:rPr>
        <w:t>55.8</w:t>
      </w:r>
      <w:r>
        <w:rPr>
          <w:rFonts w:hint="eastAsia" w:ascii="仿宋_GB2312" w:hAnsi="Times New Roman" w:eastAsia="仿宋_GB2312" w:cs="Wingdings"/>
          <w:sz w:val="32"/>
          <w:szCs w:val="32"/>
        </w:rPr>
        <w:t xml:space="preserve">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 </w:t>
      </w:r>
      <w:r>
        <w:rPr>
          <w:rFonts w:hint="eastAsia" w:ascii="仿宋_GB2312" w:hAnsi="Times New Roman" w:eastAsia="仿宋_GB2312" w:cs="Wingdings"/>
          <w:sz w:val="32"/>
          <w:szCs w:val="32"/>
          <w:lang w:val="en-US" w:eastAsia="zh-CN"/>
        </w:rPr>
        <w:t>11.4</w:t>
      </w:r>
      <w:r>
        <w:rPr>
          <w:rFonts w:hint="eastAsia" w:ascii="仿宋_GB2312" w:hAnsi="Times New Roman" w:eastAsia="仿宋_GB2312" w:cs="Wingdings"/>
          <w:sz w:val="32"/>
          <w:szCs w:val="32"/>
        </w:rPr>
        <w:t>万元，主要包括办公费、邮电费、公务用车运行维护费、其他交通费用、其他商品和服务支出。</w:t>
      </w:r>
    </w:p>
    <w:p>
      <w:pPr>
        <w:keepNext/>
        <w:keepLines/>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五、一般公共预算“三公” 经费支出决算情况说明</w:t>
      </w:r>
    </w:p>
    <w:p>
      <w:pPr>
        <w:adjustRightInd w:val="0"/>
        <w:snapToGrid w:val="0"/>
        <w:spacing w:line="600" w:lineRule="exact"/>
        <w:ind w:firstLine="643" w:firstLine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（一）“三公”经费财政拨款支出决算总体情况说明</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本部门2020年度“三公”经费财政拨款支出预算为</w:t>
      </w:r>
      <w:r>
        <w:rPr>
          <w:rFonts w:hint="eastAsia" w:ascii="仿宋_GB2312" w:hAnsi="Times New Roman" w:eastAsia="仿宋_GB2312" w:cs="Wingdings"/>
          <w:sz w:val="32"/>
          <w:szCs w:val="32"/>
          <w:lang w:val="en-US" w:eastAsia="zh-CN"/>
        </w:rPr>
        <w:t>5</w:t>
      </w:r>
      <w:r>
        <w:rPr>
          <w:rFonts w:hint="eastAsia" w:ascii="仿宋_GB2312" w:hAnsi="Times New Roman" w:eastAsia="仿宋_GB2312" w:cs="Wingdings"/>
          <w:sz w:val="32"/>
          <w:szCs w:val="32"/>
        </w:rPr>
        <w:t>万元，支出决算为</w:t>
      </w:r>
      <w:r>
        <w:rPr>
          <w:rFonts w:hint="eastAsia" w:ascii="仿宋_GB2312" w:hAnsi="Times New Roman" w:eastAsia="仿宋_GB2312" w:cs="Wingdings"/>
          <w:sz w:val="32"/>
          <w:szCs w:val="32"/>
          <w:lang w:val="en-US" w:eastAsia="zh-CN"/>
        </w:rPr>
        <w:t>1.82万</w:t>
      </w:r>
      <w:r>
        <w:rPr>
          <w:rFonts w:hint="eastAsia" w:ascii="仿宋_GB2312" w:hAnsi="Times New Roman" w:eastAsia="仿宋_GB2312" w:cs="Wingdings"/>
          <w:sz w:val="32"/>
          <w:szCs w:val="32"/>
        </w:rPr>
        <w:t>元，完成预算的</w:t>
      </w:r>
      <w:r>
        <w:rPr>
          <w:rFonts w:hint="eastAsia" w:ascii="仿宋_GB2312" w:hAnsi="Times New Roman" w:eastAsia="仿宋_GB2312" w:cs="Wingdings"/>
          <w:sz w:val="32"/>
          <w:szCs w:val="32"/>
          <w:lang w:val="en-US" w:eastAsia="zh-CN"/>
        </w:rPr>
        <w:t>36.4</w:t>
      </w:r>
      <w:r>
        <w:rPr>
          <w:rFonts w:hint="eastAsia" w:ascii="仿宋_GB2312" w:hAnsi="Times New Roman" w:eastAsia="仿宋_GB2312" w:cs="Wingdings"/>
          <w:sz w:val="32"/>
          <w:szCs w:val="32"/>
        </w:rPr>
        <w:t>%,较预算减少</w:t>
      </w:r>
      <w:r>
        <w:rPr>
          <w:rFonts w:hint="eastAsia" w:ascii="仿宋_GB2312" w:hAnsi="Times New Roman" w:eastAsia="仿宋_GB2312" w:cs="Wingdings"/>
          <w:sz w:val="32"/>
          <w:szCs w:val="32"/>
          <w:lang w:val="en-US" w:eastAsia="zh-CN"/>
        </w:rPr>
        <w:t>3.18</w:t>
      </w:r>
      <w:r>
        <w:rPr>
          <w:rFonts w:hint="eastAsia" w:ascii="仿宋_GB2312" w:hAnsi="Times New Roman" w:eastAsia="仿宋_GB2312" w:cs="Wingdings"/>
          <w:sz w:val="32"/>
          <w:szCs w:val="32"/>
        </w:rPr>
        <w:t>万元，降低</w:t>
      </w:r>
      <w:r>
        <w:rPr>
          <w:rFonts w:hint="eastAsia" w:ascii="仿宋_GB2312" w:hAnsi="Times New Roman" w:eastAsia="仿宋_GB2312" w:cs="Wingdings"/>
          <w:sz w:val="32"/>
          <w:szCs w:val="32"/>
          <w:lang w:val="en-US" w:eastAsia="zh-CN"/>
        </w:rPr>
        <w:t>63.6</w:t>
      </w:r>
      <w:r>
        <w:rPr>
          <w:rFonts w:hint="eastAsia" w:ascii="仿宋_GB2312" w:hAnsi="Times New Roman" w:eastAsia="仿宋_GB2312" w:cs="Wingdings"/>
          <w:sz w:val="32"/>
          <w:szCs w:val="32"/>
        </w:rPr>
        <w:t>%，主要是</w:t>
      </w:r>
      <w:r>
        <w:rPr>
          <w:rFonts w:hint="eastAsia" w:ascii="仿宋_GB2312" w:hAnsi="Times New Roman" w:eastAsia="仿宋_GB2312" w:cs="DengXian-Regular"/>
          <w:sz w:val="32"/>
          <w:szCs w:val="32"/>
          <w:lang w:eastAsia="zh-CN"/>
        </w:rPr>
        <w:t>按照八项规定精神要求，压缩三公经费开支</w:t>
      </w:r>
      <w:r>
        <w:rPr>
          <w:rFonts w:hint="eastAsia" w:ascii="仿宋_GB2312" w:hAnsi="Times New Roman" w:eastAsia="仿宋_GB2312" w:cs="Wingdings"/>
          <w:sz w:val="32"/>
          <w:szCs w:val="32"/>
        </w:rPr>
        <w:t>；较2019年度减少</w:t>
      </w:r>
      <w:r>
        <w:rPr>
          <w:rFonts w:hint="eastAsia" w:ascii="仿宋_GB2312" w:hAnsi="Times New Roman" w:eastAsia="仿宋_GB2312" w:cs="Wingdings"/>
          <w:sz w:val="32"/>
          <w:szCs w:val="32"/>
          <w:lang w:val="en-US" w:eastAsia="zh-CN"/>
        </w:rPr>
        <w:t>1.15</w:t>
      </w:r>
      <w:r>
        <w:rPr>
          <w:rFonts w:hint="eastAsia" w:ascii="仿宋_GB2312" w:hAnsi="Times New Roman" w:eastAsia="仿宋_GB2312" w:cs="Wingdings"/>
          <w:sz w:val="32"/>
          <w:szCs w:val="32"/>
        </w:rPr>
        <w:t>万元，降低</w:t>
      </w:r>
      <w:r>
        <w:rPr>
          <w:rFonts w:hint="eastAsia" w:ascii="仿宋_GB2312" w:hAnsi="Times New Roman" w:eastAsia="仿宋_GB2312" w:cs="Wingdings"/>
          <w:sz w:val="32"/>
          <w:szCs w:val="32"/>
          <w:lang w:val="en-US" w:eastAsia="zh-CN"/>
        </w:rPr>
        <w:t>38.72</w:t>
      </w:r>
      <w:r>
        <w:rPr>
          <w:rFonts w:hint="eastAsia" w:ascii="仿宋_GB2312" w:hAnsi="Times New Roman" w:eastAsia="仿宋_GB2312" w:cs="Wingdings"/>
          <w:sz w:val="32"/>
          <w:szCs w:val="32"/>
        </w:rPr>
        <w:t>%，主要是</w:t>
      </w:r>
      <w:r>
        <w:rPr>
          <w:rFonts w:hint="eastAsia" w:ascii="仿宋_GB2312" w:hAnsi="Times New Roman" w:eastAsia="仿宋_GB2312" w:cs="DengXian-Regular"/>
          <w:sz w:val="32"/>
          <w:szCs w:val="32"/>
          <w:lang w:eastAsia="zh-CN"/>
        </w:rPr>
        <w:t>按照八项规定精神要求，压缩三公经费开支</w:t>
      </w:r>
      <w:r>
        <w:rPr>
          <w:rFonts w:hint="eastAsia" w:ascii="仿宋_GB2312" w:hAnsi="Times New Roman" w:eastAsia="仿宋_GB2312" w:cs="Wingdings"/>
          <w:sz w:val="32"/>
          <w:szCs w:val="32"/>
        </w:rPr>
        <w:t>。</w:t>
      </w:r>
    </w:p>
    <w:p>
      <w:pPr>
        <w:adjustRightInd w:val="0"/>
        <w:snapToGrid w:val="0"/>
        <w:spacing w:line="600" w:lineRule="exact"/>
        <w:ind w:firstLine="643" w:firstLine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（二）“三公”经费财政拨款支出决算具体情况说明</w:t>
      </w:r>
    </w:p>
    <w:p>
      <w:pPr>
        <w:adjustRightInd w:val="0"/>
        <w:snapToGrid w:val="0"/>
        <w:spacing w:line="600" w:lineRule="exact"/>
        <w:ind w:firstLine="643" w:firstLineChars="200"/>
        <w:rPr>
          <w:rFonts w:hint="eastAsia" w:ascii="仿宋_GB2312" w:hAnsi="Times New Roman" w:eastAsia="仿宋_GB2312" w:cs="Wingdings"/>
          <w:sz w:val="32"/>
          <w:szCs w:val="32"/>
        </w:rPr>
      </w:pPr>
      <w:r>
        <w:rPr>
          <w:rFonts w:hint="eastAsia" w:ascii="楷体_GB2312" w:hAnsi="Times New Roman" w:eastAsia="楷体_GB2312" w:cs="Mongolian Baiti"/>
          <w:b/>
          <w:bCs/>
          <w:sz w:val="32"/>
          <w:szCs w:val="32"/>
        </w:rPr>
        <w:t>1.因公出国（境）费</w:t>
      </w:r>
      <w:r>
        <w:rPr>
          <w:rFonts w:hint="eastAsia" w:ascii="楷体_GB2312" w:hAnsi="Times New Roman" w:eastAsia="楷体_GB2312" w:cs="Mongolian Baiti"/>
          <w:b/>
          <w:bCs/>
          <w:sz w:val="32"/>
          <w:szCs w:val="32"/>
          <w:lang w:eastAsia="zh-CN"/>
        </w:rPr>
        <w:t>。</w:t>
      </w:r>
      <w:r>
        <w:rPr>
          <w:rFonts w:hint="eastAsia" w:ascii="仿宋_GB2312" w:hAnsi="仿宋_GB2312" w:eastAsia="仿宋_GB2312" w:cs="仿宋_GB2312"/>
          <w:b w:val="0"/>
          <w:bCs w:val="0"/>
          <w:sz w:val="32"/>
          <w:szCs w:val="32"/>
        </w:rPr>
        <w:t>本部门2020</w:t>
      </w:r>
      <w:r>
        <w:rPr>
          <w:rFonts w:hint="eastAsia" w:ascii="仿宋_GB2312" w:hAnsi="仿宋_GB2312" w:eastAsia="仿宋_GB2312" w:cs="仿宋_GB2312"/>
          <w:b w:val="0"/>
          <w:bCs w:val="0"/>
          <w:sz w:val="32"/>
          <w:szCs w:val="32"/>
          <w:lang w:val="en-US" w:eastAsia="zh-CN"/>
        </w:rPr>
        <w:t>年因公出国（境）费</w:t>
      </w:r>
      <w:r>
        <w:rPr>
          <w:rFonts w:hint="eastAsia" w:ascii="仿宋_GB2312" w:hAnsi="仿宋_GB2312" w:eastAsia="仿宋_GB2312" w:cs="仿宋_GB2312"/>
          <w:b w:val="0"/>
          <w:bCs w:val="0"/>
          <w:sz w:val="32"/>
          <w:szCs w:val="32"/>
        </w:rPr>
        <w:t>支出</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万元，完成预算的</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w:t>
      </w:r>
      <w:r>
        <w:rPr>
          <w:rFonts w:hint="eastAsia" w:ascii="仿宋_GB2312" w:hAnsi="Times New Roman" w:eastAsia="仿宋_GB2312" w:cs="Wingdings"/>
          <w:sz w:val="32"/>
          <w:szCs w:val="32"/>
        </w:rPr>
        <w:t>因公出国（境）团组</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个、共</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人、参加其他单位组织的因公出国（境）团组</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个、共</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人/无本单位组织的出国（境）团组。</w:t>
      </w:r>
    </w:p>
    <w:p>
      <w:pPr>
        <w:adjustRightInd w:val="0"/>
        <w:snapToGrid w:val="0"/>
        <w:spacing w:line="600" w:lineRule="exact"/>
        <w:ind w:firstLine="643" w:firstLineChars="200"/>
        <w:rPr>
          <w:rFonts w:ascii="仿宋_GB2312" w:hAnsi="Times New Roman" w:eastAsia="仿宋_GB2312" w:cs="Mongolian Baiti"/>
          <w:b/>
          <w:bCs/>
          <w:sz w:val="32"/>
          <w:szCs w:val="32"/>
        </w:rPr>
      </w:pPr>
      <w:r>
        <w:rPr>
          <w:rFonts w:hint="eastAsia" w:ascii="楷体_GB2312" w:hAnsi="Times New Roman" w:eastAsia="楷体_GB2312" w:cs="Mongolian Baiti"/>
          <w:b/>
          <w:bCs/>
          <w:sz w:val="32"/>
          <w:szCs w:val="32"/>
        </w:rPr>
        <w:t>2.公务用车购置及运行维护费</w:t>
      </w:r>
      <w:r>
        <w:rPr>
          <w:rFonts w:hint="eastAsia" w:ascii="楷体_GB2312" w:hAnsi="Times New Roman" w:eastAsia="楷体_GB2312" w:cs="Mongolian Baiti"/>
          <w:b/>
          <w:bCs/>
          <w:sz w:val="32"/>
          <w:szCs w:val="32"/>
          <w:lang w:eastAsia="zh-CN"/>
        </w:rPr>
        <w:t>。</w:t>
      </w:r>
      <w:r>
        <w:rPr>
          <w:rFonts w:hint="eastAsia" w:ascii="仿宋_GB2312" w:hAnsi="仿宋_GB2312" w:eastAsia="仿宋_GB2312" w:cs="仿宋_GB2312"/>
          <w:b w:val="0"/>
          <w:bCs w:val="0"/>
          <w:sz w:val="32"/>
          <w:szCs w:val="32"/>
          <w:lang w:eastAsia="zh-CN"/>
        </w:rPr>
        <w:t>本部门2020</w:t>
      </w:r>
      <w:r>
        <w:rPr>
          <w:rFonts w:hint="eastAsia" w:ascii="仿宋_GB2312" w:hAnsi="仿宋_GB2312" w:eastAsia="仿宋_GB2312" w:cs="仿宋_GB2312"/>
          <w:b w:val="0"/>
          <w:bCs w:val="0"/>
          <w:sz w:val="32"/>
          <w:szCs w:val="32"/>
          <w:lang w:val="en-US" w:eastAsia="zh-CN"/>
        </w:rPr>
        <w:t>年</w:t>
      </w:r>
      <w:r>
        <w:rPr>
          <w:rFonts w:hint="eastAsia" w:ascii="仿宋_GB2312" w:hAnsi="仿宋_GB2312" w:eastAsia="仿宋_GB2312" w:cs="仿宋_GB2312"/>
          <w:b w:val="0"/>
          <w:bCs w:val="0"/>
          <w:sz w:val="32"/>
          <w:szCs w:val="32"/>
        </w:rPr>
        <w:t>公务用车购置及运行维护费</w:t>
      </w:r>
      <w:r>
        <w:rPr>
          <w:rFonts w:hint="eastAsia" w:ascii="仿宋_GB2312" w:hAnsi="仿宋_GB2312" w:eastAsia="仿宋_GB2312" w:cs="仿宋_GB2312"/>
          <w:b w:val="0"/>
          <w:bCs w:val="0"/>
          <w:sz w:val="32"/>
          <w:szCs w:val="32"/>
          <w:lang w:eastAsia="zh-CN"/>
        </w:rPr>
        <w:t>支出</w:t>
      </w:r>
      <w:r>
        <w:rPr>
          <w:rFonts w:hint="eastAsia" w:ascii="仿宋_GB2312" w:hAnsi="仿宋_GB2312" w:eastAsia="仿宋_GB2312" w:cs="仿宋_GB2312"/>
          <w:b w:val="0"/>
          <w:bCs w:val="0"/>
          <w:sz w:val="32"/>
          <w:szCs w:val="32"/>
          <w:lang w:val="en-US" w:eastAsia="zh-CN"/>
        </w:rPr>
        <w:t>1.82</w:t>
      </w:r>
      <w:r>
        <w:rPr>
          <w:rFonts w:hint="eastAsia" w:ascii="仿宋_GB2312" w:hAnsi="仿宋_GB2312" w:eastAsia="仿宋_GB2312" w:cs="仿宋_GB2312"/>
          <w:b w:val="0"/>
          <w:bCs w:val="0"/>
          <w:sz w:val="32"/>
          <w:szCs w:val="32"/>
          <w:lang w:eastAsia="zh-CN"/>
        </w:rPr>
        <w:t>万元，完成预算的</w:t>
      </w:r>
      <w:r>
        <w:rPr>
          <w:rFonts w:hint="eastAsia" w:ascii="仿宋_GB2312" w:hAnsi="仿宋_GB2312" w:eastAsia="仿宋_GB2312" w:cs="仿宋_GB2312"/>
          <w:b w:val="0"/>
          <w:bCs w:val="0"/>
          <w:sz w:val="32"/>
          <w:szCs w:val="32"/>
          <w:lang w:val="en-US" w:eastAsia="zh-CN"/>
        </w:rPr>
        <w:t>36.4</w:t>
      </w:r>
      <w:r>
        <w:rPr>
          <w:rFonts w:hint="eastAsia" w:ascii="仿宋_GB2312" w:hAnsi="仿宋_GB2312" w:eastAsia="仿宋_GB2312" w:cs="仿宋_GB2312"/>
          <w:b w:val="0"/>
          <w:bCs w:val="0"/>
          <w:sz w:val="32"/>
          <w:szCs w:val="32"/>
          <w:lang w:eastAsia="zh-CN"/>
        </w:rPr>
        <w:t>%，</w:t>
      </w:r>
      <w:r>
        <w:rPr>
          <w:rFonts w:hint="eastAsia" w:ascii="仿宋_GB2312" w:hAnsi="Times New Roman" w:eastAsia="仿宋_GB2312" w:cs="Wingdings"/>
          <w:sz w:val="32"/>
          <w:szCs w:val="32"/>
        </w:rPr>
        <w:t>较预算减少</w:t>
      </w:r>
      <w:r>
        <w:rPr>
          <w:rFonts w:hint="eastAsia" w:ascii="仿宋_GB2312" w:hAnsi="Times New Roman" w:eastAsia="仿宋_GB2312" w:cs="Wingdings"/>
          <w:sz w:val="32"/>
          <w:szCs w:val="32"/>
          <w:lang w:val="en-US" w:eastAsia="zh-CN"/>
        </w:rPr>
        <w:t>3.18</w:t>
      </w:r>
      <w:r>
        <w:rPr>
          <w:rFonts w:hint="eastAsia" w:ascii="仿宋_GB2312" w:hAnsi="Times New Roman" w:eastAsia="仿宋_GB2312" w:cs="Wingdings"/>
          <w:sz w:val="32"/>
          <w:szCs w:val="32"/>
        </w:rPr>
        <w:t>万元，降低</w:t>
      </w:r>
      <w:r>
        <w:rPr>
          <w:rFonts w:hint="eastAsia" w:ascii="仿宋_GB2312" w:hAnsi="Times New Roman" w:eastAsia="仿宋_GB2312" w:cs="Wingdings"/>
          <w:sz w:val="32"/>
          <w:szCs w:val="32"/>
          <w:lang w:val="en-US" w:eastAsia="zh-CN"/>
        </w:rPr>
        <w:t>63.6</w:t>
      </w:r>
      <w:r>
        <w:rPr>
          <w:rFonts w:hint="eastAsia" w:ascii="仿宋_GB2312" w:hAnsi="Times New Roman" w:eastAsia="仿宋_GB2312" w:cs="Wingdings"/>
          <w:sz w:val="32"/>
          <w:szCs w:val="32"/>
        </w:rPr>
        <w:t>%,主要是</w:t>
      </w:r>
      <w:r>
        <w:rPr>
          <w:rFonts w:hint="eastAsia" w:ascii="仿宋_GB2312" w:hAnsi="Times New Roman" w:eastAsia="仿宋_GB2312" w:cs="DengXian-Regular"/>
          <w:sz w:val="32"/>
          <w:szCs w:val="32"/>
          <w:lang w:eastAsia="zh-CN"/>
        </w:rPr>
        <w:t>按照八项规定精神要求，压缩三公经费开支</w:t>
      </w:r>
      <w:r>
        <w:rPr>
          <w:rFonts w:hint="eastAsia" w:ascii="仿宋_GB2312" w:hAnsi="Times New Roman" w:eastAsia="仿宋_GB2312" w:cs="Wingdings"/>
          <w:sz w:val="32"/>
          <w:szCs w:val="32"/>
        </w:rPr>
        <w:t>；较上年减少</w:t>
      </w:r>
      <w:r>
        <w:rPr>
          <w:rFonts w:hint="eastAsia" w:ascii="仿宋_GB2312" w:hAnsi="Times New Roman" w:eastAsia="仿宋_GB2312" w:cs="Wingdings"/>
          <w:sz w:val="32"/>
          <w:szCs w:val="32"/>
          <w:lang w:val="en-US" w:eastAsia="zh-CN"/>
        </w:rPr>
        <w:t>1.15</w:t>
      </w:r>
      <w:r>
        <w:rPr>
          <w:rFonts w:hint="eastAsia" w:ascii="仿宋_GB2312" w:hAnsi="Times New Roman" w:eastAsia="仿宋_GB2312" w:cs="Wingdings"/>
          <w:sz w:val="32"/>
          <w:szCs w:val="32"/>
        </w:rPr>
        <w:t>万元，降低</w:t>
      </w:r>
      <w:r>
        <w:rPr>
          <w:rFonts w:hint="eastAsia" w:ascii="仿宋_GB2312" w:hAnsi="Times New Roman" w:eastAsia="仿宋_GB2312" w:cs="Wingdings"/>
          <w:sz w:val="32"/>
          <w:szCs w:val="32"/>
          <w:lang w:val="en-US" w:eastAsia="zh-CN"/>
        </w:rPr>
        <w:t>38.72</w:t>
      </w:r>
      <w:r>
        <w:rPr>
          <w:rFonts w:hint="eastAsia" w:ascii="仿宋_GB2312" w:hAnsi="Times New Roman" w:eastAsia="仿宋_GB2312" w:cs="Wingdings"/>
          <w:sz w:val="32"/>
          <w:szCs w:val="32"/>
        </w:rPr>
        <w:t>%,主要是</w:t>
      </w:r>
      <w:r>
        <w:rPr>
          <w:rFonts w:hint="eastAsia" w:ascii="仿宋_GB2312" w:hAnsi="Times New Roman" w:eastAsia="仿宋_GB2312" w:cs="DengXian-Regular"/>
          <w:sz w:val="32"/>
          <w:szCs w:val="32"/>
          <w:lang w:eastAsia="zh-CN"/>
        </w:rPr>
        <w:t>按照八项规定精神要求，压缩三公经费开支</w:t>
      </w:r>
      <w:r>
        <w:rPr>
          <w:rFonts w:hint="eastAsia" w:ascii="仿宋_GB2312" w:hAnsi="Times New Roman" w:eastAsia="仿宋_GB2312" w:cs="Wingdings"/>
          <w:sz w:val="32"/>
          <w:szCs w:val="32"/>
        </w:rPr>
        <w:t>。</w:t>
      </w:r>
      <w:r>
        <w:rPr>
          <w:rFonts w:hint="eastAsia" w:ascii="仿宋_GB2312" w:hAnsi="Times New Roman" w:eastAsia="仿宋_GB2312" w:cs="Mongolian Baiti"/>
          <w:b/>
          <w:bCs/>
          <w:sz w:val="32"/>
          <w:szCs w:val="32"/>
        </w:rPr>
        <w:t>其中：</w:t>
      </w:r>
    </w:p>
    <w:p>
      <w:pPr>
        <w:adjustRightInd w:val="0"/>
        <w:snapToGrid w:val="0"/>
        <w:spacing w:line="600" w:lineRule="exact"/>
        <w:ind w:firstLine="643" w:firstLineChars="200"/>
        <w:rPr>
          <w:rFonts w:hint="eastAsia" w:ascii="仿宋_GB2312" w:hAnsi="Times New Roman" w:eastAsia="仿宋_GB2312" w:cs="Wingdings"/>
          <w:sz w:val="32"/>
          <w:szCs w:val="32"/>
          <w:lang w:val="en-US" w:eastAsia="zh-CN"/>
        </w:rPr>
      </w:pPr>
      <w:r>
        <w:rPr>
          <w:rFonts w:hint="eastAsia" w:ascii="仿宋_GB2312" w:hAnsi="Times New Roman" w:eastAsia="仿宋_GB2312" w:cs="Wingdings"/>
          <w:b/>
          <w:sz w:val="32"/>
          <w:szCs w:val="32"/>
        </w:rPr>
        <w:t>公务用车购置费支出：</w:t>
      </w:r>
      <w:r>
        <w:rPr>
          <w:rFonts w:hint="eastAsia" w:ascii="仿宋_GB2312" w:hAnsi="Times New Roman" w:eastAsia="仿宋_GB2312" w:cs="Wingdings"/>
          <w:sz w:val="32"/>
          <w:szCs w:val="32"/>
        </w:rPr>
        <w:t>本部门2020年度公务用车购置量</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辆，发生“公务用车购置”经费支出</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万元。公务用车购置费支出较预算</w:t>
      </w:r>
      <w:r>
        <w:rPr>
          <w:rFonts w:hint="eastAsia" w:ascii="仿宋_GB2312" w:hAnsi="Times New Roman" w:eastAsia="仿宋_GB2312" w:cs="Wingdings"/>
          <w:sz w:val="32"/>
          <w:szCs w:val="32"/>
          <w:lang w:val="en-US" w:eastAsia="zh-CN"/>
        </w:rPr>
        <w:t>持平</w:t>
      </w:r>
      <w:r>
        <w:rPr>
          <w:rFonts w:hint="eastAsia" w:ascii="仿宋_GB2312" w:hAnsi="Times New Roman" w:eastAsia="仿宋_GB2312" w:cs="Wingdings"/>
          <w:sz w:val="32"/>
          <w:szCs w:val="32"/>
        </w:rPr>
        <w:t>,主要是</w:t>
      </w:r>
      <w:r>
        <w:rPr>
          <w:rFonts w:hint="eastAsia" w:ascii="仿宋_GB2312" w:hAnsi="Times New Roman" w:eastAsia="仿宋_GB2312" w:cs="Wingdings"/>
          <w:sz w:val="32"/>
          <w:szCs w:val="32"/>
          <w:lang w:val="en-US" w:eastAsia="zh-CN"/>
        </w:rPr>
        <w:t>没有安排公车购置</w:t>
      </w:r>
      <w:r>
        <w:rPr>
          <w:rFonts w:hint="eastAsia" w:ascii="仿宋_GB2312" w:hAnsi="Times New Roman" w:eastAsia="仿宋_GB2312" w:cs="Wingdings"/>
          <w:sz w:val="32"/>
          <w:szCs w:val="32"/>
        </w:rPr>
        <w:t>；较上年</w:t>
      </w:r>
      <w:r>
        <w:rPr>
          <w:rFonts w:hint="eastAsia" w:ascii="仿宋_GB2312" w:hAnsi="Times New Roman" w:eastAsia="仿宋_GB2312" w:cs="Wingdings"/>
          <w:sz w:val="32"/>
          <w:szCs w:val="32"/>
          <w:lang w:val="en-US" w:eastAsia="zh-CN"/>
        </w:rPr>
        <w:t>决算持平</w:t>
      </w:r>
      <w:r>
        <w:rPr>
          <w:rFonts w:hint="eastAsia" w:ascii="仿宋_GB2312" w:hAnsi="Times New Roman" w:eastAsia="仿宋_GB2312" w:cs="Wingdings"/>
          <w:sz w:val="32"/>
          <w:szCs w:val="32"/>
        </w:rPr>
        <w:t>,主要是</w:t>
      </w:r>
      <w:r>
        <w:rPr>
          <w:rFonts w:hint="eastAsia" w:ascii="仿宋_GB2312" w:hAnsi="Times New Roman" w:eastAsia="仿宋_GB2312" w:cs="Wingdings"/>
          <w:sz w:val="32"/>
          <w:szCs w:val="32"/>
          <w:lang w:val="en-US" w:eastAsia="zh-CN"/>
        </w:rPr>
        <w:t>没有安排公车购置。</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仿宋_GB2312" w:hAnsi="Times New Roman" w:eastAsia="仿宋_GB2312" w:cs="Wingdings"/>
          <w:b/>
          <w:sz w:val="32"/>
          <w:szCs w:val="32"/>
        </w:rPr>
        <w:t>公务用车运行维护费支出：</w:t>
      </w:r>
      <w:r>
        <w:rPr>
          <w:rFonts w:hint="eastAsia" w:ascii="仿宋_GB2312" w:hAnsi="Times New Roman" w:eastAsia="仿宋_GB2312" w:cs="Wingdings"/>
          <w:sz w:val="32"/>
          <w:szCs w:val="32"/>
        </w:rPr>
        <w:t>本部门2020年度单位公务用车保有量</w:t>
      </w:r>
      <w:r>
        <w:rPr>
          <w:rFonts w:hint="eastAsia" w:ascii="仿宋_GB2312" w:hAnsi="Times New Roman" w:eastAsia="仿宋_GB2312" w:cs="Wingdings"/>
          <w:sz w:val="32"/>
          <w:szCs w:val="32"/>
          <w:lang w:val="en-US" w:eastAsia="zh-CN"/>
        </w:rPr>
        <w:t>2</w:t>
      </w:r>
      <w:r>
        <w:rPr>
          <w:rFonts w:hint="eastAsia" w:ascii="仿宋_GB2312" w:hAnsi="Times New Roman" w:eastAsia="仿宋_GB2312" w:cs="Wingdings"/>
          <w:sz w:val="32"/>
          <w:szCs w:val="32"/>
        </w:rPr>
        <w:t>辆</w:t>
      </w:r>
      <w:r>
        <w:rPr>
          <w:rFonts w:hint="eastAsia" w:ascii="仿宋_GB2312" w:hAnsi="Times New Roman" w:eastAsia="仿宋_GB2312" w:cs="Wingdings"/>
          <w:sz w:val="32"/>
          <w:szCs w:val="32"/>
          <w:lang w:val="en-US" w:eastAsia="zh-CN"/>
        </w:rPr>
        <w:t>,发生运行维护费支出1.82万元</w:t>
      </w:r>
      <w:r>
        <w:rPr>
          <w:rFonts w:hint="eastAsia" w:ascii="仿宋_GB2312" w:hAnsi="Times New Roman" w:eastAsia="仿宋_GB2312" w:cs="Wingdings"/>
          <w:sz w:val="32"/>
          <w:szCs w:val="32"/>
        </w:rPr>
        <w:t>。公车运行维护费支出较预算减少</w:t>
      </w:r>
      <w:r>
        <w:rPr>
          <w:rFonts w:hint="eastAsia" w:ascii="仿宋_GB2312" w:hAnsi="Times New Roman" w:eastAsia="仿宋_GB2312" w:cs="Wingdings"/>
          <w:sz w:val="32"/>
          <w:szCs w:val="32"/>
          <w:lang w:val="en-US" w:eastAsia="zh-CN"/>
        </w:rPr>
        <w:t>3.18</w:t>
      </w:r>
      <w:r>
        <w:rPr>
          <w:rFonts w:hint="eastAsia" w:ascii="仿宋_GB2312" w:hAnsi="Times New Roman" w:eastAsia="仿宋_GB2312" w:cs="Wingdings"/>
          <w:sz w:val="32"/>
          <w:szCs w:val="32"/>
        </w:rPr>
        <w:t>万元，降低</w:t>
      </w:r>
      <w:r>
        <w:rPr>
          <w:rFonts w:hint="eastAsia" w:ascii="仿宋_GB2312" w:hAnsi="Times New Roman" w:eastAsia="仿宋_GB2312" w:cs="Wingdings"/>
          <w:sz w:val="32"/>
          <w:szCs w:val="32"/>
          <w:lang w:val="en-US" w:eastAsia="zh-CN"/>
        </w:rPr>
        <w:t>63.6</w:t>
      </w:r>
      <w:r>
        <w:rPr>
          <w:rFonts w:hint="eastAsia" w:ascii="仿宋_GB2312" w:hAnsi="Times New Roman" w:eastAsia="仿宋_GB2312" w:cs="Wingdings"/>
          <w:sz w:val="32"/>
          <w:szCs w:val="32"/>
        </w:rPr>
        <w:t>%,主要是</w:t>
      </w:r>
      <w:r>
        <w:rPr>
          <w:rFonts w:hint="eastAsia" w:ascii="仿宋_GB2312" w:hAnsi="Times New Roman" w:eastAsia="仿宋_GB2312" w:cs="DengXian-Regular"/>
          <w:sz w:val="32"/>
          <w:szCs w:val="32"/>
          <w:lang w:eastAsia="zh-CN"/>
        </w:rPr>
        <w:t>按照八项规定精神要求，压缩三公经费开支</w:t>
      </w:r>
      <w:r>
        <w:rPr>
          <w:rFonts w:hint="eastAsia" w:ascii="仿宋_GB2312" w:hAnsi="Times New Roman" w:eastAsia="仿宋_GB2312" w:cs="Wingdings"/>
          <w:sz w:val="32"/>
          <w:szCs w:val="32"/>
        </w:rPr>
        <w:t>；较上年减少</w:t>
      </w:r>
      <w:r>
        <w:rPr>
          <w:rFonts w:hint="eastAsia" w:ascii="仿宋_GB2312" w:hAnsi="Times New Roman" w:eastAsia="仿宋_GB2312" w:cs="Wingdings"/>
          <w:sz w:val="32"/>
          <w:szCs w:val="32"/>
          <w:lang w:val="en-US" w:eastAsia="zh-CN"/>
        </w:rPr>
        <w:t>1.15</w:t>
      </w:r>
      <w:r>
        <w:rPr>
          <w:rFonts w:hint="eastAsia" w:ascii="仿宋_GB2312" w:hAnsi="Times New Roman" w:eastAsia="仿宋_GB2312" w:cs="Wingdings"/>
          <w:sz w:val="32"/>
          <w:szCs w:val="32"/>
        </w:rPr>
        <w:t>万元，降低</w:t>
      </w:r>
      <w:r>
        <w:rPr>
          <w:rFonts w:hint="eastAsia" w:ascii="仿宋_GB2312" w:hAnsi="Times New Roman" w:eastAsia="仿宋_GB2312" w:cs="Wingdings"/>
          <w:sz w:val="32"/>
          <w:szCs w:val="32"/>
          <w:lang w:val="en-US" w:eastAsia="zh-CN"/>
        </w:rPr>
        <w:t>38.72</w:t>
      </w:r>
      <w:r>
        <w:rPr>
          <w:rFonts w:hint="eastAsia" w:ascii="仿宋_GB2312" w:hAnsi="Times New Roman" w:eastAsia="仿宋_GB2312" w:cs="Wingdings"/>
          <w:sz w:val="32"/>
          <w:szCs w:val="32"/>
        </w:rPr>
        <w:t>%，主要是</w:t>
      </w:r>
      <w:r>
        <w:rPr>
          <w:rFonts w:hint="eastAsia" w:ascii="仿宋_GB2312" w:hAnsi="Times New Roman" w:eastAsia="仿宋_GB2312" w:cs="DengXian-Regular"/>
          <w:sz w:val="32"/>
          <w:szCs w:val="32"/>
          <w:lang w:eastAsia="zh-CN"/>
        </w:rPr>
        <w:t>按照八项规定精神要求，压缩三公经费开支</w:t>
      </w:r>
      <w:r>
        <w:rPr>
          <w:rFonts w:hint="eastAsia" w:ascii="仿宋_GB2312" w:hAnsi="Times New Roman" w:eastAsia="仿宋_GB2312" w:cs="Wingdings"/>
          <w:sz w:val="32"/>
          <w:szCs w:val="32"/>
        </w:rPr>
        <w:t>。</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楷体_GB2312" w:hAnsi="Times New Roman" w:eastAsia="楷体_GB2312" w:cs="Mongolian Baiti"/>
          <w:b/>
          <w:bCs/>
          <w:sz w:val="32"/>
          <w:szCs w:val="32"/>
        </w:rPr>
        <w:t>3.公务接待费</w:t>
      </w:r>
      <w:r>
        <w:rPr>
          <w:rFonts w:hint="eastAsia" w:ascii="楷体_GB2312" w:hAnsi="Times New Roman" w:eastAsia="楷体_GB2312" w:cs="Mongolian Baiti"/>
          <w:b/>
          <w:bCs/>
          <w:sz w:val="32"/>
          <w:szCs w:val="32"/>
          <w:lang w:eastAsia="zh-CN"/>
        </w:rPr>
        <w:t>。</w:t>
      </w:r>
      <w:r>
        <w:rPr>
          <w:rFonts w:hint="eastAsia" w:ascii="仿宋_GB2312" w:hAnsi="仿宋_GB2312" w:eastAsia="仿宋_GB2312" w:cs="仿宋_GB2312"/>
          <w:b w:val="0"/>
          <w:bCs w:val="0"/>
          <w:sz w:val="32"/>
          <w:szCs w:val="32"/>
        </w:rPr>
        <w:t>本部门2020年</w:t>
      </w:r>
      <w:r>
        <w:rPr>
          <w:rFonts w:hint="eastAsia" w:ascii="仿宋_GB2312" w:hAnsi="仿宋_GB2312" w:eastAsia="仿宋_GB2312" w:cs="仿宋_GB2312"/>
          <w:b w:val="0"/>
          <w:bCs w:val="0"/>
          <w:sz w:val="32"/>
          <w:szCs w:val="32"/>
          <w:lang w:val="en-US" w:eastAsia="zh-CN"/>
        </w:rPr>
        <w:t>公务接待</w:t>
      </w:r>
      <w:r>
        <w:rPr>
          <w:rFonts w:hint="eastAsia" w:ascii="仿宋_GB2312" w:hAnsi="仿宋_GB2312" w:eastAsia="仿宋_GB2312" w:cs="仿宋_GB2312"/>
          <w:b w:val="0"/>
          <w:bCs w:val="0"/>
          <w:sz w:val="32"/>
          <w:szCs w:val="32"/>
        </w:rPr>
        <w:t>支出</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w:t>
      </w:r>
      <w:r>
        <w:rPr>
          <w:rFonts w:hint="eastAsia" w:ascii="仿宋_GB2312" w:hAnsi="仿宋_GB2312" w:eastAsia="仿宋_GB2312" w:cs="仿宋_GB2312"/>
          <w:b w:val="0"/>
          <w:bCs w:val="0"/>
          <w:sz w:val="32"/>
          <w:szCs w:val="32"/>
          <w:lang w:val="en-US" w:eastAsia="zh-CN"/>
        </w:rPr>
        <w:t>共0批次0人次，完成年初预算的0%</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较上年度持平。</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w:t>
      </w:r>
      <w:r>
        <w:rPr>
          <w:rFonts w:hint="eastAsia" w:ascii="仿宋_GB2312" w:hAnsi="Times New Roman" w:eastAsia="仿宋_GB2312" w:cs="DengXian-Regular"/>
          <w:sz w:val="32"/>
          <w:szCs w:val="32"/>
          <w:lang w:val="en-US" w:eastAsia="zh-CN"/>
        </w:rPr>
        <w:t>20</w:t>
      </w:r>
      <w:r>
        <w:rPr>
          <w:rFonts w:hint="eastAsia" w:ascii="仿宋_GB2312" w:hAnsi="Times New Roman" w:eastAsia="仿宋_GB2312" w:cs="DengXian-Regular"/>
          <w:sz w:val="32"/>
          <w:szCs w:val="32"/>
        </w:rPr>
        <w:t>年度</w:t>
      </w:r>
      <w:r>
        <w:rPr>
          <w:rFonts w:hint="eastAsia" w:ascii="仿宋_GB2312" w:hAnsi="Times New Roman" w:eastAsia="仿宋_GB2312" w:cs="DengXian-Regular"/>
          <w:sz w:val="32"/>
          <w:szCs w:val="32"/>
          <w:lang w:eastAsia="zh-CN"/>
        </w:rPr>
        <w:t>未产生</w:t>
      </w:r>
      <w:r>
        <w:rPr>
          <w:rFonts w:hint="eastAsia" w:ascii="仿宋_GB2312" w:hAnsi="Times New Roman" w:eastAsia="仿宋_GB2312" w:cs="DengXian-Regular"/>
          <w:sz w:val="32"/>
          <w:szCs w:val="32"/>
        </w:rPr>
        <w:t>公务接待费支出</w:t>
      </w:r>
      <w:r>
        <w:rPr>
          <w:rFonts w:hint="eastAsia" w:ascii="仿宋_GB2312" w:hAnsi="Times New Roman" w:eastAsia="仿宋_GB2312" w:cs="Wingdings"/>
          <w:sz w:val="32"/>
          <w:szCs w:val="32"/>
        </w:rPr>
        <w:t>。</w:t>
      </w:r>
    </w:p>
    <w:p>
      <w:pPr>
        <w:adjustRightInd w:val="0"/>
        <w:snapToGrid w:val="0"/>
        <w:spacing w:line="600" w:lineRule="exact"/>
        <w:ind w:firstLine="640" w:firstLineChars="200"/>
        <w:rPr>
          <w:rFonts w:ascii="黑体" w:hAnsi="Times New Roman" w:eastAsia="黑体" w:cs="Times New Roman"/>
          <w:sz w:val="32"/>
          <w:szCs w:val="40"/>
        </w:rPr>
      </w:pPr>
      <w:r>
        <w:rPr>
          <w:rFonts w:hint="eastAsia" w:ascii="黑体" w:hAnsi="Times New Roman" w:eastAsia="黑体" w:cs="Times New Roman"/>
          <w:sz w:val="32"/>
          <w:szCs w:val="40"/>
        </w:rPr>
        <w:t>六、预算绩效情况说明</w:t>
      </w:r>
    </w:p>
    <w:p>
      <w:pPr>
        <w:adjustRightInd w:val="0"/>
        <w:snapToGrid w:val="0"/>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（一）预算绩效管理工作开展情况。</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根据预算绩效管理要求，本部门组织对2020年度项目支出全面开展绩效自评，其中，一般公共预算一级项目</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个，二级项目</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个，共涉及资金</w:t>
      </w:r>
      <w:r>
        <w:rPr>
          <w:rFonts w:hint="eastAsia" w:ascii="仿宋_GB2312" w:hAnsi="仿宋_GB2312" w:eastAsia="仿宋_GB2312" w:cs="仿宋_GB2312"/>
          <w:sz w:val="32"/>
          <w:szCs w:val="32"/>
          <w:lang w:val="en-US" w:eastAsia="zh-CN"/>
        </w:rPr>
        <w:t>72.2</w:t>
      </w:r>
      <w:r>
        <w:rPr>
          <w:rFonts w:hint="eastAsia" w:ascii="仿宋_GB2312" w:hAnsi="仿宋_GB2312" w:eastAsia="仿宋_GB2312" w:cs="仿宋_GB2312"/>
          <w:sz w:val="32"/>
          <w:szCs w:val="32"/>
        </w:rPr>
        <w:t>万元，占一般公共预算项目支出总额的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sz w:val="32"/>
          <w:szCs w:val="32"/>
        </w:rPr>
        <w:t>；政府性基金预算一级项目</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个，二级项目</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个,共涉及资金</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万元，占政府性基金预算项目支出总额的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sz w:val="32"/>
          <w:szCs w:val="32"/>
        </w:rPr>
        <w:t>。</w:t>
      </w:r>
    </w:p>
    <w:p>
      <w:pPr>
        <w:adjustRightInd w:val="0"/>
        <w:snapToGrid w:val="0"/>
        <w:spacing w:line="600" w:lineRule="exact"/>
        <w:ind w:firstLine="640" w:firstLineChars="200"/>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组织对“</w:t>
      </w:r>
      <w:r>
        <w:rPr>
          <w:rFonts w:hint="eastAsia" w:ascii="仿宋_GB2312" w:hAnsi="仿宋_GB2312" w:eastAsia="仿宋_GB2312" w:cs="仿宋_GB2312"/>
          <w:sz w:val="32"/>
          <w:szCs w:val="32"/>
          <w:lang w:eastAsia="zh-CN"/>
        </w:rPr>
        <w:t>一般公共服务支出、社会保障和就业支出、卫生健康支出住房保障支出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4个</w:t>
      </w:r>
      <w:r>
        <w:rPr>
          <w:rFonts w:hint="eastAsia" w:ascii="仿宋_GB2312" w:hAnsi="仿宋_GB2312" w:eastAsia="仿宋_GB2312" w:cs="仿宋_GB2312"/>
          <w:sz w:val="32"/>
          <w:szCs w:val="32"/>
        </w:rPr>
        <w:t>一级项目开展了部门评价，涉及一般公共预算支出</w:t>
      </w:r>
      <w:r>
        <w:rPr>
          <w:rFonts w:hint="eastAsia" w:ascii="仿宋_GB2312" w:hAnsi="仿宋_GB2312" w:eastAsia="仿宋_GB2312" w:cs="仿宋_GB2312"/>
          <w:sz w:val="32"/>
          <w:szCs w:val="32"/>
          <w:lang w:val="en-US" w:eastAsia="zh-CN"/>
        </w:rPr>
        <w:t>72.2</w:t>
      </w:r>
      <w:r>
        <w:rPr>
          <w:rFonts w:hint="eastAsia" w:ascii="仿宋_GB2312" w:hAnsi="仿宋_GB2312" w:eastAsia="仿宋_GB2312" w:cs="仿宋_GB2312"/>
          <w:sz w:val="32"/>
          <w:szCs w:val="32"/>
        </w:rPr>
        <w:t>万元，政府性基金预算支出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r>
        <w:rPr>
          <w:rFonts w:hint="eastAsia" w:ascii="仿宋_GB2312" w:eastAsia="仿宋_GB2312" w:cs="DengXian-Regular"/>
          <w:sz w:val="32"/>
          <w:szCs w:val="32"/>
          <w:lang w:val="en-US" w:eastAsia="zh-CN"/>
        </w:rPr>
        <w:t>从评价情况来看，我单位根据单位实际和工作需要，确定部门预算项目和预算额度，清晰描述预算项目开支范围和内容，确定预算项目的绩效目标。在预算执行过程中，按时间和进度的绩效管理目标要求，合理安排资金的使用，保证了各项工作的顺利进行，较好地实现了预算项目绩效目标</w:t>
      </w:r>
    </w:p>
    <w:p>
      <w:pPr>
        <w:adjustRightInd w:val="0"/>
        <w:snapToGrid w:val="0"/>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 部门决算中项目绩效自评结果。</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本部门在今年部门决算公开中反映</w:t>
      </w:r>
      <w:r>
        <w:rPr>
          <w:rFonts w:hint="eastAsia" w:ascii="仿宋_GB2312" w:hAnsi="仿宋_GB2312" w:eastAsia="仿宋_GB2312" w:cs="仿宋_GB2312"/>
          <w:sz w:val="32"/>
          <w:szCs w:val="32"/>
          <w:lang w:eastAsia="zh-CN"/>
        </w:rPr>
        <w:t>一般公共服务支出</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个项目绩效自评结果。</w:t>
      </w:r>
    </w:p>
    <w:p>
      <w:pPr>
        <w:numPr>
          <w:ilvl w:val="0"/>
          <w:numId w:val="3"/>
        </w:num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项目自评综述：根据年初设定的绩效目标，项目绩效自评得分为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分。全年预算数为</w:t>
      </w:r>
      <w:r>
        <w:rPr>
          <w:rFonts w:hint="eastAsia" w:ascii="仿宋_GB2312" w:hAnsi="仿宋_GB2312" w:eastAsia="仿宋_GB2312" w:cs="仿宋_GB2312"/>
          <w:sz w:val="32"/>
          <w:szCs w:val="32"/>
          <w:lang w:val="en-US" w:eastAsia="zh-CN"/>
        </w:rPr>
        <w:t>75.93</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72.2</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95.1%</w:t>
      </w:r>
      <w:r>
        <w:rPr>
          <w:rFonts w:hint="eastAsia" w:ascii="仿宋_GB2312" w:hAnsi="仿宋_GB2312" w:eastAsia="仿宋_GB2312" w:cs="仿宋_GB2312"/>
          <w:sz w:val="32"/>
          <w:szCs w:val="32"/>
        </w:rPr>
        <w:t>。项目绩效目标完成情况：一是</w:t>
      </w:r>
      <w:r>
        <w:rPr>
          <w:rFonts w:hint="eastAsia" w:ascii="仿宋_GB2312" w:hAnsi="仿宋_GB2312" w:eastAsia="仿宋_GB2312" w:cs="仿宋_GB2312"/>
          <w:sz w:val="32"/>
          <w:szCs w:val="32"/>
          <w:lang w:eastAsia="zh-CN"/>
        </w:rPr>
        <w:t>人员经费支出未超年初预算</w:t>
      </w:r>
      <w:r>
        <w:rPr>
          <w:rFonts w:hint="eastAsia" w:ascii="仿宋_GB2312" w:hAnsi="仿宋_GB2312" w:eastAsia="仿宋_GB2312" w:cs="仿宋_GB2312"/>
          <w:sz w:val="32"/>
          <w:szCs w:val="32"/>
        </w:rPr>
        <w:t>；二是</w:t>
      </w:r>
      <w:r>
        <w:rPr>
          <w:rFonts w:hint="eastAsia" w:ascii="仿宋_GB2312" w:hAnsi="仿宋_GB2312" w:eastAsia="仿宋_GB2312" w:cs="仿宋_GB2312"/>
          <w:sz w:val="32"/>
          <w:szCs w:val="32"/>
          <w:lang w:eastAsia="zh-CN"/>
        </w:rPr>
        <w:t>三公经费支出比年初预算减少，未</w:t>
      </w:r>
      <w:r>
        <w:rPr>
          <w:rFonts w:hint="eastAsia" w:ascii="仿宋_GB2312" w:hAnsi="仿宋_GB2312" w:eastAsia="仿宋_GB2312" w:cs="仿宋_GB2312"/>
          <w:sz w:val="32"/>
          <w:szCs w:val="32"/>
        </w:rPr>
        <w:t>发现问题。</w:t>
      </w:r>
    </w:p>
    <w:p>
      <w:pPr>
        <w:numPr>
          <w:ilvl w:val="0"/>
          <w:numId w:val="3"/>
        </w:num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一般公共服务支出</w:t>
      </w:r>
      <w:r>
        <w:rPr>
          <w:rFonts w:hint="eastAsia" w:ascii="仿宋_GB2312" w:hAnsi="仿宋_GB2312" w:eastAsia="仿宋_GB2312" w:cs="仿宋_GB2312"/>
          <w:sz w:val="32"/>
          <w:szCs w:val="32"/>
        </w:rPr>
        <w:t>项目绩效自评综述：</w:t>
      </w:r>
      <w:r>
        <w:rPr>
          <w:rFonts w:hint="eastAsia" w:ascii="仿宋_GB2312" w:hAnsi="仿宋_GB2312" w:eastAsia="仿宋_GB2312" w:cs="仿宋_GB2312"/>
          <w:sz w:val="32"/>
          <w:szCs w:val="32"/>
          <w:lang w:eastAsia="zh-CN"/>
        </w:rPr>
        <w:t>较好地完成年初预算，并按照八项规定压缩“三公”经费开支</w:t>
      </w:r>
      <w:r>
        <w:rPr>
          <w:rFonts w:hint="eastAsia" w:ascii="仿宋_GB2312" w:hAnsi="仿宋_GB2312" w:eastAsia="仿宋_GB2312" w:cs="仿宋_GB2312"/>
          <w:sz w:val="32"/>
          <w:szCs w:val="32"/>
        </w:rPr>
        <w:t>。</w:t>
      </w:r>
    </w:p>
    <w:p>
      <w:pPr>
        <w:keepNext/>
        <w:keepLines/>
        <w:snapToGrid w:val="0"/>
        <w:spacing w:line="580" w:lineRule="exact"/>
        <w:ind w:firstLine="643" w:firstLineChars="200"/>
        <w:outlineLvl w:val="1"/>
        <w:rPr>
          <w:rFonts w:hint="eastAsia" w:ascii="黑体" w:hAnsi="Calibri" w:eastAsia="仿宋_GB2312"/>
          <w:sz w:val="32"/>
          <w:szCs w:val="32"/>
          <w:lang w:eastAsia="zh-CN"/>
        </w:rPr>
      </w:pPr>
      <w:r>
        <w:rPr>
          <w:rFonts w:hint="default" w:ascii="仿宋_GB2312" w:hAnsi="仿宋_GB2312" w:eastAsia="仿宋_GB2312" w:cs="仿宋_GB2312"/>
          <w:b/>
          <w:bCs/>
          <w:sz w:val="32"/>
          <w:szCs w:val="32"/>
          <w:lang w:val="en-US"/>
        </w:rPr>
        <w:t>(3)</w:t>
      </w:r>
      <w:r>
        <w:rPr>
          <w:rFonts w:hint="eastAsia" w:ascii="仿宋_GB2312" w:hAnsi="仿宋_GB2312" w:eastAsia="仿宋_GB2312" w:cs="仿宋_GB2312"/>
          <w:b/>
          <w:bCs/>
          <w:sz w:val="32"/>
          <w:szCs w:val="32"/>
        </w:rPr>
        <w:t>财政评价项目绩效评价结果</w:t>
      </w:r>
      <w:r>
        <w:rPr>
          <w:rFonts w:hint="eastAsia" w:ascii="仿宋_GB2312" w:hAnsi="仿宋_GB2312" w:eastAsia="仿宋_GB2312" w:cs="仿宋_GB2312"/>
          <w:b/>
          <w:bCs/>
          <w:sz w:val="32"/>
          <w:szCs w:val="32"/>
          <w:lang w:eastAsia="zh-CN"/>
        </w:rPr>
        <w:t>：优</w:t>
      </w:r>
    </w:p>
    <w:p>
      <w:pPr>
        <w:keepNext/>
        <w:keepLines/>
        <w:snapToGrid w:val="0"/>
        <w:spacing w:line="600" w:lineRule="exact"/>
        <w:ind w:firstLine="640" w:firstLineChars="200"/>
        <w:outlineLvl w:val="1"/>
        <w:rPr>
          <w:rFonts w:ascii="黑体" w:hAnsi="黑体" w:eastAsia="黑体" w:cs="黑体"/>
          <w:b/>
          <w:bCs/>
          <w:sz w:val="32"/>
          <w:szCs w:val="32"/>
        </w:rPr>
      </w:pPr>
      <w:r>
        <w:rPr>
          <w:rFonts w:hint="eastAsia" w:ascii="黑体" w:hAnsi="黑体" w:eastAsia="黑体" w:cs="黑体"/>
          <w:sz w:val="32"/>
          <w:szCs w:val="32"/>
        </w:rPr>
        <w:t>七、机关运行经费情况</w:t>
      </w:r>
    </w:p>
    <w:p>
      <w:pPr>
        <w:adjustRightInd w:val="0"/>
        <w:snapToGrid w:val="0"/>
        <w:spacing w:line="600" w:lineRule="exact"/>
        <w:ind w:firstLine="640" w:firstLineChars="200"/>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本部门2020年度机关运行经费支出</w:t>
      </w:r>
      <w:r>
        <w:rPr>
          <w:rFonts w:hint="eastAsia" w:ascii="仿宋_GB2312" w:hAnsi="仿宋_GB2312" w:eastAsia="仿宋_GB2312" w:cs="仿宋_GB2312"/>
          <w:sz w:val="32"/>
          <w:szCs w:val="32"/>
          <w:lang w:val="en-US" w:eastAsia="zh-CN"/>
        </w:rPr>
        <w:t>11.4</w:t>
      </w:r>
      <w:r>
        <w:rPr>
          <w:rFonts w:hint="eastAsia" w:ascii="仿宋_GB2312" w:hAnsi="仿宋_GB2312" w:eastAsia="仿宋_GB2312" w:cs="仿宋_GB2312"/>
          <w:sz w:val="32"/>
          <w:szCs w:val="32"/>
        </w:rPr>
        <w:t>万元，比2019年度减少</w:t>
      </w:r>
      <w:r>
        <w:rPr>
          <w:rFonts w:hint="eastAsia" w:ascii="仿宋_GB2312" w:hAnsi="仿宋_GB2312" w:eastAsia="仿宋_GB2312" w:cs="仿宋_GB2312"/>
          <w:sz w:val="32"/>
          <w:szCs w:val="32"/>
          <w:lang w:val="en-US" w:eastAsia="zh-CN"/>
        </w:rPr>
        <w:t>0.29</w:t>
      </w:r>
      <w:r>
        <w:rPr>
          <w:rFonts w:hint="eastAsia" w:ascii="仿宋_GB2312" w:hAnsi="仿宋_GB2312" w:eastAsia="仿宋_GB2312" w:cs="仿宋_GB2312"/>
          <w:sz w:val="32"/>
          <w:szCs w:val="32"/>
        </w:rPr>
        <w:t>万元，降低</w:t>
      </w:r>
      <w:r>
        <w:rPr>
          <w:rFonts w:hint="eastAsia" w:ascii="仿宋_GB2312" w:hAnsi="仿宋_GB2312" w:eastAsia="仿宋_GB2312" w:cs="仿宋_GB2312"/>
          <w:sz w:val="32"/>
          <w:szCs w:val="32"/>
          <w:lang w:val="en-US" w:eastAsia="zh-CN"/>
        </w:rPr>
        <w:t>2.48</w:t>
      </w:r>
      <w:r>
        <w:rPr>
          <w:rFonts w:hint="eastAsia" w:ascii="仿宋_GB2312" w:hAnsi="仿宋_GB2312" w:eastAsia="仿宋_GB2312" w:cs="仿宋_GB2312"/>
          <w:sz w:val="32"/>
          <w:szCs w:val="32"/>
        </w:rPr>
        <w:t>%。主要原因是</w:t>
      </w:r>
      <w:r>
        <w:rPr>
          <w:rFonts w:hint="eastAsia" w:ascii="仿宋_GB2312" w:hAnsi="Times New Roman" w:eastAsia="仿宋_GB2312" w:cs="DengXian-Regular"/>
          <w:sz w:val="32"/>
          <w:szCs w:val="32"/>
          <w:lang w:eastAsia="zh-CN"/>
        </w:rPr>
        <w:t>减少三公经费支出</w:t>
      </w:r>
      <w:r>
        <w:rPr>
          <w:rFonts w:hint="eastAsia" w:ascii="仿宋_GB2312" w:hAnsi="仿宋_GB2312" w:eastAsia="仿宋_GB2312" w:cs="仿宋_GB2312"/>
          <w:sz w:val="32"/>
          <w:szCs w:val="32"/>
        </w:rPr>
        <w:t>。</w:t>
      </w:r>
    </w:p>
    <w:p>
      <w:pPr>
        <w:keepNext/>
        <w:keepLines/>
        <w:snapToGrid w:val="0"/>
        <w:spacing w:line="600" w:lineRule="exact"/>
        <w:ind w:firstLine="640" w:firstLineChars="200"/>
        <w:outlineLvl w:val="2"/>
        <w:rPr>
          <w:rFonts w:hint="eastAsia" w:ascii="黑体" w:hAnsi="黑体" w:eastAsia="黑体" w:cs="黑体"/>
          <w:sz w:val="32"/>
          <w:szCs w:val="32"/>
        </w:rPr>
      </w:pPr>
      <w:r>
        <w:rPr>
          <w:rFonts w:hint="eastAsia" w:ascii="黑体" w:hAnsi="黑体" w:eastAsia="黑体" w:cs="黑体"/>
          <w:sz w:val="32"/>
          <w:szCs w:val="32"/>
        </w:rPr>
        <w:t>八、政府采购情况</w:t>
      </w:r>
    </w:p>
    <w:p>
      <w:pPr>
        <w:keepNext/>
        <w:keepLines/>
        <w:snapToGrid w:val="0"/>
        <w:spacing w:line="600" w:lineRule="exact"/>
        <w:ind w:firstLine="640" w:firstLineChars="200"/>
        <w:outlineLvl w:val="2"/>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sz w:val="32"/>
          <w:szCs w:val="32"/>
        </w:rPr>
        <w:t>本部门2020年度政府采购支出总额</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万元，从采购类型来看，</w:t>
      </w:r>
      <w:r>
        <w:rPr>
          <w:rFonts w:hint="eastAsia" w:ascii="仿宋_GB2312" w:hAnsi="仿宋_GB2312" w:eastAsia="仿宋_GB2312" w:cs="仿宋_GB2312"/>
          <w:color w:val="000000"/>
          <w:kern w:val="0"/>
          <w:sz w:val="32"/>
          <w:szCs w:val="32"/>
          <w:lang w:bidi="ar"/>
        </w:rPr>
        <w:t>政府采购货物支出</w:t>
      </w:r>
      <w:r>
        <w:rPr>
          <w:rFonts w:hint="eastAsia" w:ascii="仿宋_GB2312" w:hAnsi="仿宋_GB2312" w:eastAsia="仿宋_GB2312" w:cs="仿宋_GB2312"/>
          <w:color w:val="000000"/>
          <w:kern w:val="0"/>
          <w:sz w:val="32"/>
          <w:szCs w:val="32"/>
          <w:lang w:val="en-US" w:eastAsia="zh-CN" w:bidi="ar"/>
        </w:rPr>
        <w:t>0</w:t>
      </w:r>
      <w:r>
        <w:rPr>
          <w:rFonts w:hint="eastAsia" w:ascii="仿宋_GB2312" w:hAnsi="仿宋_GB2312" w:eastAsia="仿宋_GB2312" w:cs="仿宋_GB2312"/>
          <w:color w:val="000000"/>
          <w:kern w:val="0"/>
          <w:sz w:val="32"/>
          <w:szCs w:val="32"/>
          <w:lang w:bidi="ar"/>
        </w:rPr>
        <w:t xml:space="preserve"> 万元、政府采购工程支出</w:t>
      </w:r>
      <w:r>
        <w:rPr>
          <w:rFonts w:hint="eastAsia" w:ascii="仿宋_GB2312" w:hAnsi="仿宋_GB2312" w:eastAsia="仿宋_GB2312" w:cs="仿宋_GB2312"/>
          <w:color w:val="000000"/>
          <w:kern w:val="0"/>
          <w:sz w:val="32"/>
          <w:szCs w:val="32"/>
          <w:lang w:val="en-US" w:eastAsia="zh-CN" w:bidi="ar"/>
        </w:rPr>
        <w:t>0</w:t>
      </w:r>
      <w:r>
        <w:rPr>
          <w:rFonts w:hint="eastAsia" w:ascii="仿宋_GB2312" w:hAnsi="仿宋_GB2312" w:eastAsia="仿宋_GB2312" w:cs="仿宋_GB2312"/>
          <w:color w:val="000000"/>
          <w:kern w:val="0"/>
          <w:sz w:val="32"/>
          <w:szCs w:val="32"/>
          <w:lang w:bidi="ar"/>
        </w:rPr>
        <w:t xml:space="preserve">万元、政府采购服务支出 </w:t>
      </w:r>
      <w:r>
        <w:rPr>
          <w:rFonts w:hint="eastAsia" w:ascii="仿宋_GB2312" w:hAnsi="仿宋_GB2312" w:eastAsia="仿宋_GB2312" w:cs="仿宋_GB2312"/>
          <w:color w:val="000000"/>
          <w:kern w:val="0"/>
          <w:sz w:val="32"/>
          <w:szCs w:val="32"/>
          <w:lang w:val="en-US" w:eastAsia="zh-CN" w:bidi="ar"/>
        </w:rPr>
        <w:t>0</w:t>
      </w:r>
      <w:r>
        <w:rPr>
          <w:rFonts w:hint="eastAsia" w:ascii="仿宋_GB2312" w:hAnsi="仿宋_GB2312" w:eastAsia="仿宋_GB2312" w:cs="仿宋_GB2312"/>
          <w:color w:val="000000"/>
          <w:kern w:val="0"/>
          <w:sz w:val="32"/>
          <w:szCs w:val="32"/>
          <w:lang w:bidi="ar"/>
        </w:rPr>
        <w:t>万元。授予中小企业合同金</w:t>
      </w:r>
      <w:r>
        <w:rPr>
          <w:rFonts w:hint="eastAsia" w:ascii="仿宋_GB2312" w:hAnsi="仿宋_GB2312" w:eastAsia="仿宋_GB2312" w:cs="仿宋_GB2312"/>
          <w:color w:val="000000"/>
          <w:kern w:val="0"/>
          <w:sz w:val="32"/>
          <w:szCs w:val="32"/>
          <w:lang w:val="en-US" w:eastAsia="zh-CN" w:bidi="ar"/>
        </w:rPr>
        <w:t>0</w:t>
      </w:r>
      <w:r>
        <w:rPr>
          <w:rFonts w:hint="eastAsia" w:ascii="仿宋_GB2312" w:hAnsi="仿宋_GB2312" w:eastAsia="仿宋_GB2312" w:cs="仿宋_GB2312"/>
          <w:color w:val="000000"/>
          <w:kern w:val="0"/>
          <w:sz w:val="32"/>
          <w:szCs w:val="32"/>
          <w:lang w:bidi="ar"/>
        </w:rPr>
        <w:t>万元，占政府采购支出总额的</w:t>
      </w:r>
      <w:r>
        <w:rPr>
          <w:rFonts w:hint="eastAsia" w:ascii="仿宋_GB2312" w:hAnsi="仿宋_GB2312" w:eastAsia="仿宋_GB2312" w:cs="仿宋_GB2312"/>
          <w:color w:val="000000"/>
          <w:kern w:val="0"/>
          <w:sz w:val="32"/>
          <w:szCs w:val="32"/>
          <w:lang w:val="en-US" w:eastAsia="zh-CN" w:bidi="ar"/>
        </w:rPr>
        <w:t>100</w:t>
      </w:r>
      <w:r>
        <w:rPr>
          <w:rFonts w:hint="eastAsia" w:ascii="仿宋_GB2312" w:hAnsi="仿宋_GB2312" w:eastAsia="仿宋_GB2312" w:cs="仿宋_GB2312"/>
          <w:color w:val="000000"/>
          <w:kern w:val="0"/>
          <w:sz w:val="32"/>
          <w:szCs w:val="32"/>
          <w:lang w:bidi="ar"/>
        </w:rPr>
        <w:t>%，其中授予小微企业合同金额</w:t>
      </w:r>
      <w:r>
        <w:rPr>
          <w:rFonts w:hint="eastAsia" w:ascii="仿宋_GB2312" w:hAnsi="仿宋_GB2312" w:eastAsia="仿宋_GB2312" w:cs="仿宋_GB2312"/>
          <w:color w:val="000000"/>
          <w:kern w:val="0"/>
          <w:sz w:val="32"/>
          <w:szCs w:val="32"/>
          <w:lang w:val="en-US" w:eastAsia="zh-CN" w:bidi="ar"/>
        </w:rPr>
        <w:t>0</w:t>
      </w:r>
      <w:r>
        <w:rPr>
          <w:rFonts w:hint="eastAsia" w:ascii="仿宋_GB2312" w:hAnsi="仿宋_GB2312" w:eastAsia="仿宋_GB2312" w:cs="仿宋_GB2312"/>
          <w:color w:val="000000"/>
          <w:kern w:val="0"/>
          <w:sz w:val="32"/>
          <w:szCs w:val="32"/>
          <w:lang w:bidi="ar"/>
        </w:rPr>
        <w:t xml:space="preserve">万元，占政府采购支出总额的 </w:t>
      </w:r>
      <w:r>
        <w:rPr>
          <w:rFonts w:hint="eastAsia" w:ascii="仿宋_GB2312" w:hAnsi="仿宋_GB2312" w:eastAsia="仿宋_GB2312" w:cs="仿宋_GB2312"/>
          <w:color w:val="000000"/>
          <w:kern w:val="0"/>
          <w:sz w:val="32"/>
          <w:szCs w:val="32"/>
          <w:lang w:val="en-US" w:eastAsia="zh-CN" w:bidi="ar"/>
        </w:rPr>
        <w:t>100</w:t>
      </w:r>
      <w:r>
        <w:rPr>
          <w:rFonts w:hint="eastAsia" w:ascii="仿宋_GB2312" w:hAnsi="仿宋_GB2312" w:eastAsia="仿宋_GB2312" w:cs="仿宋_GB2312"/>
          <w:color w:val="000000"/>
          <w:kern w:val="0"/>
          <w:sz w:val="32"/>
          <w:szCs w:val="32"/>
          <w:lang w:bidi="ar"/>
        </w:rPr>
        <w:t>%。</w:t>
      </w:r>
    </w:p>
    <w:p>
      <w:pPr>
        <w:keepNext/>
        <w:keepLines/>
        <w:snapToGrid w:val="0"/>
        <w:spacing w:line="600" w:lineRule="exact"/>
        <w:ind w:firstLine="640" w:firstLineChars="200"/>
        <w:outlineLvl w:val="2"/>
        <w:rPr>
          <w:rFonts w:ascii="黑体" w:hAnsi="黑体" w:eastAsia="黑体" w:cs="黑体"/>
          <w:sz w:val="32"/>
          <w:szCs w:val="32"/>
        </w:rPr>
      </w:pPr>
      <w:r>
        <w:rPr>
          <w:rFonts w:hint="eastAsia" w:ascii="黑体" w:hAnsi="黑体" w:eastAsia="黑体" w:cs="黑体"/>
          <w:sz w:val="32"/>
          <w:szCs w:val="32"/>
        </w:rPr>
        <w:t>九、国有资产占用情况</w:t>
      </w:r>
    </w:p>
    <w:p>
      <w:pPr>
        <w:adjustRightInd w:val="0"/>
        <w:snapToGrid w:val="0"/>
        <w:spacing w:line="60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截至2020年12月31日，</w:t>
      </w:r>
      <w:r>
        <w:rPr>
          <w:rFonts w:hint="eastAsia" w:ascii="仿宋_GB2312" w:hAnsi="Times New Roman" w:eastAsia="仿宋_GB2312" w:cs="DengXian-Regular"/>
          <w:sz w:val="32"/>
          <w:szCs w:val="32"/>
        </w:rPr>
        <w:t>本部门共有车辆</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辆，</w:t>
      </w:r>
      <w:r>
        <w:rPr>
          <w:rFonts w:hint="eastAsia" w:ascii="仿宋_GB2312" w:hAnsi="Times New Roman" w:eastAsia="仿宋_GB2312" w:cs="DengXian-Regular"/>
          <w:sz w:val="32"/>
          <w:szCs w:val="32"/>
          <w:lang w:eastAsia="zh-CN"/>
        </w:rPr>
        <w:t>与</w:t>
      </w:r>
      <w:r>
        <w:rPr>
          <w:rFonts w:hint="eastAsia" w:ascii="仿宋_GB2312" w:hAnsi="Times New Roman" w:eastAsia="仿宋_GB2312" w:cs="DengXian-Regular"/>
          <w:sz w:val="32"/>
          <w:szCs w:val="32"/>
        </w:rPr>
        <w:t>上年</w:t>
      </w:r>
      <w:r>
        <w:rPr>
          <w:rFonts w:hint="eastAsia" w:ascii="仿宋_GB2312" w:hAnsi="Times New Roman" w:eastAsia="仿宋_GB2312" w:cs="DengXian-Regular"/>
          <w:sz w:val="32"/>
          <w:szCs w:val="32"/>
          <w:lang w:eastAsia="zh-CN"/>
        </w:rPr>
        <w:t>无增减变化</w:t>
      </w:r>
      <w:r>
        <w:rPr>
          <w:rFonts w:hint="eastAsia" w:ascii="仿宋_GB2312" w:hAnsi="Times New Roman" w:eastAsia="仿宋_GB2312" w:cs="DengXian-Regular"/>
          <w:sz w:val="32"/>
          <w:szCs w:val="32"/>
        </w:rPr>
        <w:t>。其中，机要通信用车</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辆；单位价值</w:t>
      </w:r>
      <w:r>
        <w:rPr>
          <w:rFonts w:ascii="仿宋_GB2312" w:hAnsi="TimesNewRomanPSMT" w:eastAsia="仿宋_GB2312" w:cs="TimesNewRomanPSMT"/>
          <w:sz w:val="32"/>
          <w:szCs w:val="32"/>
        </w:rPr>
        <w:t>50</w:t>
      </w:r>
      <w:r>
        <w:rPr>
          <w:rFonts w:hint="eastAsia" w:ascii="仿宋_GB2312" w:hAnsi="Times New Roman" w:eastAsia="仿宋_GB2312" w:cs="DengXian-Regular"/>
          <w:sz w:val="32"/>
          <w:szCs w:val="32"/>
        </w:rPr>
        <w:t>万元以上通用设备</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台，</w:t>
      </w:r>
      <w:r>
        <w:rPr>
          <w:rFonts w:hint="eastAsia" w:ascii="仿宋_GB2312" w:hAnsi="Times New Roman" w:eastAsia="仿宋_GB2312" w:cs="DengXian-Regular"/>
          <w:sz w:val="32"/>
          <w:szCs w:val="32"/>
          <w:lang w:eastAsia="zh-CN"/>
        </w:rPr>
        <w:t>与</w:t>
      </w:r>
      <w:r>
        <w:rPr>
          <w:rFonts w:hint="eastAsia" w:ascii="仿宋_GB2312" w:hAnsi="Times New Roman" w:eastAsia="仿宋_GB2312" w:cs="DengXian-Regular"/>
          <w:sz w:val="32"/>
          <w:szCs w:val="32"/>
        </w:rPr>
        <w:t>上年</w:t>
      </w:r>
      <w:r>
        <w:rPr>
          <w:rFonts w:hint="eastAsia" w:ascii="仿宋_GB2312" w:hAnsi="Times New Roman" w:eastAsia="仿宋_GB2312" w:cs="DengXian-Regular"/>
          <w:sz w:val="32"/>
          <w:szCs w:val="32"/>
          <w:lang w:eastAsia="zh-CN"/>
        </w:rPr>
        <w:t>无增减变化</w:t>
      </w:r>
      <w:r>
        <w:rPr>
          <w:rFonts w:ascii="仿宋_GB2312" w:hAnsi="Times New Roman" w:eastAsia="仿宋_GB2312" w:cs="DengXian-Regular"/>
          <w:sz w:val="32"/>
          <w:szCs w:val="32"/>
        </w:rPr>
        <w:t xml:space="preserve"> </w:t>
      </w:r>
      <w:r>
        <w:rPr>
          <w:rFonts w:hint="eastAsia" w:ascii="仿宋_GB2312" w:hAnsi="Times New Roman" w:eastAsia="仿宋_GB2312" w:cs="DengXian-Regular"/>
          <w:sz w:val="32"/>
          <w:szCs w:val="32"/>
        </w:rPr>
        <w:t>，单位价值</w:t>
      </w:r>
      <w:r>
        <w:rPr>
          <w:rFonts w:ascii="仿宋_GB2312" w:hAnsi="TimesNewRomanPSMT" w:eastAsia="仿宋_GB2312" w:cs="TimesNewRomanPSMT"/>
          <w:sz w:val="32"/>
          <w:szCs w:val="32"/>
        </w:rPr>
        <w:t>100</w:t>
      </w:r>
      <w:r>
        <w:rPr>
          <w:rFonts w:hint="eastAsia" w:ascii="仿宋_GB2312" w:hAnsi="Times New Roman" w:eastAsia="仿宋_GB2312" w:cs="DengXian-Regular"/>
          <w:sz w:val="32"/>
          <w:szCs w:val="32"/>
        </w:rPr>
        <w:t>万元以上专用设备</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台</w:t>
      </w:r>
      <w:r>
        <w:rPr>
          <w:rFonts w:hint="eastAsia" w:ascii="仿宋_GB2312" w:hAnsi="Times New Roman" w:eastAsia="仿宋_GB2312" w:cs="DengXian-Regular"/>
          <w:sz w:val="32"/>
          <w:szCs w:val="32"/>
          <w:lang w:eastAsia="zh-CN"/>
        </w:rPr>
        <w:t>，与</w:t>
      </w:r>
      <w:r>
        <w:rPr>
          <w:rFonts w:hint="eastAsia" w:ascii="仿宋_GB2312" w:hAnsi="Times New Roman" w:eastAsia="仿宋_GB2312" w:cs="DengXian-Regular"/>
          <w:sz w:val="32"/>
          <w:szCs w:val="32"/>
        </w:rPr>
        <w:t>上年</w:t>
      </w:r>
      <w:r>
        <w:rPr>
          <w:rFonts w:hint="eastAsia" w:ascii="仿宋_GB2312" w:hAnsi="Times New Roman" w:eastAsia="仿宋_GB2312" w:cs="DengXian-Regular"/>
          <w:sz w:val="32"/>
          <w:szCs w:val="32"/>
          <w:lang w:eastAsia="zh-CN"/>
        </w:rPr>
        <w:t>无增减变化</w:t>
      </w:r>
    </w:p>
    <w:p>
      <w:pPr>
        <w:keepNext/>
        <w:keepLines/>
        <w:snapToGrid w:val="0"/>
        <w:spacing w:line="600" w:lineRule="exact"/>
        <w:ind w:firstLine="640" w:firstLineChars="200"/>
        <w:outlineLvl w:val="2"/>
        <w:rPr>
          <w:rFonts w:ascii="黑体" w:hAnsi="黑体" w:eastAsia="黑体" w:cs="黑体"/>
          <w:sz w:val="32"/>
          <w:szCs w:val="32"/>
        </w:rPr>
      </w:pPr>
      <w:r>
        <w:rPr>
          <w:rFonts w:hint="eastAsia" w:ascii="黑体" w:hAnsi="黑体" w:eastAsia="黑体" w:cs="黑体"/>
          <w:sz w:val="32"/>
          <w:szCs w:val="32"/>
        </w:rPr>
        <w:t>十、其他需要说明的情况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仿宋_GB2312" w:eastAsia="仿宋_GB2312" w:cs="仿宋_GB2312"/>
          <w:sz w:val="32"/>
          <w:szCs w:val="32"/>
        </w:rPr>
        <w:t xml:space="preserve">1. </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w:t>
      </w:r>
      <w:r>
        <w:rPr>
          <w:rFonts w:hint="eastAsia" w:ascii="仿宋_GB2312" w:hAnsi="Times New Roman" w:eastAsia="仿宋_GB2312" w:cs="DengXian-Regular"/>
          <w:sz w:val="32"/>
          <w:szCs w:val="32"/>
          <w:lang w:val="en-US" w:eastAsia="zh-CN"/>
        </w:rPr>
        <w:t>20</w:t>
      </w:r>
      <w:r>
        <w:rPr>
          <w:rFonts w:hint="eastAsia" w:ascii="仿宋_GB2312" w:hAnsi="Times New Roman" w:eastAsia="仿宋_GB2312" w:cs="DengXian-Regular"/>
          <w:sz w:val="32"/>
          <w:szCs w:val="32"/>
        </w:rPr>
        <w:t>年度无收支及结转结余情况，故以空表列示。</w:t>
      </w:r>
    </w:p>
    <w:p>
      <w:pPr>
        <w:adjustRightInd w:val="0"/>
        <w:snapToGrid w:val="0"/>
        <w:spacing w:line="58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 xml:space="preserve">2. </w:t>
      </w:r>
      <w:r>
        <w:rPr>
          <w:rFonts w:hint="eastAsia" w:ascii="仿宋_GB2312" w:hAnsi="Times New Roman" w:eastAsia="仿宋_GB2312" w:cs="DengXian-Regular"/>
          <w:sz w:val="32"/>
          <w:szCs w:val="32"/>
        </w:rPr>
        <w:t>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hAnsi="宋体" w:eastAsia="宋体" w:cs="MS-UIGothic,Bold"/>
          <w:b/>
          <w:bCs/>
          <w:kern w:val="0"/>
          <w:sz w:val="44"/>
          <w:szCs w:val="44"/>
        </w:rPr>
        <w:sectPr>
          <w:pgSz w:w="11906" w:h="16838"/>
          <w:pgMar w:top="2098" w:right="1474" w:bottom="1984" w:left="1588" w:header="851" w:footer="992" w:gutter="0"/>
          <w:pgBorders>
            <w:top w:val="none" w:sz="0" w:space="0"/>
            <w:left w:val="none" w:sz="0" w:space="0"/>
            <w:bottom w:val="none" w:sz="0" w:space="0"/>
            <w:right w:val="none" w:sz="0" w:space="0"/>
          </w:pgBorders>
          <w:pgNumType w:fmt="numberInDash"/>
          <w:cols w:space="0" w:num="1"/>
          <w:docGrid w:type="lines" w:linePitch="312" w:charSpace="0"/>
        </w:sectPr>
      </w:pPr>
    </w:p>
    <w:p>
      <w:pPr>
        <w:rPr>
          <w:rFonts w:ascii="仿宋_GB2312" w:hAnsi="宋体" w:eastAsia="仿宋_GB2312" w:cs="Arial Black"/>
          <w:sz w:val="32"/>
          <w:szCs w:val="32"/>
        </w:rPr>
      </w:pPr>
      <w:r>
        <w:rPr>
          <w:sz w:val="72"/>
        </w:rPr>
        <mc:AlternateContent>
          <mc:Choice Requires="wps">
            <w:drawing>
              <wp:anchor distT="0" distB="0" distL="114300" distR="114300" simplePos="0" relativeHeight="251660288" behindDoc="0" locked="0" layoutInCell="1" allowOverlap="1">
                <wp:simplePos x="0" y="0"/>
                <wp:positionH relativeFrom="column">
                  <wp:posOffset>-1022350</wp:posOffset>
                </wp:positionH>
                <wp:positionV relativeFrom="paragraph">
                  <wp:posOffset>201930</wp:posOffset>
                </wp:positionV>
                <wp:extent cx="7793355" cy="3341370"/>
                <wp:effectExtent l="4445" t="4445" r="5080" b="6985"/>
                <wp:wrapNone/>
                <wp:docPr id="188" name="文本框 188"/>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chemeClr val="bg1">
                              <a:lumMod val="50000"/>
                            </a:schemeClr>
                          </a:fgClr>
                          <a:bgClr>
                            <a:schemeClr val="bg1"/>
                          </a:bgClr>
                        </a:pattFill>
                        <a:ln w="6350">
                          <a:solidFill>
                            <a:schemeClr val="bg1">
                              <a:lumMod val="50000"/>
                            </a:schemeClr>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相关名词解释</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0.5pt;margin-top:15.9pt;height:263.1pt;width:613.65pt;z-index:251660288;v-text-anchor:middle;mso-width-relative:page;mso-height-relative:page;" fillcolor="#7F7F7F [1612]" filled="t" stroked="t" coordsize="21600,21600" o:gfxdata="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P/0jT7ZAAAADAEAAA8A&#10;AAAAAAAAAQAgAAAAIgAAAGRycy9kb3ducmV2LnhtbFBLAQIUABQAAAAIAIdO4kDBnZ8JiAIAAEwF&#10;AAAOAAAAAAAAAAEAIAAAACgBAABkcnMvZTJvRG9jLnhtbFBLBQYAAAAABgAGAFkBAAAiBgAAAAA=&#10;">
                <v:fill type="pattern" on="t" color2="#FFFFFF [3212]" o:title="5%" focussize="0,0" r:id="rId10"/>
                <v:stroke weight="0.5pt" color="#7F7F7F [1612]" joinstyle="round"/>
                <v:imagedata o:title=""/>
                <o:lock v:ext="edit" aspectratio="f"/>
                <v:textbo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相关名词解释</w:t>
                      </w:r>
                    </w:p>
                  </w:txbxContent>
                </v:textbox>
              </v:shape>
            </w:pict>
          </mc:Fallback>
        </mc:AlternateContent>
      </w: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highlight w:val="yellow"/>
        </w:rPr>
      </w:pPr>
      <w:r>
        <w:rPr>
          <w:rFonts w:hint="eastAsia" w:ascii="仿宋_GB2312" w:hAnsi="宋体" w:eastAsia="仿宋_GB2312" w:cs="Arial Black"/>
          <w:sz w:val="32"/>
          <w:szCs w:val="32"/>
          <w:highlight w:val="yellow"/>
        </w:rPr>
        <w:br w:type="page"/>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（一）财政拨款收入：</w:t>
      </w:r>
      <w:r>
        <w:rPr>
          <w:rFonts w:hint="eastAsia" w:ascii="仿宋_GB2312" w:hAnsi="宋体" w:eastAsia="仿宋_GB2312" w:cs="Times New Roman"/>
          <w:color w:val="000000"/>
          <w:kern w:val="0"/>
          <w:sz w:val="32"/>
          <w:szCs w:val="32"/>
        </w:rPr>
        <w:t>本年度从本级财政部门取得的财政拨款，包括一般公共预算财政拨款和政府性基金预算财政拨款。</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（二）事业收入：</w:t>
      </w:r>
      <w:r>
        <w:rPr>
          <w:rFonts w:hint="eastAsia" w:ascii="仿宋_GB2312" w:hAnsi="宋体" w:eastAsia="仿宋_GB2312" w:cs="Times New Roman"/>
          <w:color w:val="000000"/>
          <w:kern w:val="0"/>
          <w:sz w:val="32"/>
          <w:szCs w:val="32"/>
        </w:rPr>
        <w:t>指事业单位开展专业业务活动及辅助活动所取得的收入。</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（三）其他收入：</w:t>
      </w:r>
      <w:r>
        <w:rPr>
          <w:rFonts w:hint="eastAsia" w:ascii="仿宋_GB2312" w:hAnsi="宋体" w:eastAsia="仿宋_GB2312" w:cs="Times New Roman"/>
          <w:color w:val="000000"/>
          <w:kern w:val="0"/>
          <w:sz w:val="32"/>
          <w:szCs w:val="32"/>
        </w:rPr>
        <w:t>指除上述“财政拨款收入”“事业收入”“经营收入”等以外的收入。</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（四）年初结转和结余：</w:t>
      </w:r>
      <w:r>
        <w:rPr>
          <w:rFonts w:hint="eastAsia" w:ascii="仿宋_GB2312" w:hAnsi="宋体" w:eastAsia="仿宋_GB2312" w:cs="Times New Roman"/>
          <w:color w:val="000000"/>
          <w:kern w:val="0"/>
          <w:sz w:val="32"/>
          <w:szCs w:val="32"/>
        </w:rPr>
        <w:t>指以前年度尚未完成、结转到本年仍按原规定用途继续使用的资金，或项目已完成等产生的结余资金。</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（五）结余分配：</w:t>
      </w:r>
      <w:r>
        <w:rPr>
          <w:rFonts w:hint="eastAsia" w:ascii="仿宋_GB2312" w:hAnsi="宋体" w:eastAsia="仿宋_GB2312" w:cs="Times New Roman"/>
          <w:color w:val="000000"/>
          <w:kern w:val="0"/>
          <w:sz w:val="32"/>
          <w:szCs w:val="32"/>
        </w:rPr>
        <w:t>指事业单位按照事业单位会计制度的规定从非财政补助结余中分配的事业基金和职工福利基金等。</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（六）年末结转和结余：</w:t>
      </w:r>
      <w:r>
        <w:rPr>
          <w:rFonts w:hint="eastAsia" w:ascii="仿宋_GB2312" w:hAnsi="宋体" w:eastAsia="仿宋_GB2312" w:cs="Times New Roman"/>
          <w:color w:val="000000"/>
          <w:kern w:val="0"/>
          <w:sz w:val="32"/>
          <w:szCs w:val="32"/>
        </w:rPr>
        <w:t>指单位按有关规定结转到下年或以后年度继续使用的资金，或项目已完成等产生的结余资金。</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（七）基本支出：</w:t>
      </w:r>
      <w:r>
        <w:rPr>
          <w:rFonts w:hint="eastAsia" w:ascii="仿宋_GB2312" w:hAnsi="宋体" w:eastAsia="仿宋_GB2312" w:cs="Times New Roman"/>
          <w:color w:val="000000"/>
          <w:kern w:val="0"/>
          <w:sz w:val="32"/>
          <w:szCs w:val="32"/>
        </w:rPr>
        <w:t>填列单位为保障机构正常运转、完成日常工作任务而发生的各项支出。</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（八）项目支出：</w:t>
      </w:r>
      <w:r>
        <w:rPr>
          <w:rFonts w:hint="eastAsia" w:ascii="仿宋_GB2312" w:hAnsi="宋体" w:eastAsia="仿宋_GB2312" w:cs="Times New Roman"/>
          <w:color w:val="000000"/>
          <w:kern w:val="0"/>
          <w:sz w:val="32"/>
          <w:szCs w:val="32"/>
        </w:rPr>
        <w:t>填列单位为完成特定的行政工作任务或事业发展目标，在基本支出之外发生的各项支出</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（九）基本建设支出：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和政府性基金预算财政拨款支出，不包括财政专户管理资金以及各类拼盘自筹资金等。</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（十二）其他交通费用：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spacing w:line="600" w:lineRule="exact"/>
        <w:ind w:firstLine="643" w:firstLineChars="200"/>
        <w:jc w:val="left"/>
        <w:rPr>
          <w:rFonts w:ascii="仿宋_GB2312" w:hAnsi="Cambria" w:eastAsia="仿宋_GB2312" w:cs="Arial Black"/>
          <w:kern w:val="0"/>
          <w:sz w:val="32"/>
          <w:szCs w:val="32"/>
        </w:rPr>
      </w:pPr>
      <w:r>
        <w:rPr>
          <w:rFonts w:hint="eastAsia" w:ascii="仿宋_GB2312" w:hAnsi="宋体" w:eastAsia="仿宋_GB2312" w:cs="Times New Roman"/>
          <w:b/>
          <w:bCs/>
          <w:color w:val="000000"/>
          <w:kern w:val="0"/>
          <w:sz w:val="32"/>
          <w:szCs w:val="32"/>
        </w:rPr>
        <w:t>（十六）经费形式: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 Black"/>
          <w:kern w:val="0"/>
          <w:sz w:val="32"/>
          <w:szCs w:val="32"/>
        </w:rPr>
        <w:t>可分为财政拨款、财政性资金基本保证、财政性资金定额或定项补助、财政性资金零补助四类。</w:t>
      </w: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widowControl/>
        <w:spacing w:after="160" w:line="580" w:lineRule="exact"/>
        <w:rPr>
          <w:rFonts w:ascii="Times New Roman" w:hAnsi="Times New Roman" w:eastAsia="黑体" w:cs="Times New Roman"/>
          <w:sz w:val="32"/>
          <w:szCs w:val="32"/>
        </w:rPr>
        <w:sectPr>
          <w:headerReference r:id="rId7" w:type="default"/>
          <w:pgSz w:w="11906" w:h="16838"/>
          <w:pgMar w:top="2098" w:right="1531" w:bottom="1984" w:left="1531" w:header="851" w:footer="992" w:gutter="0"/>
          <w:pgBorders>
            <w:top w:val="none" w:sz="0" w:space="0"/>
            <w:left w:val="none" w:sz="0" w:space="0"/>
            <w:bottom w:val="none" w:sz="0" w:space="0"/>
            <w:right w:val="none" w:sz="0" w:space="0"/>
          </w:pgBorders>
          <w:pgNumType w:fmt="numberInDash"/>
          <w:cols w:space="0" w:num="1"/>
          <w:titlePg/>
          <w:docGrid w:type="lines" w:linePitch="312" w:charSpace="0"/>
        </w:sectPr>
      </w:pPr>
    </w:p>
    <w:p>
      <w:pPr>
        <w:rPr>
          <w:rFonts w:ascii="黑体" w:hAnsi="黑体" w:eastAsia="黑体" w:cs="黑体"/>
          <w:sz w:val="56"/>
          <w:szCs w:val="72"/>
        </w:rPr>
        <w:sectPr>
          <w:type w:val="continuous"/>
          <w:pgSz w:w="11906" w:h="16838"/>
          <w:pgMar w:top="2098" w:right="1531" w:bottom="1984" w:left="1531" w:header="851" w:footer="992" w:gutter="0"/>
          <w:pgBorders>
            <w:top w:val="none" w:sz="0" w:space="0"/>
            <w:left w:val="none" w:sz="0" w:space="0"/>
            <w:bottom w:val="none" w:sz="0" w:space="0"/>
            <w:right w:val="none" w:sz="0" w:space="0"/>
          </w:pgBorders>
          <w:pgNumType w:fmt="numberInDash"/>
          <w:cols w:space="0" w:num="1"/>
          <w:titlePg/>
          <w:docGrid w:type="lines" w:linePitch="312" w:charSpace="0"/>
        </w:sectPr>
      </w:pPr>
      <w:r>
        <w:rPr>
          <w:sz w:val="72"/>
        </w:rPr>
        <mc:AlternateContent>
          <mc:Choice Requires="wps">
            <w:drawing>
              <wp:anchor distT="0" distB="0" distL="114300" distR="114300" simplePos="0" relativeHeight="251664384" behindDoc="0" locked="0" layoutInCell="1" allowOverlap="1">
                <wp:simplePos x="0" y="0"/>
                <wp:positionH relativeFrom="column">
                  <wp:posOffset>-1027430</wp:posOffset>
                </wp:positionH>
                <wp:positionV relativeFrom="paragraph">
                  <wp:posOffset>1151255</wp:posOffset>
                </wp:positionV>
                <wp:extent cx="7793355" cy="3341370"/>
                <wp:effectExtent l="6350" t="6350" r="18415" b="20320"/>
                <wp:wrapNone/>
                <wp:docPr id="1" name="文本框 1"/>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ysClr val="window" lastClr="FFFFFF">
                              <a:lumMod val="50000"/>
                            </a:sysClr>
                          </a:fgClr>
                          <a:bgClr>
                            <a:sysClr val="window" lastClr="FFFFFF"/>
                          </a:bgClr>
                        </a:pattFill>
                        <a:ln w="12700" cmpd="sng">
                          <a:solidFill>
                            <a:sysClr val="window" lastClr="FFFFFF">
                              <a:lumMod val="65000"/>
                            </a:sysClr>
                          </a:solidFill>
                          <a:prstDash val="solid"/>
                        </a:ln>
                        <a:effectLst/>
                      </wps:spPr>
                      <wps:txb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第四部分 </w:t>
                            </w:r>
                          </w:p>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2020年度部门决算报表</w:t>
                            </w:r>
                          </w:p>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0.9pt;margin-top:90.65pt;height:263.1pt;width:613.65pt;z-index:251664384;v-text-anchor:middle;mso-width-relative:page;mso-height-relative:page;" fillcolor="#7F7F7F" filled="t" stroked="t" coordsize="21600,21600" o:gfxdata="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">
                <v:fill type="pattern" on="t" color2="#FFFFFF" o:title="5%" focussize="0,0" r:id="rId10"/>
                <v:stroke weight="1pt" color="#A6A6A6" joinstyle="round"/>
                <v:imagedata o:title=""/>
                <o:lock v:ext="edit" aspectratio="f"/>
                <v:textbo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第四部分 </w:t>
                      </w:r>
                    </w:p>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2020年度部门决算报表</w:t>
                      </w:r>
                    </w:p>
                    <w:p/>
                  </w:txbxContent>
                </v:textbox>
              </v:shape>
            </w:pict>
          </mc:Fallback>
        </mc:AlternateContent>
      </w:r>
    </w:p>
    <w:tbl>
      <w:tblPr>
        <w:tblStyle w:val="5"/>
        <w:tblpPr w:leftFromText="180" w:rightFromText="180" w:vertAnchor="text" w:horzAnchor="page" w:tblpXSpec="center" w:tblpY="330"/>
        <w:tblOverlap w:val="never"/>
        <w:tblW w:w="9420" w:type="dxa"/>
        <w:jc w:val="center"/>
        <w:tblLayout w:type="fixed"/>
        <w:tblCellMar>
          <w:top w:w="0" w:type="dxa"/>
          <w:left w:w="0" w:type="dxa"/>
          <w:bottom w:w="0" w:type="dxa"/>
          <w:right w:w="0" w:type="dxa"/>
        </w:tblCellMar>
      </w:tblPr>
      <w:tblGrid>
        <w:gridCol w:w="3416"/>
        <w:gridCol w:w="508"/>
        <w:gridCol w:w="682"/>
        <w:gridCol w:w="3436"/>
        <w:gridCol w:w="534"/>
        <w:gridCol w:w="844"/>
      </w:tblGrid>
      <w:tr>
        <w:tblPrEx>
          <w:tblCellMar>
            <w:top w:w="0" w:type="dxa"/>
            <w:left w:w="0" w:type="dxa"/>
            <w:bottom w:w="0" w:type="dxa"/>
            <w:right w:w="0" w:type="dxa"/>
          </w:tblCellMar>
        </w:tblPrEx>
        <w:trPr>
          <w:trHeight w:val="165" w:hRule="atLeast"/>
          <w:jc w:val="center"/>
        </w:trPr>
        <w:tc>
          <w:tcPr>
            <w:tcW w:w="9420" w:type="dxa"/>
            <w:gridSpan w:val="6"/>
            <w:tcBorders>
              <w:top w:val="nil"/>
              <w:left w:val="nil"/>
              <w:bottom w:val="nil"/>
              <w:right w:val="nil"/>
            </w:tcBorders>
            <w:shd w:val="clear" w:color="auto" w:fill="auto"/>
            <w:noWrap/>
            <w:tcMar>
              <w:top w:w="15" w:type="dxa"/>
              <w:left w:w="15" w:type="dxa"/>
              <w:right w:w="15" w:type="dxa"/>
            </w:tcMar>
            <w:vAlign w:val="bottom"/>
          </w:tcPr>
          <w:p>
            <w:pPr>
              <w:tabs>
                <w:tab w:val="left" w:pos="4947"/>
              </w:tabs>
              <w:bidi w:val="0"/>
              <w:jc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收入支出决算总表</w:t>
            </w:r>
          </w:p>
        </w:tc>
      </w:tr>
      <w:tr>
        <w:tblPrEx>
          <w:tblCellMar>
            <w:top w:w="0" w:type="dxa"/>
            <w:left w:w="0" w:type="dxa"/>
            <w:bottom w:w="0" w:type="dxa"/>
            <w:right w:w="0" w:type="dxa"/>
          </w:tblCellMar>
        </w:tblPrEx>
        <w:trPr>
          <w:trHeight w:val="294" w:hRule="atLeast"/>
          <w:jc w:val="center"/>
        </w:trPr>
        <w:tc>
          <w:tcPr>
            <w:tcW w:w="341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50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68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4814"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公开01表</w:t>
            </w:r>
          </w:p>
        </w:tc>
      </w:tr>
      <w:tr>
        <w:tblPrEx>
          <w:tblCellMar>
            <w:top w:w="0" w:type="dxa"/>
            <w:left w:w="0" w:type="dxa"/>
            <w:bottom w:w="0" w:type="dxa"/>
            <w:right w:w="0" w:type="dxa"/>
          </w:tblCellMar>
        </w:tblPrEx>
        <w:trPr>
          <w:trHeight w:val="306" w:hRule="atLeast"/>
          <w:jc w:val="center"/>
        </w:trPr>
        <w:tc>
          <w:tcPr>
            <w:tcW w:w="3416"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hint="default" w:ascii="宋体" w:hAnsi="宋体" w:eastAsia="宋体" w:cs="宋体"/>
                <w:color w:val="000000"/>
                <w:sz w:val="18"/>
                <w:szCs w:val="18"/>
                <w:lang w:val="en-US" w:eastAsia="zh-CN"/>
              </w:rPr>
            </w:pPr>
            <w:r>
              <w:rPr>
                <w:rFonts w:hint="eastAsia" w:ascii="宋体" w:hAnsi="宋体" w:eastAsia="宋体" w:cs="宋体"/>
                <w:color w:val="000000"/>
                <w:kern w:val="0"/>
                <w:sz w:val="18"/>
                <w:szCs w:val="18"/>
                <w:lang w:bidi="ar"/>
              </w:rPr>
              <w:t>部门：</w:t>
            </w:r>
            <w:r>
              <w:rPr>
                <w:rFonts w:hint="eastAsia" w:ascii="宋体" w:hAnsi="宋体" w:eastAsia="宋体" w:cs="宋体"/>
                <w:color w:val="000000"/>
                <w:kern w:val="0"/>
                <w:sz w:val="18"/>
                <w:szCs w:val="18"/>
                <w:lang w:val="en-US" w:eastAsia="zh-CN" w:bidi="ar"/>
              </w:rPr>
              <w:t>满城区统战部</w:t>
            </w:r>
          </w:p>
        </w:tc>
        <w:tc>
          <w:tcPr>
            <w:tcW w:w="50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68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4814"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金额单位：万元</w:t>
            </w:r>
          </w:p>
        </w:tc>
      </w:tr>
      <w:tr>
        <w:tblPrEx>
          <w:tblCellMar>
            <w:top w:w="0" w:type="dxa"/>
            <w:left w:w="0" w:type="dxa"/>
            <w:bottom w:w="0" w:type="dxa"/>
            <w:right w:w="0" w:type="dxa"/>
          </w:tblCellMar>
        </w:tblPrEx>
        <w:trPr>
          <w:trHeight w:val="221" w:hRule="atLeast"/>
          <w:jc w:val="center"/>
        </w:trPr>
        <w:tc>
          <w:tcPr>
            <w:tcW w:w="4606"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sz w:val="18"/>
                <w:szCs w:val="18"/>
              </w:rPr>
              <w:t>收入</w:t>
            </w:r>
          </w:p>
        </w:tc>
        <w:tc>
          <w:tcPr>
            <w:tcW w:w="4814"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sz w:val="18"/>
                <w:szCs w:val="18"/>
              </w:rPr>
              <w:t>支出</w:t>
            </w: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sz w:val="18"/>
                <w:szCs w:val="18"/>
              </w:rPr>
              <w:t>项目</w:t>
            </w: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sz w:val="18"/>
                <w:szCs w:val="18"/>
              </w:rPr>
              <w:t>行次</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sz w:val="18"/>
                <w:szCs w:val="18"/>
              </w:rPr>
              <w:t>金额</w:t>
            </w: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sz w:val="18"/>
                <w:szCs w:val="18"/>
              </w:rPr>
              <w:t>项目</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sz w:val="18"/>
                <w:szCs w:val="18"/>
              </w:rPr>
              <w:t>行次</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sz w:val="18"/>
                <w:szCs w:val="18"/>
              </w:rPr>
              <w:t>金额</w:t>
            </w: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sz w:val="18"/>
                <w:szCs w:val="18"/>
              </w:rPr>
              <w:t>栏次</w:t>
            </w: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sz w:val="18"/>
                <w:szCs w:val="18"/>
              </w:rPr>
              <w:t>1</w:t>
            </w: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sz w:val="18"/>
                <w:szCs w:val="18"/>
              </w:rPr>
              <w:t>栏次</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sz w:val="18"/>
                <w:szCs w:val="18"/>
              </w:rPr>
              <w:t>2</w:t>
            </w: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sz w:val="18"/>
                <w:szCs w:val="18"/>
              </w:rPr>
              <w:t>一、一般公共预算财政拨款收入</w:t>
            </w: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sz w:val="18"/>
                <w:szCs w:val="18"/>
              </w:rPr>
              <w:t>1</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72.2</w:t>
            </w: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sz w:val="18"/>
                <w:szCs w:val="18"/>
              </w:rPr>
              <w:t>一、一般公共服务支出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sz w:val="18"/>
                <w:szCs w:val="18"/>
              </w:rPr>
              <w:t>32</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55.04</w:t>
            </w:r>
          </w:p>
        </w:tc>
      </w:tr>
      <w:tr>
        <w:tblPrEx>
          <w:tblCellMar>
            <w:top w:w="0" w:type="dxa"/>
            <w:left w:w="0" w:type="dxa"/>
            <w:bottom w:w="0" w:type="dxa"/>
            <w:right w:w="0" w:type="dxa"/>
          </w:tblCellMar>
        </w:tblPrEx>
        <w:trPr>
          <w:trHeight w:val="353"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sz w:val="18"/>
                <w:szCs w:val="18"/>
              </w:rPr>
              <w:t>二、政府性基金预算财政拨款收入</w:t>
            </w: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sz w:val="18"/>
                <w:szCs w:val="18"/>
              </w:rPr>
              <w:t>2</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sz w:val="18"/>
                <w:szCs w:val="18"/>
              </w:rPr>
              <w:t>二、外交支出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sz w:val="18"/>
                <w:szCs w:val="18"/>
              </w:rPr>
              <w:t>33</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sz w:val="18"/>
                <w:szCs w:val="18"/>
              </w:rPr>
              <w:t>三、国有资本经营预算财政拨款收入</w:t>
            </w: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sz w:val="18"/>
                <w:szCs w:val="18"/>
              </w:rPr>
              <w:t>3</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sz w:val="18"/>
                <w:szCs w:val="18"/>
              </w:rPr>
              <w:t>三、国防支出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sz w:val="18"/>
                <w:szCs w:val="18"/>
              </w:rPr>
              <w:t>34</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sz w:val="18"/>
                <w:szCs w:val="18"/>
              </w:rPr>
              <w:t>四、上级补助收入</w:t>
            </w: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sz w:val="18"/>
                <w:szCs w:val="18"/>
              </w:rPr>
              <w:t>4</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sz w:val="18"/>
                <w:szCs w:val="18"/>
              </w:rPr>
              <w:t>四、公共安全支出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sz w:val="18"/>
                <w:szCs w:val="18"/>
              </w:rPr>
              <w:t>35</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sz w:val="18"/>
                <w:szCs w:val="18"/>
              </w:rPr>
              <w:t>五、事业收入</w:t>
            </w: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sz w:val="18"/>
                <w:szCs w:val="18"/>
              </w:rPr>
              <w:t>5</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sz w:val="18"/>
                <w:szCs w:val="18"/>
              </w:rPr>
              <w:t>五、教育支出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sz w:val="18"/>
                <w:szCs w:val="18"/>
              </w:rPr>
              <w:t>36</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sz w:val="18"/>
                <w:szCs w:val="18"/>
              </w:rPr>
              <w:t>六、经营收入</w:t>
            </w: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sz w:val="18"/>
                <w:szCs w:val="18"/>
              </w:rPr>
              <w:t>6</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sz w:val="18"/>
                <w:szCs w:val="18"/>
              </w:rPr>
              <w:t>六、科学技术支出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sz w:val="18"/>
                <w:szCs w:val="18"/>
              </w:rPr>
              <w:t>37</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sz w:val="18"/>
                <w:szCs w:val="18"/>
              </w:rPr>
              <w:t>七、附属单位上缴收入</w:t>
            </w: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sz w:val="18"/>
                <w:szCs w:val="18"/>
              </w:rPr>
              <w:t>7</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sz w:val="18"/>
                <w:szCs w:val="18"/>
              </w:rPr>
              <w:t>七、文化旅游体育与传媒支出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sz w:val="18"/>
                <w:szCs w:val="18"/>
              </w:rPr>
              <w:t>38</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kern w:val="2"/>
                <w:sz w:val="18"/>
                <w:szCs w:val="18"/>
                <w:lang w:val="en-US" w:eastAsia="zh-CN" w:bidi="ar-SA"/>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sz w:val="18"/>
                <w:szCs w:val="18"/>
              </w:rPr>
              <w:t>八、其他收入</w:t>
            </w: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sz w:val="18"/>
                <w:szCs w:val="18"/>
              </w:rPr>
              <w:t>8</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sz w:val="18"/>
                <w:szCs w:val="18"/>
              </w:rPr>
              <w:t>八、社会保障和就业支出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sz w:val="18"/>
                <w:szCs w:val="18"/>
              </w:rPr>
              <w:t>39</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val="en-US" w:eastAsia="zh-CN" w:bidi="ar"/>
              </w:rPr>
              <w:t>11.63</w:t>
            </w: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sz w:val="18"/>
                <w:szCs w:val="18"/>
              </w:rPr>
              <w:t>9</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sz w:val="18"/>
                <w:szCs w:val="18"/>
              </w:rPr>
              <w:t>九、卫生健康支出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sz w:val="18"/>
                <w:szCs w:val="18"/>
              </w:rPr>
              <w:t>40</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val="en-US" w:eastAsia="zh-CN" w:bidi="ar"/>
              </w:rPr>
              <w:t>2.36</w:t>
            </w: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sz w:val="18"/>
                <w:szCs w:val="18"/>
              </w:rPr>
              <w:t>10</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sz w:val="18"/>
                <w:szCs w:val="18"/>
              </w:rPr>
              <w:t>十、节能环保支出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sz w:val="18"/>
                <w:szCs w:val="18"/>
              </w:rPr>
              <w:t>41</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sz w:val="18"/>
                <w:szCs w:val="18"/>
              </w:rPr>
              <w:t>11</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sz w:val="18"/>
                <w:szCs w:val="18"/>
              </w:rPr>
              <w:t>十一、城乡社区支出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sz w:val="18"/>
                <w:szCs w:val="18"/>
              </w:rPr>
              <w:t>42</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sz w:val="18"/>
                <w:szCs w:val="18"/>
              </w:rPr>
              <w:t>12</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sz w:val="18"/>
                <w:szCs w:val="18"/>
              </w:rPr>
              <w:t>十二、农林水支出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sz w:val="18"/>
                <w:szCs w:val="18"/>
              </w:rPr>
              <w:t>43</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sz w:val="18"/>
                <w:szCs w:val="18"/>
              </w:rPr>
              <w:t>13</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sz w:val="18"/>
                <w:szCs w:val="18"/>
              </w:rPr>
              <w:t>十三、交通运输支出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sz w:val="18"/>
                <w:szCs w:val="18"/>
              </w:rPr>
              <w:t>44</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sz w:val="18"/>
                <w:szCs w:val="18"/>
              </w:rPr>
              <w:t>14</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sz w:val="18"/>
                <w:szCs w:val="18"/>
              </w:rPr>
              <w:t>十四、资源勘探工业信息等支出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sz w:val="18"/>
                <w:szCs w:val="18"/>
              </w:rPr>
              <w:t>45</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sz w:val="18"/>
                <w:szCs w:val="18"/>
              </w:rPr>
              <w:t>15</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sz w:val="18"/>
                <w:szCs w:val="18"/>
              </w:rPr>
              <w:t>十五、商业服务业等支出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sz w:val="18"/>
                <w:szCs w:val="18"/>
              </w:rPr>
              <w:t>46</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sz w:val="18"/>
                <w:szCs w:val="18"/>
              </w:rPr>
              <w:t>16</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sz w:val="18"/>
                <w:szCs w:val="18"/>
              </w:rPr>
              <w:t>十六、金融支出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sz w:val="18"/>
                <w:szCs w:val="18"/>
              </w:rPr>
              <w:t>47</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sz w:val="18"/>
                <w:szCs w:val="18"/>
              </w:rPr>
              <w:t>17</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sz w:val="18"/>
                <w:szCs w:val="18"/>
              </w:rPr>
              <w:t>十七、援助其他地区支出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sz w:val="18"/>
                <w:szCs w:val="18"/>
              </w:rPr>
              <w:t>48</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sz w:val="18"/>
                <w:szCs w:val="18"/>
              </w:rPr>
              <w:t>18</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sz w:val="18"/>
                <w:szCs w:val="18"/>
              </w:rPr>
              <w:t>十八、自然资源海洋气象等支出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sz w:val="18"/>
                <w:szCs w:val="18"/>
              </w:rPr>
              <w:t>49</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sz w:val="18"/>
                <w:szCs w:val="18"/>
              </w:rPr>
              <w:t>19</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sz w:val="18"/>
                <w:szCs w:val="18"/>
              </w:rPr>
              <w:t>十九、住房保障支出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sz w:val="18"/>
                <w:szCs w:val="18"/>
              </w:rPr>
              <w:t>50</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3.17</w:t>
            </w: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sz w:val="18"/>
                <w:szCs w:val="18"/>
              </w:rPr>
              <w:t>20</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sz w:val="18"/>
                <w:szCs w:val="18"/>
              </w:rPr>
              <w:t>二十、粮油物资储备支出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sz w:val="18"/>
                <w:szCs w:val="18"/>
              </w:rPr>
              <w:t>51</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sz w:val="18"/>
                <w:szCs w:val="18"/>
              </w:rPr>
              <w:t>21</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sz w:val="18"/>
                <w:szCs w:val="18"/>
              </w:rPr>
              <w:t>二十一、国有资本经营预算支出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sz w:val="18"/>
                <w:szCs w:val="18"/>
              </w:rPr>
              <w:t>52</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18"/>
                <w:szCs w:val="18"/>
                <w:lang w:bidi="ar"/>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sz w:val="18"/>
                <w:szCs w:val="18"/>
              </w:rPr>
              <w:t>22</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kern w:val="0"/>
                <w:sz w:val="18"/>
                <w:szCs w:val="18"/>
                <w:lang w:bidi="ar"/>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18"/>
                <w:szCs w:val="18"/>
                <w:lang w:bidi="ar"/>
              </w:rPr>
            </w:pPr>
            <w:r>
              <w:rPr>
                <w:rFonts w:hint="eastAsia"/>
                <w:sz w:val="18"/>
                <w:szCs w:val="18"/>
              </w:rPr>
              <w:t>二十二、灾害防治及应急管理支出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sz w:val="18"/>
                <w:szCs w:val="18"/>
              </w:rPr>
              <w:t>53</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kern w:val="0"/>
                <w:sz w:val="18"/>
                <w:szCs w:val="18"/>
                <w:lang w:bidi="ar"/>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sz w:val="18"/>
                <w:szCs w:val="18"/>
              </w:rPr>
              <w:t>23</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sz w:val="18"/>
                <w:szCs w:val="18"/>
              </w:rPr>
              <w:t>二十三、其他支出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sz w:val="18"/>
                <w:szCs w:val="18"/>
              </w:rPr>
              <w:t>54</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sz w:val="18"/>
                <w:szCs w:val="18"/>
              </w:rPr>
              <w:t>24</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sz w:val="18"/>
                <w:szCs w:val="18"/>
              </w:rPr>
              <w:t>二十四、债务还本支出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sz w:val="18"/>
                <w:szCs w:val="18"/>
              </w:rPr>
              <w:t>55</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sz w:val="18"/>
                <w:szCs w:val="18"/>
              </w:rPr>
              <w:t>25</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eastAsia="宋体" w:cs="宋体"/>
                <w:b/>
                <w:color w:val="000000"/>
                <w:sz w:val="18"/>
                <w:szCs w:val="18"/>
              </w:rPr>
            </w:pPr>
            <w:r>
              <w:rPr>
                <w:rFonts w:hint="eastAsia"/>
                <w:sz w:val="18"/>
                <w:szCs w:val="18"/>
              </w:rPr>
              <w:t>二十五、债务付息支出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sz w:val="18"/>
                <w:szCs w:val="18"/>
              </w:rPr>
              <w:t>56</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sz w:val="18"/>
                <w:szCs w:val="18"/>
              </w:rPr>
              <w:t>26</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sz w:val="18"/>
                <w:szCs w:val="18"/>
              </w:rPr>
              <w:t>二十六、抗疫特别国债安排的支出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sz w:val="18"/>
                <w:szCs w:val="18"/>
              </w:rPr>
              <w:t>57</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90"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sz w:val="18"/>
                <w:szCs w:val="18"/>
              </w:rPr>
              <w:t>本年收入合计</w:t>
            </w: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sz w:val="18"/>
                <w:szCs w:val="18"/>
              </w:rPr>
              <w:t>27</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72.2</w:t>
            </w: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sz w:val="18"/>
                <w:szCs w:val="18"/>
              </w:rPr>
              <w:t>本年支出合计</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sz w:val="18"/>
                <w:szCs w:val="18"/>
              </w:rPr>
              <w:t>58</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72.2</w:t>
            </w: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sz w:val="18"/>
                <w:szCs w:val="18"/>
              </w:rPr>
              <w:t>使用非财政拨款结余</w:t>
            </w: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sz w:val="18"/>
                <w:szCs w:val="18"/>
              </w:rPr>
              <w:t>28</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sz w:val="18"/>
                <w:szCs w:val="18"/>
              </w:rPr>
              <w:t>结余分配</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sz w:val="18"/>
                <w:szCs w:val="18"/>
              </w:rPr>
              <w:t>59</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b/>
                <w:color w:val="000000"/>
                <w:sz w:val="18"/>
                <w:szCs w:val="18"/>
              </w:rPr>
            </w:pPr>
            <w:r>
              <w:rPr>
                <w:rFonts w:hint="eastAsia"/>
                <w:sz w:val="18"/>
                <w:szCs w:val="18"/>
              </w:rPr>
              <w:t>年初结转和结余</w:t>
            </w:r>
          </w:p>
        </w:tc>
        <w:tc>
          <w:tcPr>
            <w:tcW w:w="508"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sz w:val="18"/>
                <w:szCs w:val="18"/>
              </w:rPr>
              <w:t>29</w:t>
            </w:r>
          </w:p>
        </w:tc>
        <w:tc>
          <w:tcPr>
            <w:tcW w:w="682"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3436"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b/>
                <w:color w:val="000000"/>
                <w:sz w:val="18"/>
                <w:szCs w:val="18"/>
              </w:rPr>
            </w:pPr>
            <w:r>
              <w:rPr>
                <w:rFonts w:hint="eastAsia"/>
                <w:sz w:val="18"/>
                <w:szCs w:val="18"/>
              </w:rPr>
              <w:t>年末结转和结余</w:t>
            </w:r>
          </w:p>
        </w:tc>
        <w:tc>
          <w:tcPr>
            <w:tcW w:w="534"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sz w:val="18"/>
                <w:szCs w:val="18"/>
              </w:rPr>
              <w:t>60</w:t>
            </w:r>
          </w:p>
        </w:tc>
        <w:tc>
          <w:tcPr>
            <w:tcW w:w="844"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6" w:hRule="atLeast"/>
          <w:jc w:val="center"/>
        </w:trPr>
        <w:tc>
          <w:tcPr>
            <w:tcW w:w="341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sz w:val="18"/>
                <w:szCs w:val="18"/>
              </w:rPr>
            </w:pPr>
          </w:p>
        </w:tc>
        <w:tc>
          <w:tcPr>
            <w:tcW w:w="50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sz w:val="18"/>
                <w:szCs w:val="18"/>
              </w:rPr>
            </w:pPr>
            <w:r>
              <w:rPr>
                <w:rFonts w:hint="eastAsia"/>
                <w:sz w:val="18"/>
                <w:szCs w:val="18"/>
              </w:rPr>
              <w:t>30</w:t>
            </w:r>
          </w:p>
        </w:tc>
        <w:tc>
          <w:tcPr>
            <w:tcW w:w="68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343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sz w:val="18"/>
                <w:szCs w:val="18"/>
              </w:rPr>
            </w:pPr>
          </w:p>
        </w:tc>
        <w:tc>
          <w:tcPr>
            <w:tcW w:w="53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sz w:val="18"/>
                <w:szCs w:val="18"/>
              </w:rPr>
            </w:pPr>
            <w:r>
              <w:rPr>
                <w:rFonts w:hint="eastAsia"/>
                <w:sz w:val="18"/>
                <w:szCs w:val="18"/>
              </w:rPr>
              <w:t>61</w:t>
            </w:r>
          </w:p>
        </w:tc>
        <w:tc>
          <w:tcPr>
            <w:tcW w:w="84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6" w:hRule="atLeast"/>
          <w:jc w:val="center"/>
        </w:trPr>
        <w:tc>
          <w:tcPr>
            <w:tcW w:w="341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sz w:val="18"/>
                <w:szCs w:val="18"/>
              </w:rPr>
            </w:pPr>
            <w:r>
              <w:rPr>
                <w:rFonts w:hint="eastAsia"/>
                <w:sz w:val="18"/>
                <w:szCs w:val="18"/>
              </w:rPr>
              <w:t>总计</w:t>
            </w:r>
          </w:p>
        </w:tc>
        <w:tc>
          <w:tcPr>
            <w:tcW w:w="50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sz w:val="18"/>
                <w:szCs w:val="18"/>
              </w:rPr>
            </w:pPr>
            <w:r>
              <w:rPr>
                <w:rFonts w:hint="eastAsia"/>
                <w:sz w:val="18"/>
                <w:szCs w:val="18"/>
              </w:rPr>
              <w:t>31</w:t>
            </w:r>
          </w:p>
        </w:tc>
        <w:tc>
          <w:tcPr>
            <w:tcW w:w="68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72.2</w:t>
            </w:r>
          </w:p>
        </w:tc>
        <w:tc>
          <w:tcPr>
            <w:tcW w:w="343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sz w:val="18"/>
                <w:szCs w:val="18"/>
              </w:rPr>
            </w:pPr>
            <w:r>
              <w:rPr>
                <w:rFonts w:hint="eastAsia"/>
                <w:sz w:val="18"/>
                <w:szCs w:val="18"/>
              </w:rPr>
              <w:t>总计</w:t>
            </w:r>
          </w:p>
        </w:tc>
        <w:tc>
          <w:tcPr>
            <w:tcW w:w="53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sz w:val="18"/>
                <w:szCs w:val="18"/>
              </w:rPr>
            </w:pPr>
            <w:r>
              <w:rPr>
                <w:rFonts w:hint="eastAsia"/>
                <w:sz w:val="18"/>
                <w:szCs w:val="18"/>
              </w:rPr>
              <w:t>62</w:t>
            </w:r>
          </w:p>
        </w:tc>
        <w:tc>
          <w:tcPr>
            <w:tcW w:w="84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72.2</w:t>
            </w:r>
          </w:p>
        </w:tc>
      </w:tr>
      <w:tr>
        <w:tblPrEx>
          <w:tblCellMar>
            <w:top w:w="0" w:type="dxa"/>
            <w:left w:w="0" w:type="dxa"/>
            <w:bottom w:w="0" w:type="dxa"/>
            <w:right w:w="0" w:type="dxa"/>
          </w:tblCellMar>
        </w:tblPrEx>
        <w:trPr>
          <w:trHeight w:val="306" w:hRule="atLeast"/>
          <w:jc w:val="center"/>
        </w:trPr>
        <w:tc>
          <w:tcPr>
            <w:tcW w:w="9420" w:type="dxa"/>
            <w:gridSpan w:val="6"/>
            <w:tcBorders>
              <w:top w:val="single" w:color="auto" w:sz="4" w:space="0"/>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18"/>
                <w:szCs w:val="18"/>
                <w:lang w:bidi="ar"/>
              </w:rPr>
            </w:pPr>
            <w:r>
              <w:rPr>
                <w:rFonts w:hint="eastAsia"/>
                <w:sz w:val="18"/>
                <w:szCs w:val="18"/>
              </w:rPr>
              <w:t>注：本表反映部门（或单位）本年度的总收支和年末结转结余情况。本套报表金额单位转换时可能存在尾数误差。</w:t>
            </w:r>
          </w:p>
        </w:tc>
      </w:tr>
    </w:tbl>
    <w:tbl>
      <w:tblPr>
        <w:tblStyle w:val="5"/>
        <w:tblW w:w="9580" w:type="dxa"/>
        <w:jc w:val="center"/>
        <w:tblLayout w:type="autofit"/>
        <w:tblCellMar>
          <w:top w:w="0" w:type="dxa"/>
          <w:left w:w="0" w:type="dxa"/>
          <w:bottom w:w="0" w:type="dxa"/>
          <w:right w:w="0" w:type="dxa"/>
        </w:tblCellMar>
      </w:tblPr>
      <w:tblGrid>
        <w:gridCol w:w="1033"/>
        <w:gridCol w:w="59"/>
        <w:gridCol w:w="59"/>
        <w:gridCol w:w="1822"/>
        <w:gridCol w:w="1350"/>
        <w:gridCol w:w="1350"/>
        <w:gridCol w:w="823"/>
        <w:gridCol w:w="823"/>
        <w:gridCol w:w="823"/>
        <w:gridCol w:w="823"/>
        <w:gridCol w:w="827"/>
      </w:tblGrid>
      <w:tr>
        <w:tblPrEx>
          <w:tblCellMar>
            <w:top w:w="0" w:type="dxa"/>
            <w:left w:w="0" w:type="dxa"/>
            <w:bottom w:w="0" w:type="dxa"/>
            <w:right w:w="0" w:type="dxa"/>
          </w:tblCellMar>
        </w:tblPrEx>
        <w:trPr>
          <w:trHeight w:val="670" w:hRule="atLeast"/>
          <w:jc w:val="center"/>
        </w:trPr>
        <w:tc>
          <w:tcPr>
            <w:tcW w:w="9580" w:type="dxa"/>
            <w:gridSpan w:val="11"/>
            <w:tcBorders>
              <w:top w:val="nil"/>
              <w:left w:val="nil"/>
              <w:bottom w:val="nil"/>
              <w:right w:val="nil"/>
            </w:tcBorders>
            <w:shd w:val="clear" w:color="auto" w:fill="auto"/>
            <w:noWrap/>
            <w:tcMar>
              <w:top w:w="15" w:type="dxa"/>
              <w:left w:w="15" w:type="dxa"/>
              <w:right w:w="15" w:type="dxa"/>
            </w:tcMar>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lang w:bidi="ar"/>
              </w:rPr>
              <w:t>收入决算表</w:t>
            </w:r>
          </w:p>
        </w:tc>
      </w:tr>
      <w:tr>
        <w:trPr>
          <w:trHeight w:val="357"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公开02表</w:t>
            </w:r>
          </w:p>
        </w:tc>
      </w:tr>
      <w:tr>
        <w:tblPrEx>
          <w:tblCellMar>
            <w:top w:w="0" w:type="dxa"/>
            <w:left w:w="0" w:type="dxa"/>
            <w:bottom w:w="0" w:type="dxa"/>
            <w:right w:w="0" w:type="dxa"/>
          </w:tblCellMar>
        </w:tblPrEx>
        <w:trPr>
          <w:trHeight w:val="357"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18"/>
                <w:szCs w:val="18"/>
                <w:lang w:val="en-US" w:eastAsia="zh-CN" w:bidi="ar"/>
              </w:rPr>
              <w:t>满城区统战部</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385"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项目</w:t>
            </w:r>
          </w:p>
        </w:tc>
        <w:tc>
          <w:tcPr>
            <w:tcW w:w="99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本年收入合计</w:t>
            </w:r>
          </w:p>
        </w:tc>
        <w:tc>
          <w:tcPr>
            <w:tcW w:w="99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财政拨款收入</w:t>
            </w:r>
          </w:p>
        </w:tc>
        <w:tc>
          <w:tcPr>
            <w:tcW w:w="99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上级补助收入</w:t>
            </w:r>
          </w:p>
        </w:tc>
        <w:tc>
          <w:tcPr>
            <w:tcW w:w="99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事业收入</w:t>
            </w:r>
          </w:p>
        </w:tc>
        <w:tc>
          <w:tcPr>
            <w:tcW w:w="99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经营收入</w:t>
            </w:r>
          </w:p>
        </w:tc>
        <w:tc>
          <w:tcPr>
            <w:tcW w:w="99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附属单位上缴收入</w:t>
            </w:r>
          </w:p>
        </w:tc>
        <w:tc>
          <w:tcPr>
            <w:tcW w:w="100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其他收入</w:t>
            </w:r>
          </w:p>
        </w:tc>
      </w:tr>
      <w:tr>
        <w:tblPrEx>
          <w:tblCellMar>
            <w:top w:w="0" w:type="dxa"/>
            <w:left w:w="0" w:type="dxa"/>
            <w:bottom w:w="0" w:type="dxa"/>
            <w:right w:w="0" w:type="dxa"/>
          </w:tblCellMar>
        </w:tblPrEx>
        <w:trPr>
          <w:trHeight w:val="380" w:hRule="atLeast"/>
          <w:jc w:val="center"/>
        </w:trPr>
        <w:tc>
          <w:tcPr>
            <w:tcW w:w="1124"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功能分类科目编码</w:t>
            </w:r>
          </w:p>
        </w:tc>
        <w:tc>
          <w:tcPr>
            <w:tcW w:w="0" w:type="auto"/>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科目名称</w:t>
            </w: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100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r>
      <w:tr>
        <w:tblPrEx>
          <w:tblCellMar>
            <w:top w:w="0" w:type="dxa"/>
            <w:left w:w="0" w:type="dxa"/>
            <w:bottom w:w="0" w:type="dxa"/>
            <w:right w:w="0" w:type="dxa"/>
          </w:tblCellMar>
        </w:tblPrEx>
        <w:trPr>
          <w:trHeight w:val="380" w:hRule="atLeast"/>
          <w:jc w:val="center"/>
        </w:trPr>
        <w:tc>
          <w:tcPr>
            <w:tcW w:w="1124"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0" w:hRule="atLeast"/>
          <w:jc w:val="center"/>
        </w:trPr>
        <w:tc>
          <w:tcPr>
            <w:tcW w:w="1124"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c>
          <w:tcPr>
            <w:tcW w:w="10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r>
      <w:tr>
        <w:tblPrEx>
          <w:tblCellMar>
            <w:top w:w="0" w:type="dxa"/>
            <w:left w:w="0" w:type="dxa"/>
            <w:bottom w:w="0" w:type="dxa"/>
            <w:right w:w="0" w:type="dxa"/>
          </w:tblCellMar>
        </w:tblPrEx>
        <w:trPr>
          <w:trHeight w:val="385"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b/>
                <w:color w:val="000000"/>
                <w:sz w:val="22"/>
                <w:lang w:val="en-US" w:eastAsia="zh-CN"/>
              </w:rPr>
            </w:pPr>
            <w:r>
              <w:rPr>
                <w:rFonts w:hint="eastAsia" w:ascii="宋体" w:hAnsi="宋体" w:eastAsia="宋体" w:cs="宋体"/>
                <w:b/>
                <w:color w:val="000000"/>
                <w:sz w:val="22"/>
                <w:lang w:val="en-US" w:eastAsia="zh-CN"/>
              </w:rPr>
              <w:t>72.2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b/>
                <w:color w:val="000000"/>
                <w:sz w:val="22"/>
                <w:lang w:val="en-US" w:eastAsia="zh-CN"/>
              </w:rPr>
            </w:pPr>
            <w:r>
              <w:rPr>
                <w:rFonts w:hint="eastAsia" w:ascii="宋体" w:hAnsi="宋体" w:eastAsia="宋体" w:cs="宋体"/>
                <w:b/>
                <w:color w:val="000000"/>
                <w:sz w:val="22"/>
                <w:lang w:val="en-US" w:eastAsia="zh-CN"/>
              </w:rPr>
              <w:t>72.2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85"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w:t>
            </w:r>
          </w:p>
        </w:tc>
        <w:tc>
          <w:tcPr>
            <w:tcW w:w="13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一般公共服务支出</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55.04</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55.04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20123</w:t>
            </w:r>
          </w:p>
        </w:tc>
        <w:tc>
          <w:tcPr>
            <w:tcW w:w="13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民族事务</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5.00</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2012304</w:t>
            </w:r>
          </w:p>
        </w:tc>
        <w:tc>
          <w:tcPr>
            <w:tcW w:w="13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民族工作专项</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5.00</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20134</w:t>
            </w:r>
          </w:p>
        </w:tc>
        <w:tc>
          <w:tcPr>
            <w:tcW w:w="13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统战事务</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50.04</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50.04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2013401</w:t>
            </w:r>
          </w:p>
        </w:tc>
        <w:tc>
          <w:tcPr>
            <w:tcW w:w="13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行政运行</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50.04</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50.04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w:t>
            </w:r>
          </w:p>
        </w:tc>
        <w:tc>
          <w:tcPr>
            <w:tcW w:w="13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社会保障和就业支出</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11.63</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11.63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20805</w:t>
            </w:r>
          </w:p>
        </w:tc>
        <w:tc>
          <w:tcPr>
            <w:tcW w:w="13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行政事业单位养老支出</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11.63</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11.63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2080501</w:t>
            </w:r>
          </w:p>
        </w:tc>
        <w:tc>
          <w:tcPr>
            <w:tcW w:w="13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行政单位离退休</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1.70</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1.70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2080505</w:t>
            </w:r>
          </w:p>
        </w:tc>
        <w:tc>
          <w:tcPr>
            <w:tcW w:w="13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6.61</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6.61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2080506</w:t>
            </w:r>
          </w:p>
        </w:tc>
        <w:tc>
          <w:tcPr>
            <w:tcW w:w="13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机关事业单位职业年金缴费支出</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3.32</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3.32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w:t>
            </w:r>
          </w:p>
        </w:tc>
        <w:tc>
          <w:tcPr>
            <w:tcW w:w="13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卫生健康支出</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2.36</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2.36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21011</w:t>
            </w:r>
          </w:p>
        </w:tc>
        <w:tc>
          <w:tcPr>
            <w:tcW w:w="13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行政事业单位医疗</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2.36</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2.36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2101101</w:t>
            </w:r>
          </w:p>
        </w:tc>
        <w:tc>
          <w:tcPr>
            <w:tcW w:w="13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行政单位医疗</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2.36</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2.36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rPr>
          <w:trHeight w:val="385"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221</w:t>
            </w:r>
          </w:p>
        </w:tc>
        <w:tc>
          <w:tcPr>
            <w:tcW w:w="13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住房保障支出</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3.17</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3.17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22102</w:t>
            </w:r>
          </w:p>
        </w:tc>
        <w:tc>
          <w:tcPr>
            <w:tcW w:w="13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住房改革支出</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3.17</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3.17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rPr>
          <w:trHeight w:val="385" w:hRule="atLeast"/>
          <w:jc w:val="center"/>
        </w:trPr>
        <w:tc>
          <w:tcPr>
            <w:tcW w:w="0" w:type="auto"/>
            <w:gridSpan w:val="11"/>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注：本表反映部门本年度取得的各项收入情况。</w:t>
            </w:r>
          </w:p>
        </w:tc>
      </w:tr>
    </w:tbl>
    <w:p>
      <w:pPr>
        <w:jc w:val="left"/>
      </w:pPr>
    </w:p>
    <w:p>
      <w:r>
        <w:br w:type="page"/>
      </w:r>
    </w:p>
    <w:tbl>
      <w:tblPr>
        <w:tblStyle w:val="5"/>
        <w:tblW w:w="9680" w:type="dxa"/>
        <w:jc w:val="center"/>
        <w:tblLayout w:type="fixed"/>
        <w:tblCellMar>
          <w:top w:w="0" w:type="dxa"/>
          <w:left w:w="0" w:type="dxa"/>
          <w:bottom w:w="0" w:type="dxa"/>
          <w:right w:w="0" w:type="dxa"/>
        </w:tblCellMar>
      </w:tblPr>
      <w:tblGrid>
        <w:gridCol w:w="941"/>
        <w:gridCol w:w="53"/>
        <w:gridCol w:w="111"/>
        <w:gridCol w:w="1359"/>
        <w:gridCol w:w="1161"/>
        <w:gridCol w:w="1161"/>
        <w:gridCol w:w="1161"/>
        <w:gridCol w:w="1161"/>
        <w:gridCol w:w="1161"/>
        <w:gridCol w:w="1411"/>
      </w:tblGrid>
      <w:tr>
        <w:tblPrEx>
          <w:tblCellMar>
            <w:top w:w="0" w:type="dxa"/>
            <w:left w:w="0" w:type="dxa"/>
            <w:bottom w:w="0" w:type="dxa"/>
            <w:right w:w="0" w:type="dxa"/>
          </w:tblCellMar>
        </w:tblPrEx>
        <w:trPr>
          <w:trHeight w:val="612" w:hRule="atLeast"/>
          <w:jc w:val="center"/>
        </w:trPr>
        <w:tc>
          <w:tcPr>
            <w:tcW w:w="968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支出决算表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5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35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411" w:type="dxa"/>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公开03表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部门：</w:t>
            </w:r>
          </w:p>
        </w:tc>
        <w:tc>
          <w:tcPr>
            <w:tcW w:w="5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35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r>
              <w:rPr>
                <w:rFonts w:hint="eastAsia" w:ascii="宋体" w:hAnsi="宋体" w:eastAsia="宋体" w:cs="宋体"/>
                <w:color w:val="000000"/>
                <w:kern w:val="0"/>
                <w:sz w:val="18"/>
                <w:szCs w:val="18"/>
                <w:lang w:val="en-US" w:eastAsia="zh-CN" w:bidi="ar"/>
              </w:rPr>
              <w:t>满城区统战部</w:t>
            </w: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2572"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金额单位：万元</w:t>
            </w:r>
          </w:p>
        </w:tc>
      </w:tr>
      <w:tr>
        <w:tblPrEx>
          <w:tblCellMar>
            <w:top w:w="0" w:type="dxa"/>
            <w:left w:w="0" w:type="dxa"/>
            <w:bottom w:w="0" w:type="dxa"/>
            <w:right w:w="0" w:type="dxa"/>
          </w:tblCellMar>
        </w:tblPrEx>
        <w:trPr>
          <w:trHeight w:val="323" w:hRule="atLeast"/>
          <w:jc w:val="center"/>
        </w:trPr>
        <w:tc>
          <w:tcPr>
            <w:tcW w:w="2464"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项目</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本年支出合计</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基本支出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项目支出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上缴上级支出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经营支出</w:t>
            </w:r>
          </w:p>
        </w:tc>
        <w:tc>
          <w:tcPr>
            <w:tcW w:w="141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对附属单位补助支出</w:t>
            </w:r>
          </w:p>
        </w:tc>
      </w:tr>
      <w:tr>
        <w:tblPrEx>
          <w:tblCellMar>
            <w:top w:w="0" w:type="dxa"/>
            <w:left w:w="0" w:type="dxa"/>
            <w:bottom w:w="0" w:type="dxa"/>
            <w:right w:w="0" w:type="dxa"/>
          </w:tblCellMar>
        </w:tblPrEx>
        <w:trPr>
          <w:trHeight w:val="319" w:hRule="atLeast"/>
          <w:jc w:val="center"/>
        </w:trPr>
        <w:tc>
          <w:tcPr>
            <w:tcW w:w="1105"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功能分类科目编码</w:t>
            </w:r>
          </w:p>
        </w:tc>
        <w:tc>
          <w:tcPr>
            <w:tcW w:w="1359"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科目名称</w:t>
            </w: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r>
      <w:tr>
        <w:tblPrEx>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359"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12" w:hRule="atLeast"/>
          <w:jc w:val="center"/>
        </w:trPr>
        <w:tc>
          <w:tcPr>
            <w:tcW w:w="11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359"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2464"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栏次</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w:t>
            </w: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w:t>
            </w:r>
          </w:p>
        </w:tc>
      </w:tr>
      <w:tr>
        <w:tblPrEx>
          <w:tblCellMar>
            <w:top w:w="0" w:type="dxa"/>
            <w:left w:w="0" w:type="dxa"/>
            <w:bottom w:w="0" w:type="dxa"/>
            <w:right w:w="0" w:type="dxa"/>
          </w:tblCellMar>
        </w:tblPrEx>
        <w:trPr>
          <w:trHeight w:val="323" w:hRule="atLeast"/>
          <w:jc w:val="center"/>
        </w:trPr>
        <w:tc>
          <w:tcPr>
            <w:tcW w:w="2464"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合计</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b/>
                <w:color w:val="000000"/>
                <w:sz w:val="18"/>
                <w:szCs w:val="18"/>
                <w:lang w:val="en-US" w:eastAsia="zh-CN"/>
              </w:rPr>
            </w:pPr>
            <w:r>
              <w:rPr>
                <w:rFonts w:hint="eastAsia" w:ascii="宋体" w:hAnsi="宋体" w:eastAsia="宋体" w:cs="宋体"/>
                <w:b/>
                <w:color w:val="000000"/>
                <w:sz w:val="18"/>
                <w:szCs w:val="18"/>
                <w:lang w:val="en-US" w:eastAsia="zh-CN"/>
              </w:rPr>
              <w:t>72.2</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b/>
                <w:color w:val="000000"/>
                <w:sz w:val="18"/>
                <w:szCs w:val="18"/>
                <w:lang w:val="en-US" w:eastAsia="zh-CN"/>
              </w:rPr>
            </w:pPr>
            <w:r>
              <w:rPr>
                <w:rFonts w:hint="eastAsia" w:ascii="宋体" w:hAnsi="宋体" w:eastAsia="宋体" w:cs="宋体"/>
                <w:b/>
                <w:color w:val="000000"/>
                <w:sz w:val="18"/>
                <w:szCs w:val="18"/>
                <w:lang w:val="en-US" w:eastAsia="zh-CN"/>
              </w:rPr>
              <w:t>67.2</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color w:val="000000"/>
                <w:sz w:val="18"/>
                <w:szCs w:val="18"/>
                <w:lang w:val="en-US" w:eastAsia="zh-CN"/>
              </w:rPr>
            </w:pPr>
            <w:r>
              <w:rPr>
                <w:rFonts w:hint="eastAsia" w:ascii="宋体" w:hAnsi="宋体" w:eastAsia="宋体" w:cs="宋体"/>
                <w:b/>
                <w:color w:val="000000"/>
                <w:sz w:val="18"/>
                <w:szCs w:val="18"/>
                <w:lang w:val="en-US" w:eastAsia="zh-CN"/>
              </w:rPr>
              <w:t>5</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201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一般公共服务支出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55.04</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50.04</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5.00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20123</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民族事务</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5.00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0.00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5.00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2012304</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 xml:space="preserve">  民族工作专项</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5.00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0.00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5.00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20134</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统战事务</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50.04</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50.04</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2013401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 xml:space="preserve">  行政运行</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50.04</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50.04</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208</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社会保障和就业支出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11.63</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11.63</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20805</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行政事业单位养老支出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11.63</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11.63</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2080501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 xml:space="preserve">  行政单位离退休</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1.70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1.70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2080505</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6.61</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6.61</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2080506</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 xml:space="preserve">  机关事业单位职业年金缴费支出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3.32</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3.32</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210</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卫生健康支出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2.36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2.36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21011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行政事业单位医疗</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2.36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2.36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2101101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行政单位医疗</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2.36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2.36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221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住房保障支出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3.17</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3.17</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22102</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住房改革支出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3.17</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3.17</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2210201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 xml:space="preserve">  住房公积金</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3.17</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3.17</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201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一般公共服务支出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55.04</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50.04</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968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注：本表反映部门本年度各项支出情况。</w:t>
            </w:r>
          </w:p>
        </w:tc>
      </w:tr>
    </w:tbl>
    <w:p>
      <w:r>
        <w:br w:type="page"/>
      </w:r>
    </w:p>
    <w:tbl>
      <w:tblPr>
        <w:tblStyle w:val="5"/>
        <w:tblW w:w="9990" w:type="dxa"/>
        <w:jc w:val="center"/>
        <w:tblLayout w:type="fixed"/>
        <w:tblCellMar>
          <w:top w:w="0" w:type="dxa"/>
          <w:left w:w="0" w:type="dxa"/>
          <w:bottom w:w="0" w:type="dxa"/>
          <w:right w:w="0" w:type="dxa"/>
        </w:tblCellMar>
      </w:tblPr>
      <w:tblGrid>
        <w:gridCol w:w="1174"/>
        <w:gridCol w:w="67"/>
        <w:gridCol w:w="67"/>
        <w:gridCol w:w="1695"/>
        <w:gridCol w:w="2329"/>
        <w:gridCol w:w="2329"/>
        <w:gridCol w:w="1859"/>
        <w:gridCol w:w="470"/>
      </w:tblGrid>
      <w:tr>
        <w:tblPrEx>
          <w:tblCellMar>
            <w:top w:w="0" w:type="dxa"/>
            <w:left w:w="0" w:type="dxa"/>
            <w:bottom w:w="0" w:type="dxa"/>
            <w:right w:w="0" w:type="dxa"/>
          </w:tblCellMar>
        </w:tblPrEx>
        <w:trPr>
          <w:gridAfter w:val="1"/>
          <w:wAfter w:w="470" w:type="dxa"/>
          <w:trHeight w:val="406" w:hRule="atLeast"/>
          <w:jc w:val="center"/>
        </w:trPr>
        <w:tc>
          <w:tcPr>
            <w:tcW w:w="9520" w:type="dxa"/>
            <w:gridSpan w:val="7"/>
            <w:tcBorders>
              <w:top w:val="nil"/>
              <w:left w:val="nil"/>
              <w:bottom w:val="nil"/>
              <w:right w:val="nil"/>
            </w:tcBorders>
            <w:shd w:val="clear" w:color="auto" w:fill="auto"/>
            <w:noWrap/>
            <w:tcMar>
              <w:top w:w="15" w:type="dxa"/>
              <w:left w:w="15"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黑体" w:hAnsi="宋体" w:eastAsia="黑体" w:cs="黑体"/>
                <w:color w:val="000000"/>
                <w:sz w:val="32"/>
                <w:szCs w:val="32"/>
              </w:rPr>
            </w:pPr>
            <w:r>
              <w:rPr>
                <w:rFonts w:hint="eastAsia" w:ascii="黑体" w:hAnsi="宋体" w:eastAsia="黑体" w:cs="黑体"/>
                <w:color w:val="000000"/>
                <w:kern w:val="0"/>
                <w:sz w:val="32"/>
                <w:szCs w:val="32"/>
                <w:lang w:bidi="ar"/>
              </w:rPr>
              <w:t>财政拨款收入支出决算总表</w:t>
            </w:r>
          </w:p>
        </w:tc>
      </w:tr>
      <w:tr>
        <w:tblPrEx>
          <w:tblCellMar>
            <w:top w:w="0" w:type="dxa"/>
            <w:left w:w="0" w:type="dxa"/>
            <w:bottom w:w="0" w:type="dxa"/>
            <w:right w:w="0" w:type="dxa"/>
          </w:tblCellMar>
        </w:tblPrEx>
        <w:trPr>
          <w:trHeight w:val="600" w:hRule="atLeast"/>
          <w:jc w:val="center"/>
        </w:trPr>
        <w:tc>
          <w:tcPr>
            <w:tcW w:w="9990" w:type="dxa"/>
            <w:gridSpan w:val="8"/>
            <w:tcBorders>
              <w:top w:val="nil"/>
              <w:left w:val="nil"/>
              <w:bottom w:val="nil"/>
              <w:right w:val="nil"/>
            </w:tcBorders>
            <w:shd w:val="clear" w:color="auto" w:fill="auto"/>
            <w:noWrap/>
            <w:tcMar>
              <w:top w:w="15" w:type="dxa"/>
              <w:left w:w="15" w:type="dxa"/>
              <w:right w:w="15" w:type="dxa"/>
            </w:tcMar>
            <w:vAlign w:val="center"/>
          </w:tcPr>
          <w:tbl>
            <w:tblPr>
              <w:tblStyle w:val="5"/>
              <w:tblW w:w="9736" w:type="dxa"/>
              <w:tblInd w:w="0" w:type="dxa"/>
              <w:tblLayout w:type="fixed"/>
              <w:tblCellMar>
                <w:top w:w="0" w:type="dxa"/>
                <w:left w:w="108" w:type="dxa"/>
                <w:bottom w:w="0" w:type="dxa"/>
                <w:right w:w="108" w:type="dxa"/>
              </w:tblCellMar>
            </w:tblPr>
            <w:tblGrid>
              <w:gridCol w:w="2317"/>
              <w:gridCol w:w="465"/>
              <w:gridCol w:w="748"/>
              <w:gridCol w:w="2178"/>
              <w:gridCol w:w="615"/>
              <w:gridCol w:w="795"/>
              <w:gridCol w:w="795"/>
              <w:gridCol w:w="718"/>
              <w:gridCol w:w="853"/>
              <w:gridCol w:w="252"/>
            </w:tblGrid>
            <w:tr>
              <w:tblPrEx>
                <w:tblCellMar>
                  <w:top w:w="0" w:type="dxa"/>
                  <w:left w:w="108" w:type="dxa"/>
                  <w:bottom w:w="0" w:type="dxa"/>
                  <w:right w:w="108" w:type="dxa"/>
                </w:tblCellMar>
              </w:tblPrEx>
              <w:trPr>
                <w:gridAfter w:val="1"/>
                <w:wAfter w:w="252" w:type="dxa"/>
                <w:trHeight w:val="90" w:hRule="atLeast"/>
              </w:trPr>
              <w:tc>
                <w:tcPr>
                  <w:tcW w:w="2317" w:type="dxa"/>
                  <w:tcBorders>
                    <w:top w:val="nil"/>
                    <w:left w:val="nil"/>
                    <w:bottom w:val="nil"/>
                    <w:right w:val="nil"/>
                  </w:tcBorders>
                  <w:shd w:val="clear" w:color="auto" w:fill="auto"/>
                  <w:vAlign w:val="bottom"/>
                </w:tcPr>
                <w:p>
                  <w:pPr>
                    <w:widowControl/>
                    <w:spacing w:line="240" w:lineRule="exact"/>
                    <w:jc w:val="left"/>
                    <w:rPr>
                      <w:rFonts w:ascii="宋体" w:hAnsi="宋体" w:eastAsia="宋体" w:cs="宋体"/>
                      <w:kern w:val="0"/>
                      <w:sz w:val="15"/>
                      <w:szCs w:val="15"/>
                    </w:rPr>
                  </w:pPr>
                </w:p>
              </w:tc>
              <w:tc>
                <w:tcPr>
                  <w:tcW w:w="465"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748"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2178"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615"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795"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2366" w:type="dxa"/>
                  <w:gridSpan w:val="3"/>
                  <w:tcBorders>
                    <w:top w:val="nil"/>
                    <w:left w:val="nil"/>
                    <w:bottom w:val="nil"/>
                    <w:right w:val="nil"/>
                  </w:tcBorders>
                  <w:shd w:val="clear" w:color="auto" w:fill="auto"/>
                  <w:vAlign w:val="bottom"/>
                </w:tcPr>
                <w:p>
                  <w:pPr>
                    <w:widowControl/>
                    <w:spacing w:line="240" w:lineRule="exact"/>
                    <w:ind w:right="300"/>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公开04表</w:t>
                  </w:r>
                </w:p>
              </w:tc>
            </w:tr>
            <w:tr>
              <w:tblPrEx>
                <w:tblCellMar>
                  <w:top w:w="0" w:type="dxa"/>
                  <w:left w:w="108" w:type="dxa"/>
                  <w:bottom w:w="0" w:type="dxa"/>
                  <w:right w:w="108" w:type="dxa"/>
                </w:tblCellMar>
              </w:tblPrEx>
              <w:trPr>
                <w:gridAfter w:val="1"/>
                <w:wAfter w:w="252" w:type="dxa"/>
                <w:trHeight w:val="90" w:hRule="atLeast"/>
              </w:trPr>
              <w:tc>
                <w:tcPr>
                  <w:tcW w:w="2317" w:type="dxa"/>
                  <w:tcBorders>
                    <w:top w:val="nil"/>
                    <w:left w:val="nil"/>
                    <w:bottom w:val="nil"/>
                    <w:right w:val="nil"/>
                  </w:tcBorders>
                  <w:shd w:val="clear" w:color="auto" w:fill="auto"/>
                  <w:vAlign w:val="bottom"/>
                </w:tcPr>
                <w:p>
                  <w:pPr>
                    <w:widowControl/>
                    <w:spacing w:line="240" w:lineRule="exact"/>
                    <w:jc w:val="left"/>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部门：</w:t>
                  </w:r>
                  <w:r>
                    <w:rPr>
                      <w:rFonts w:hint="eastAsia" w:ascii="宋体" w:hAnsi="宋体" w:eastAsia="宋体" w:cs="宋体"/>
                      <w:color w:val="000000"/>
                      <w:kern w:val="0"/>
                      <w:sz w:val="18"/>
                      <w:szCs w:val="18"/>
                      <w:lang w:val="en-US" w:eastAsia="zh-CN" w:bidi="ar"/>
                    </w:rPr>
                    <w:t>满城区统战部</w:t>
                  </w:r>
                </w:p>
              </w:tc>
              <w:tc>
                <w:tcPr>
                  <w:tcW w:w="465" w:type="dxa"/>
                  <w:tcBorders>
                    <w:top w:val="nil"/>
                    <w:left w:val="nil"/>
                    <w:bottom w:val="nil"/>
                    <w:right w:val="nil"/>
                  </w:tcBorders>
                  <w:shd w:val="clear" w:color="auto" w:fill="auto"/>
                  <w:vAlign w:val="bottom"/>
                </w:tcPr>
                <w:p>
                  <w:pPr>
                    <w:widowControl/>
                    <w:spacing w:line="240" w:lineRule="exact"/>
                    <w:jc w:val="left"/>
                    <w:rPr>
                      <w:rFonts w:hint="eastAsia" w:ascii="宋体" w:hAnsi="宋体" w:eastAsia="宋体" w:cs="Arial"/>
                      <w:color w:val="000000"/>
                      <w:kern w:val="0"/>
                      <w:sz w:val="15"/>
                      <w:szCs w:val="15"/>
                    </w:rPr>
                  </w:pPr>
                </w:p>
              </w:tc>
              <w:tc>
                <w:tcPr>
                  <w:tcW w:w="748"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2178"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615"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795"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795"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1571" w:type="dxa"/>
                  <w:gridSpan w:val="2"/>
                  <w:tcBorders>
                    <w:top w:val="nil"/>
                    <w:left w:val="nil"/>
                    <w:bottom w:val="nil"/>
                    <w:right w:val="nil"/>
                  </w:tcBorders>
                  <w:shd w:val="clear" w:color="auto" w:fill="auto"/>
                  <w:vAlign w:val="bottom"/>
                </w:tcPr>
                <w:p>
                  <w:pPr>
                    <w:widowControl/>
                    <w:spacing w:line="24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金额单位：万元</w:t>
                  </w:r>
                </w:p>
              </w:tc>
            </w:tr>
            <w:tr>
              <w:tblPrEx>
                <w:tblCellMar>
                  <w:top w:w="0" w:type="dxa"/>
                  <w:left w:w="108" w:type="dxa"/>
                  <w:bottom w:w="0" w:type="dxa"/>
                  <w:right w:w="108" w:type="dxa"/>
                </w:tblCellMar>
              </w:tblPrEx>
              <w:trPr>
                <w:gridAfter w:val="1"/>
                <w:wAfter w:w="252" w:type="dxa"/>
                <w:trHeight w:val="90" w:hRule="atLeast"/>
              </w:trPr>
              <w:tc>
                <w:tcPr>
                  <w:tcW w:w="35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黑体" w:hAnsi="黑体" w:eastAsia="黑体" w:cs="Arial"/>
                      <w:color w:val="000000"/>
                      <w:kern w:val="0"/>
                      <w:sz w:val="20"/>
                      <w:szCs w:val="20"/>
                    </w:rPr>
                  </w:pPr>
                  <w:r>
                    <w:rPr>
                      <w:rFonts w:hint="eastAsia" w:ascii="黑体" w:hAnsi="黑体" w:eastAsia="黑体" w:cs="Arial"/>
                      <w:color w:val="000000"/>
                      <w:kern w:val="0"/>
                      <w:sz w:val="20"/>
                      <w:szCs w:val="20"/>
                    </w:rPr>
                    <w:t>收     入</w:t>
                  </w:r>
                </w:p>
              </w:tc>
              <w:tc>
                <w:tcPr>
                  <w:tcW w:w="5954"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黑体" w:hAnsi="黑体" w:eastAsia="黑体" w:cs="Arial"/>
                      <w:color w:val="000000"/>
                      <w:kern w:val="0"/>
                      <w:sz w:val="20"/>
                      <w:szCs w:val="20"/>
                    </w:rPr>
                  </w:pPr>
                  <w:r>
                    <w:rPr>
                      <w:rFonts w:hint="eastAsia" w:ascii="黑体" w:hAnsi="黑体" w:eastAsia="黑体" w:cs="Arial"/>
                      <w:color w:val="000000"/>
                      <w:kern w:val="0"/>
                      <w:sz w:val="20"/>
                      <w:szCs w:val="20"/>
                    </w:rPr>
                    <w:t>支     出</w:t>
                  </w:r>
                </w:p>
              </w:tc>
            </w:tr>
            <w:tr>
              <w:tblPrEx>
                <w:tblCellMar>
                  <w:top w:w="0" w:type="dxa"/>
                  <w:left w:w="108" w:type="dxa"/>
                  <w:bottom w:w="0" w:type="dxa"/>
                  <w:right w:w="108" w:type="dxa"/>
                </w:tblCellMar>
              </w:tblPrEx>
              <w:trPr>
                <w:gridAfter w:val="1"/>
                <w:wAfter w:w="252" w:type="dxa"/>
                <w:trHeight w:val="312" w:hRule="atLeast"/>
              </w:trPr>
              <w:tc>
                <w:tcPr>
                  <w:tcW w:w="231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项目</w:t>
                  </w:r>
                </w:p>
              </w:tc>
              <w:tc>
                <w:tcPr>
                  <w:tcW w:w="465"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行次</w:t>
                  </w:r>
                </w:p>
              </w:tc>
              <w:tc>
                <w:tcPr>
                  <w:tcW w:w="748"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金额</w:t>
                  </w:r>
                </w:p>
              </w:tc>
              <w:tc>
                <w:tcPr>
                  <w:tcW w:w="2178"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项目</w:t>
                  </w:r>
                </w:p>
              </w:tc>
              <w:tc>
                <w:tcPr>
                  <w:tcW w:w="615"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行次</w:t>
                  </w:r>
                </w:p>
              </w:tc>
              <w:tc>
                <w:tcPr>
                  <w:tcW w:w="795"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合计</w:t>
                  </w:r>
                </w:p>
              </w:tc>
              <w:tc>
                <w:tcPr>
                  <w:tcW w:w="795"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一般公共预算财政拨款</w:t>
                  </w:r>
                </w:p>
              </w:tc>
              <w:tc>
                <w:tcPr>
                  <w:tcW w:w="718"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政府性基金预算财政拨款</w:t>
                  </w:r>
                </w:p>
              </w:tc>
              <w:tc>
                <w:tcPr>
                  <w:tcW w:w="853"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国有资本经营预算财政拨款</w:t>
                  </w:r>
                </w:p>
              </w:tc>
            </w:tr>
            <w:tr>
              <w:tblPrEx>
                <w:tblCellMar>
                  <w:top w:w="0" w:type="dxa"/>
                  <w:left w:w="108" w:type="dxa"/>
                  <w:bottom w:w="0" w:type="dxa"/>
                  <w:right w:w="108" w:type="dxa"/>
                </w:tblCellMar>
              </w:tblPrEx>
              <w:trPr>
                <w:trHeight w:val="90" w:hRule="atLeast"/>
              </w:trPr>
              <w:tc>
                <w:tcPr>
                  <w:tcW w:w="231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465"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748"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2178"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615"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795"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795"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718"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853"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252" w:type="dxa"/>
                  <w:tcBorders>
                    <w:top w:val="nil"/>
                    <w:left w:val="nil"/>
                    <w:bottom w:val="nil"/>
                    <w:right w:val="nil"/>
                  </w:tcBorders>
                  <w:shd w:val="clear" w:color="auto" w:fill="auto"/>
                  <w:noWrap/>
                  <w:vAlign w:val="bottom"/>
                </w:tcPr>
                <w:p>
                  <w:pPr>
                    <w:widowControl/>
                    <w:jc w:val="center"/>
                    <w:rPr>
                      <w:rFonts w:hint="eastAsia" w:ascii="宋体" w:hAnsi="宋体" w:eastAsia="宋体" w:cs="Arial"/>
                      <w:color w:val="000000"/>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栏次</w:t>
                  </w: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w:t>
                  </w:r>
                </w:p>
              </w:tc>
              <w:tc>
                <w:tcPr>
                  <w:tcW w:w="217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栏次</w:t>
                  </w:r>
                </w:p>
              </w:tc>
              <w:tc>
                <w:tcPr>
                  <w:tcW w:w="61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79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2</w:t>
                  </w:r>
                </w:p>
              </w:tc>
              <w:tc>
                <w:tcPr>
                  <w:tcW w:w="79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w:t>
                  </w:r>
                </w:p>
              </w:tc>
              <w:tc>
                <w:tcPr>
                  <w:tcW w:w="71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w:t>
                  </w: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w:t>
                  </w: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一、一般公共预算财政拨款</w:t>
                  </w: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1</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Arial"/>
                      <w:color w:val="000000"/>
                      <w:kern w:val="0"/>
                      <w:sz w:val="15"/>
                      <w:szCs w:val="15"/>
                      <w:lang w:val="en-US" w:eastAsia="zh-CN"/>
                    </w:rPr>
                  </w:pPr>
                  <w:r>
                    <w:rPr>
                      <w:rFonts w:hint="eastAsia" w:ascii="宋体" w:hAnsi="宋体" w:eastAsia="宋体" w:cs="Arial"/>
                      <w:color w:val="000000"/>
                      <w:kern w:val="0"/>
                      <w:sz w:val="15"/>
                      <w:szCs w:val="15"/>
                      <w:lang w:val="en-US" w:eastAsia="zh-CN"/>
                    </w:rPr>
                    <w:t>72.2</w:t>
                  </w:r>
                </w:p>
              </w:tc>
              <w:tc>
                <w:tcPr>
                  <w:tcW w:w="217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一、一般公共服务支出</w:t>
                  </w:r>
                </w:p>
              </w:tc>
              <w:tc>
                <w:tcPr>
                  <w:tcW w:w="61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33</w:t>
                  </w:r>
                </w:p>
              </w:tc>
              <w:tc>
                <w:tcPr>
                  <w:tcW w:w="79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Arial"/>
                      <w:color w:val="000000"/>
                      <w:kern w:val="0"/>
                      <w:sz w:val="15"/>
                      <w:szCs w:val="15"/>
                    </w:rPr>
                  </w:pPr>
                  <w:r>
                    <w:rPr>
                      <w:rFonts w:hint="eastAsia" w:ascii="宋体" w:hAnsi="宋体" w:eastAsia="宋体" w:cs="宋体"/>
                      <w:i w:val="0"/>
                      <w:color w:val="000000"/>
                      <w:kern w:val="0"/>
                      <w:sz w:val="22"/>
                      <w:szCs w:val="22"/>
                      <w:u w:val="none"/>
                      <w:lang w:val="en-US" w:eastAsia="zh-CN" w:bidi="ar"/>
                    </w:rPr>
                    <w:t>55.04</w:t>
                  </w:r>
                </w:p>
              </w:tc>
              <w:tc>
                <w:tcPr>
                  <w:tcW w:w="79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5"/>
                      <w:szCs w:val="15"/>
                    </w:rPr>
                  </w:pPr>
                  <w:r>
                    <w:rPr>
                      <w:rFonts w:hint="eastAsia" w:ascii="宋体" w:hAnsi="宋体" w:eastAsia="宋体" w:cs="宋体"/>
                      <w:i w:val="0"/>
                      <w:color w:val="000000"/>
                      <w:kern w:val="0"/>
                      <w:sz w:val="22"/>
                      <w:szCs w:val="22"/>
                      <w:u w:val="none"/>
                      <w:lang w:val="en-US" w:eastAsia="zh-CN" w:bidi="ar"/>
                    </w:rPr>
                    <w:t>55.04</w:t>
                  </w:r>
                </w:p>
              </w:tc>
              <w:tc>
                <w:tcPr>
                  <w:tcW w:w="71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二、政府性基金预算财政拨款</w:t>
                  </w: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2</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17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二、外交支出</w:t>
                  </w:r>
                </w:p>
              </w:tc>
              <w:tc>
                <w:tcPr>
                  <w:tcW w:w="61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34</w:t>
                  </w:r>
                </w:p>
              </w:tc>
              <w:tc>
                <w:tcPr>
                  <w:tcW w:w="79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Arial"/>
                      <w:color w:val="000000"/>
                      <w:kern w:val="0"/>
                      <w:sz w:val="15"/>
                      <w:szCs w:val="15"/>
                    </w:rPr>
                  </w:pPr>
                </w:p>
              </w:tc>
              <w:tc>
                <w:tcPr>
                  <w:tcW w:w="79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5"/>
                      <w:szCs w:val="15"/>
                    </w:rPr>
                  </w:pPr>
                </w:p>
              </w:tc>
              <w:tc>
                <w:tcPr>
                  <w:tcW w:w="71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三、国有资本经营财政拨款</w:t>
                  </w: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17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三、国防支出</w:t>
                  </w:r>
                </w:p>
              </w:tc>
              <w:tc>
                <w:tcPr>
                  <w:tcW w:w="61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35</w:t>
                  </w:r>
                </w:p>
              </w:tc>
              <w:tc>
                <w:tcPr>
                  <w:tcW w:w="79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Arial"/>
                      <w:color w:val="000000"/>
                      <w:kern w:val="0"/>
                      <w:sz w:val="15"/>
                      <w:szCs w:val="15"/>
                    </w:rPr>
                  </w:pPr>
                </w:p>
              </w:tc>
              <w:tc>
                <w:tcPr>
                  <w:tcW w:w="79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5"/>
                      <w:szCs w:val="15"/>
                    </w:rPr>
                  </w:pPr>
                </w:p>
              </w:tc>
              <w:tc>
                <w:tcPr>
                  <w:tcW w:w="71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4</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17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四、公共安全支出</w:t>
                  </w:r>
                </w:p>
              </w:tc>
              <w:tc>
                <w:tcPr>
                  <w:tcW w:w="61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36</w:t>
                  </w:r>
                </w:p>
              </w:tc>
              <w:tc>
                <w:tcPr>
                  <w:tcW w:w="79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Arial"/>
                      <w:color w:val="000000"/>
                      <w:kern w:val="0"/>
                      <w:sz w:val="15"/>
                      <w:szCs w:val="15"/>
                    </w:rPr>
                  </w:pPr>
                </w:p>
              </w:tc>
              <w:tc>
                <w:tcPr>
                  <w:tcW w:w="79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5"/>
                      <w:szCs w:val="15"/>
                    </w:rPr>
                  </w:pPr>
                </w:p>
              </w:tc>
              <w:tc>
                <w:tcPr>
                  <w:tcW w:w="71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5</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17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五、教育支出</w:t>
                  </w:r>
                </w:p>
              </w:tc>
              <w:tc>
                <w:tcPr>
                  <w:tcW w:w="61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37</w:t>
                  </w:r>
                </w:p>
              </w:tc>
              <w:tc>
                <w:tcPr>
                  <w:tcW w:w="79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Arial"/>
                      <w:color w:val="000000"/>
                      <w:kern w:val="0"/>
                      <w:sz w:val="15"/>
                      <w:szCs w:val="15"/>
                    </w:rPr>
                  </w:pPr>
                </w:p>
              </w:tc>
              <w:tc>
                <w:tcPr>
                  <w:tcW w:w="79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5"/>
                      <w:szCs w:val="15"/>
                    </w:rPr>
                  </w:pPr>
                </w:p>
              </w:tc>
              <w:tc>
                <w:tcPr>
                  <w:tcW w:w="71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6</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17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六、科学技术支出</w:t>
                  </w:r>
                </w:p>
              </w:tc>
              <w:tc>
                <w:tcPr>
                  <w:tcW w:w="61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38</w:t>
                  </w:r>
                </w:p>
              </w:tc>
              <w:tc>
                <w:tcPr>
                  <w:tcW w:w="79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Arial"/>
                      <w:color w:val="000000"/>
                      <w:kern w:val="0"/>
                      <w:sz w:val="15"/>
                      <w:szCs w:val="15"/>
                    </w:rPr>
                  </w:pPr>
                </w:p>
              </w:tc>
              <w:tc>
                <w:tcPr>
                  <w:tcW w:w="79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5"/>
                      <w:szCs w:val="15"/>
                    </w:rPr>
                  </w:pPr>
                </w:p>
              </w:tc>
              <w:tc>
                <w:tcPr>
                  <w:tcW w:w="71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7</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17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七、文化旅游体育与传媒支出</w:t>
                  </w:r>
                </w:p>
              </w:tc>
              <w:tc>
                <w:tcPr>
                  <w:tcW w:w="61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39</w:t>
                  </w:r>
                </w:p>
              </w:tc>
              <w:tc>
                <w:tcPr>
                  <w:tcW w:w="79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Arial"/>
                      <w:color w:val="000000"/>
                      <w:kern w:val="0"/>
                      <w:sz w:val="15"/>
                      <w:szCs w:val="15"/>
                    </w:rPr>
                  </w:pPr>
                </w:p>
              </w:tc>
              <w:tc>
                <w:tcPr>
                  <w:tcW w:w="79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5"/>
                      <w:szCs w:val="15"/>
                    </w:rPr>
                  </w:pPr>
                </w:p>
              </w:tc>
              <w:tc>
                <w:tcPr>
                  <w:tcW w:w="71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8</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17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八、社会保障和就业支出</w:t>
                  </w:r>
                </w:p>
              </w:tc>
              <w:tc>
                <w:tcPr>
                  <w:tcW w:w="61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40</w:t>
                  </w:r>
                </w:p>
              </w:tc>
              <w:tc>
                <w:tcPr>
                  <w:tcW w:w="79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Arial"/>
                      <w:color w:val="000000"/>
                      <w:kern w:val="0"/>
                      <w:sz w:val="15"/>
                      <w:szCs w:val="15"/>
                    </w:rPr>
                  </w:pPr>
                  <w:r>
                    <w:rPr>
                      <w:rFonts w:hint="eastAsia" w:ascii="宋体" w:hAnsi="宋体" w:eastAsia="宋体" w:cs="宋体"/>
                      <w:i w:val="0"/>
                      <w:color w:val="000000"/>
                      <w:kern w:val="0"/>
                      <w:sz w:val="22"/>
                      <w:szCs w:val="22"/>
                      <w:u w:val="none"/>
                      <w:lang w:val="en-US" w:eastAsia="zh-CN" w:bidi="ar"/>
                    </w:rPr>
                    <w:t>11.63</w:t>
                  </w:r>
                </w:p>
              </w:tc>
              <w:tc>
                <w:tcPr>
                  <w:tcW w:w="79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5"/>
                      <w:szCs w:val="15"/>
                    </w:rPr>
                  </w:pPr>
                  <w:r>
                    <w:rPr>
                      <w:rFonts w:hint="eastAsia" w:ascii="宋体" w:hAnsi="宋体" w:eastAsia="宋体" w:cs="宋体"/>
                      <w:i w:val="0"/>
                      <w:color w:val="000000"/>
                      <w:kern w:val="0"/>
                      <w:sz w:val="22"/>
                      <w:szCs w:val="22"/>
                      <w:u w:val="none"/>
                      <w:lang w:val="en-US" w:eastAsia="zh-CN" w:bidi="ar"/>
                    </w:rPr>
                    <w:t>11.63</w:t>
                  </w:r>
                </w:p>
              </w:tc>
              <w:tc>
                <w:tcPr>
                  <w:tcW w:w="71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9</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17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九、卫生健康支出</w:t>
                  </w:r>
                </w:p>
              </w:tc>
              <w:tc>
                <w:tcPr>
                  <w:tcW w:w="61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41</w:t>
                  </w:r>
                </w:p>
              </w:tc>
              <w:tc>
                <w:tcPr>
                  <w:tcW w:w="79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Arial"/>
                      <w:color w:val="000000"/>
                      <w:kern w:val="0"/>
                      <w:sz w:val="15"/>
                      <w:szCs w:val="15"/>
                    </w:rPr>
                  </w:pPr>
                  <w:r>
                    <w:rPr>
                      <w:rFonts w:hint="eastAsia" w:ascii="宋体" w:hAnsi="宋体" w:eastAsia="宋体" w:cs="宋体"/>
                      <w:i w:val="0"/>
                      <w:color w:val="000000"/>
                      <w:kern w:val="0"/>
                      <w:sz w:val="22"/>
                      <w:szCs w:val="22"/>
                      <w:u w:val="none"/>
                      <w:lang w:val="en-US" w:eastAsia="zh-CN" w:bidi="ar"/>
                    </w:rPr>
                    <w:t>2.36</w:t>
                  </w:r>
                </w:p>
              </w:tc>
              <w:tc>
                <w:tcPr>
                  <w:tcW w:w="79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5"/>
                      <w:szCs w:val="15"/>
                    </w:rPr>
                  </w:pPr>
                  <w:r>
                    <w:rPr>
                      <w:rFonts w:hint="eastAsia" w:ascii="宋体" w:hAnsi="宋体" w:eastAsia="宋体" w:cs="宋体"/>
                      <w:i w:val="0"/>
                      <w:color w:val="000000"/>
                      <w:kern w:val="0"/>
                      <w:sz w:val="22"/>
                      <w:szCs w:val="22"/>
                      <w:u w:val="none"/>
                      <w:lang w:val="en-US" w:eastAsia="zh-CN" w:bidi="ar"/>
                    </w:rPr>
                    <w:t>2.36</w:t>
                  </w:r>
                </w:p>
              </w:tc>
              <w:tc>
                <w:tcPr>
                  <w:tcW w:w="71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10</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17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十、节能环保支出</w:t>
                  </w:r>
                </w:p>
              </w:tc>
              <w:tc>
                <w:tcPr>
                  <w:tcW w:w="61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42</w:t>
                  </w:r>
                </w:p>
              </w:tc>
              <w:tc>
                <w:tcPr>
                  <w:tcW w:w="79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Arial"/>
                      <w:color w:val="000000"/>
                      <w:kern w:val="0"/>
                      <w:sz w:val="15"/>
                      <w:szCs w:val="15"/>
                    </w:rPr>
                  </w:pPr>
                </w:p>
              </w:tc>
              <w:tc>
                <w:tcPr>
                  <w:tcW w:w="79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5"/>
                      <w:szCs w:val="15"/>
                    </w:rPr>
                  </w:pPr>
                </w:p>
              </w:tc>
              <w:tc>
                <w:tcPr>
                  <w:tcW w:w="71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11</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17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十一、城乡社区支出</w:t>
                  </w:r>
                </w:p>
              </w:tc>
              <w:tc>
                <w:tcPr>
                  <w:tcW w:w="61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43</w:t>
                  </w:r>
                </w:p>
              </w:tc>
              <w:tc>
                <w:tcPr>
                  <w:tcW w:w="79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Arial"/>
                      <w:color w:val="000000"/>
                      <w:kern w:val="0"/>
                      <w:sz w:val="15"/>
                      <w:szCs w:val="15"/>
                    </w:rPr>
                  </w:pPr>
                </w:p>
              </w:tc>
              <w:tc>
                <w:tcPr>
                  <w:tcW w:w="79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5"/>
                      <w:szCs w:val="15"/>
                    </w:rPr>
                  </w:pPr>
                </w:p>
              </w:tc>
              <w:tc>
                <w:tcPr>
                  <w:tcW w:w="71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12</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17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十二、农林水支出</w:t>
                  </w:r>
                </w:p>
              </w:tc>
              <w:tc>
                <w:tcPr>
                  <w:tcW w:w="61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44</w:t>
                  </w:r>
                </w:p>
              </w:tc>
              <w:tc>
                <w:tcPr>
                  <w:tcW w:w="79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Arial"/>
                      <w:color w:val="000000"/>
                      <w:kern w:val="0"/>
                      <w:sz w:val="15"/>
                      <w:szCs w:val="15"/>
                    </w:rPr>
                  </w:pPr>
                </w:p>
              </w:tc>
              <w:tc>
                <w:tcPr>
                  <w:tcW w:w="79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5"/>
                      <w:szCs w:val="15"/>
                    </w:rPr>
                  </w:pPr>
                </w:p>
              </w:tc>
              <w:tc>
                <w:tcPr>
                  <w:tcW w:w="71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13</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17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十三、交通运输支出</w:t>
                  </w:r>
                </w:p>
              </w:tc>
              <w:tc>
                <w:tcPr>
                  <w:tcW w:w="61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45</w:t>
                  </w:r>
                </w:p>
              </w:tc>
              <w:tc>
                <w:tcPr>
                  <w:tcW w:w="79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Arial"/>
                      <w:color w:val="000000"/>
                      <w:kern w:val="0"/>
                      <w:sz w:val="15"/>
                      <w:szCs w:val="15"/>
                    </w:rPr>
                  </w:pPr>
                </w:p>
              </w:tc>
              <w:tc>
                <w:tcPr>
                  <w:tcW w:w="79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5"/>
                      <w:szCs w:val="15"/>
                    </w:rPr>
                  </w:pPr>
                </w:p>
              </w:tc>
              <w:tc>
                <w:tcPr>
                  <w:tcW w:w="71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14</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17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十四、资源勘探工业信息等支出</w:t>
                  </w:r>
                </w:p>
              </w:tc>
              <w:tc>
                <w:tcPr>
                  <w:tcW w:w="61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46</w:t>
                  </w:r>
                </w:p>
              </w:tc>
              <w:tc>
                <w:tcPr>
                  <w:tcW w:w="79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Arial"/>
                      <w:color w:val="000000"/>
                      <w:kern w:val="0"/>
                      <w:sz w:val="15"/>
                      <w:szCs w:val="15"/>
                    </w:rPr>
                  </w:pPr>
                </w:p>
              </w:tc>
              <w:tc>
                <w:tcPr>
                  <w:tcW w:w="79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5"/>
                      <w:szCs w:val="15"/>
                    </w:rPr>
                  </w:pPr>
                </w:p>
              </w:tc>
              <w:tc>
                <w:tcPr>
                  <w:tcW w:w="71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15</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17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十五、商业服务业等支出</w:t>
                  </w:r>
                </w:p>
              </w:tc>
              <w:tc>
                <w:tcPr>
                  <w:tcW w:w="61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47</w:t>
                  </w:r>
                </w:p>
              </w:tc>
              <w:tc>
                <w:tcPr>
                  <w:tcW w:w="79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Arial"/>
                      <w:color w:val="000000"/>
                      <w:kern w:val="0"/>
                      <w:sz w:val="15"/>
                      <w:szCs w:val="15"/>
                    </w:rPr>
                  </w:pPr>
                </w:p>
              </w:tc>
              <w:tc>
                <w:tcPr>
                  <w:tcW w:w="79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5"/>
                      <w:szCs w:val="15"/>
                    </w:rPr>
                  </w:pPr>
                </w:p>
              </w:tc>
              <w:tc>
                <w:tcPr>
                  <w:tcW w:w="71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16</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17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十六、金融支出</w:t>
                  </w:r>
                </w:p>
              </w:tc>
              <w:tc>
                <w:tcPr>
                  <w:tcW w:w="61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48</w:t>
                  </w:r>
                </w:p>
              </w:tc>
              <w:tc>
                <w:tcPr>
                  <w:tcW w:w="79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Arial"/>
                      <w:color w:val="000000"/>
                      <w:kern w:val="0"/>
                      <w:sz w:val="15"/>
                      <w:szCs w:val="15"/>
                    </w:rPr>
                  </w:pPr>
                </w:p>
              </w:tc>
              <w:tc>
                <w:tcPr>
                  <w:tcW w:w="79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5"/>
                      <w:szCs w:val="15"/>
                    </w:rPr>
                  </w:pPr>
                </w:p>
              </w:tc>
              <w:tc>
                <w:tcPr>
                  <w:tcW w:w="71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17</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17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十七、援助其他地区支出</w:t>
                  </w:r>
                </w:p>
              </w:tc>
              <w:tc>
                <w:tcPr>
                  <w:tcW w:w="61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49</w:t>
                  </w:r>
                </w:p>
              </w:tc>
              <w:tc>
                <w:tcPr>
                  <w:tcW w:w="79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Arial"/>
                      <w:color w:val="000000"/>
                      <w:kern w:val="0"/>
                      <w:sz w:val="15"/>
                      <w:szCs w:val="15"/>
                    </w:rPr>
                  </w:pPr>
                </w:p>
              </w:tc>
              <w:tc>
                <w:tcPr>
                  <w:tcW w:w="79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5"/>
                      <w:szCs w:val="15"/>
                    </w:rPr>
                  </w:pPr>
                </w:p>
              </w:tc>
              <w:tc>
                <w:tcPr>
                  <w:tcW w:w="71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18</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17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十八、自然资源海洋气象等支出</w:t>
                  </w:r>
                </w:p>
              </w:tc>
              <w:tc>
                <w:tcPr>
                  <w:tcW w:w="61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50</w:t>
                  </w:r>
                </w:p>
              </w:tc>
              <w:tc>
                <w:tcPr>
                  <w:tcW w:w="79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Arial"/>
                      <w:color w:val="000000"/>
                      <w:kern w:val="0"/>
                      <w:sz w:val="15"/>
                      <w:szCs w:val="15"/>
                    </w:rPr>
                  </w:pPr>
                </w:p>
              </w:tc>
              <w:tc>
                <w:tcPr>
                  <w:tcW w:w="79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5"/>
                      <w:szCs w:val="15"/>
                    </w:rPr>
                  </w:pPr>
                </w:p>
              </w:tc>
              <w:tc>
                <w:tcPr>
                  <w:tcW w:w="71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19</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17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十九、住房保障支出</w:t>
                  </w:r>
                </w:p>
              </w:tc>
              <w:tc>
                <w:tcPr>
                  <w:tcW w:w="61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51</w:t>
                  </w:r>
                </w:p>
              </w:tc>
              <w:tc>
                <w:tcPr>
                  <w:tcW w:w="79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Arial"/>
                      <w:color w:val="000000"/>
                      <w:kern w:val="0"/>
                      <w:sz w:val="15"/>
                      <w:szCs w:val="15"/>
                    </w:rPr>
                  </w:pPr>
                  <w:r>
                    <w:rPr>
                      <w:rFonts w:hint="eastAsia" w:ascii="宋体" w:hAnsi="宋体" w:eastAsia="宋体" w:cs="宋体"/>
                      <w:i w:val="0"/>
                      <w:color w:val="000000"/>
                      <w:kern w:val="0"/>
                      <w:sz w:val="22"/>
                      <w:szCs w:val="22"/>
                      <w:u w:val="none"/>
                      <w:lang w:val="en-US" w:eastAsia="zh-CN" w:bidi="ar"/>
                    </w:rPr>
                    <w:t>3.17</w:t>
                  </w:r>
                </w:p>
              </w:tc>
              <w:tc>
                <w:tcPr>
                  <w:tcW w:w="79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5"/>
                      <w:szCs w:val="15"/>
                    </w:rPr>
                  </w:pPr>
                  <w:r>
                    <w:rPr>
                      <w:rFonts w:hint="eastAsia" w:ascii="宋体" w:hAnsi="宋体" w:eastAsia="宋体" w:cs="宋体"/>
                      <w:i w:val="0"/>
                      <w:color w:val="000000"/>
                      <w:kern w:val="0"/>
                      <w:sz w:val="22"/>
                      <w:szCs w:val="22"/>
                      <w:u w:val="none"/>
                      <w:lang w:val="en-US" w:eastAsia="zh-CN" w:bidi="ar"/>
                    </w:rPr>
                    <w:t>3.17</w:t>
                  </w:r>
                </w:p>
              </w:tc>
              <w:tc>
                <w:tcPr>
                  <w:tcW w:w="71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20</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17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二十、粮油物资储备支出</w:t>
                  </w:r>
                </w:p>
              </w:tc>
              <w:tc>
                <w:tcPr>
                  <w:tcW w:w="61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52</w:t>
                  </w:r>
                </w:p>
              </w:tc>
              <w:tc>
                <w:tcPr>
                  <w:tcW w:w="79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Arial"/>
                      <w:color w:val="000000"/>
                      <w:kern w:val="0"/>
                      <w:sz w:val="15"/>
                      <w:szCs w:val="15"/>
                    </w:rPr>
                  </w:pPr>
                </w:p>
              </w:tc>
              <w:tc>
                <w:tcPr>
                  <w:tcW w:w="79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5"/>
                      <w:szCs w:val="15"/>
                    </w:rPr>
                  </w:pPr>
                </w:p>
              </w:tc>
              <w:tc>
                <w:tcPr>
                  <w:tcW w:w="71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21</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17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二十一、国有资本经营预算支出</w:t>
                  </w:r>
                </w:p>
              </w:tc>
              <w:tc>
                <w:tcPr>
                  <w:tcW w:w="61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53</w:t>
                  </w:r>
                </w:p>
              </w:tc>
              <w:tc>
                <w:tcPr>
                  <w:tcW w:w="79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Arial"/>
                      <w:color w:val="000000"/>
                      <w:kern w:val="0"/>
                      <w:sz w:val="15"/>
                      <w:szCs w:val="15"/>
                    </w:rPr>
                  </w:pPr>
                </w:p>
              </w:tc>
              <w:tc>
                <w:tcPr>
                  <w:tcW w:w="79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5"/>
                      <w:szCs w:val="15"/>
                    </w:rPr>
                  </w:pPr>
                </w:p>
              </w:tc>
              <w:tc>
                <w:tcPr>
                  <w:tcW w:w="71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22</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17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3"/>
                      <w:szCs w:val="13"/>
                    </w:rPr>
                    <w:t>二十二、灾害防治及应急管理支出</w:t>
                  </w:r>
                </w:p>
              </w:tc>
              <w:tc>
                <w:tcPr>
                  <w:tcW w:w="61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54</w:t>
                  </w:r>
                </w:p>
              </w:tc>
              <w:tc>
                <w:tcPr>
                  <w:tcW w:w="79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Arial"/>
                      <w:color w:val="000000"/>
                      <w:kern w:val="0"/>
                      <w:sz w:val="15"/>
                      <w:szCs w:val="15"/>
                    </w:rPr>
                  </w:pPr>
                </w:p>
              </w:tc>
              <w:tc>
                <w:tcPr>
                  <w:tcW w:w="79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5"/>
                      <w:szCs w:val="15"/>
                    </w:rPr>
                  </w:pPr>
                </w:p>
              </w:tc>
              <w:tc>
                <w:tcPr>
                  <w:tcW w:w="71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23</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17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二十三、其他支出</w:t>
                  </w:r>
                </w:p>
              </w:tc>
              <w:tc>
                <w:tcPr>
                  <w:tcW w:w="61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55</w:t>
                  </w:r>
                </w:p>
              </w:tc>
              <w:tc>
                <w:tcPr>
                  <w:tcW w:w="79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Arial"/>
                      <w:color w:val="000000"/>
                      <w:kern w:val="0"/>
                      <w:sz w:val="15"/>
                      <w:szCs w:val="15"/>
                    </w:rPr>
                  </w:pPr>
                </w:p>
              </w:tc>
              <w:tc>
                <w:tcPr>
                  <w:tcW w:w="79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5"/>
                      <w:szCs w:val="15"/>
                    </w:rPr>
                  </w:pPr>
                </w:p>
              </w:tc>
              <w:tc>
                <w:tcPr>
                  <w:tcW w:w="71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25</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17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二十五、债务付息支出</w:t>
                  </w:r>
                </w:p>
              </w:tc>
              <w:tc>
                <w:tcPr>
                  <w:tcW w:w="61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57</w:t>
                  </w:r>
                </w:p>
              </w:tc>
              <w:tc>
                <w:tcPr>
                  <w:tcW w:w="79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Arial"/>
                      <w:color w:val="000000"/>
                      <w:kern w:val="0"/>
                      <w:sz w:val="15"/>
                      <w:szCs w:val="15"/>
                    </w:rPr>
                  </w:pPr>
                </w:p>
              </w:tc>
              <w:tc>
                <w:tcPr>
                  <w:tcW w:w="79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5"/>
                      <w:szCs w:val="15"/>
                    </w:rPr>
                  </w:pPr>
                </w:p>
              </w:tc>
              <w:tc>
                <w:tcPr>
                  <w:tcW w:w="71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26</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17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二十六、抗疫特别国债安排的支出</w:t>
                  </w:r>
                </w:p>
              </w:tc>
              <w:tc>
                <w:tcPr>
                  <w:tcW w:w="61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58</w:t>
                  </w:r>
                </w:p>
              </w:tc>
              <w:tc>
                <w:tcPr>
                  <w:tcW w:w="79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Arial"/>
                      <w:color w:val="000000"/>
                      <w:kern w:val="0"/>
                      <w:sz w:val="15"/>
                      <w:szCs w:val="15"/>
                    </w:rPr>
                  </w:pPr>
                </w:p>
              </w:tc>
              <w:tc>
                <w:tcPr>
                  <w:tcW w:w="79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5"/>
                      <w:szCs w:val="15"/>
                    </w:rPr>
                  </w:pPr>
                </w:p>
              </w:tc>
              <w:tc>
                <w:tcPr>
                  <w:tcW w:w="71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Times New Roman" w:hAnsi="Times New Roman" w:eastAsia="Times New Roman" w:cs="Times New Roman"/>
                      <w:kern w:val="0"/>
                      <w:sz w:val="15"/>
                      <w:szCs w:val="15"/>
                    </w:rPr>
                  </w:pPr>
                  <w:r>
                    <w:rPr>
                      <w:rFonts w:hint="eastAsia" w:ascii="宋体" w:hAnsi="宋体" w:eastAsia="宋体" w:cs="Arial"/>
                      <w:b/>
                      <w:bCs/>
                      <w:color w:val="000000"/>
                      <w:kern w:val="0"/>
                      <w:sz w:val="15"/>
                      <w:szCs w:val="15"/>
                    </w:rPr>
                    <w:t>本年收入合计</w:t>
                  </w: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27</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Arial"/>
                      <w:color w:val="000000"/>
                      <w:kern w:val="0"/>
                      <w:sz w:val="15"/>
                      <w:szCs w:val="15"/>
                      <w:lang w:val="en-US" w:eastAsia="zh-CN"/>
                    </w:rPr>
                  </w:pPr>
                  <w:r>
                    <w:rPr>
                      <w:rFonts w:hint="eastAsia" w:ascii="宋体" w:hAnsi="宋体" w:eastAsia="宋体" w:cs="Arial"/>
                      <w:color w:val="000000"/>
                      <w:kern w:val="0"/>
                      <w:sz w:val="15"/>
                      <w:szCs w:val="15"/>
                      <w:lang w:val="en-US" w:eastAsia="zh-CN"/>
                    </w:rPr>
                    <w:t>72.2</w:t>
                  </w:r>
                </w:p>
              </w:tc>
              <w:tc>
                <w:tcPr>
                  <w:tcW w:w="217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b/>
                      <w:bCs/>
                      <w:color w:val="000000"/>
                      <w:kern w:val="0"/>
                      <w:sz w:val="15"/>
                      <w:szCs w:val="15"/>
                    </w:rPr>
                    <w:t>本年支出合计</w:t>
                  </w:r>
                </w:p>
              </w:tc>
              <w:tc>
                <w:tcPr>
                  <w:tcW w:w="61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59</w:t>
                  </w:r>
                </w:p>
              </w:tc>
              <w:tc>
                <w:tcPr>
                  <w:tcW w:w="79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Arial"/>
                      <w:color w:val="000000"/>
                      <w:kern w:val="0"/>
                      <w:sz w:val="15"/>
                      <w:szCs w:val="15"/>
                    </w:rPr>
                  </w:pPr>
                  <w:r>
                    <w:rPr>
                      <w:rFonts w:hint="eastAsia" w:ascii="宋体" w:hAnsi="宋体" w:eastAsia="宋体" w:cs="宋体"/>
                      <w:i w:val="0"/>
                      <w:color w:val="000000"/>
                      <w:kern w:val="0"/>
                      <w:sz w:val="22"/>
                      <w:szCs w:val="22"/>
                      <w:u w:val="none"/>
                      <w:lang w:val="en-US" w:eastAsia="zh-CN" w:bidi="ar"/>
                    </w:rPr>
                    <w:t>72.2</w:t>
                  </w:r>
                </w:p>
              </w:tc>
              <w:tc>
                <w:tcPr>
                  <w:tcW w:w="79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Times New Roman" w:cs="Times New Roman"/>
                      <w:kern w:val="0"/>
                      <w:sz w:val="15"/>
                      <w:szCs w:val="15"/>
                      <w:lang w:val="en-US"/>
                    </w:rPr>
                  </w:pPr>
                  <w:r>
                    <w:rPr>
                      <w:rFonts w:hint="eastAsia" w:ascii="宋体" w:hAnsi="宋体" w:eastAsia="宋体" w:cs="宋体"/>
                      <w:i w:val="0"/>
                      <w:color w:val="000000"/>
                      <w:kern w:val="0"/>
                      <w:sz w:val="22"/>
                      <w:szCs w:val="22"/>
                      <w:u w:val="none"/>
                      <w:lang w:val="en-US" w:eastAsia="zh-CN" w:bidi="ar"/>
                    </w:rPr>
                    <w:t>72.2</w:t>
                  </w:r>
                </w:p>
              </w:tc>
              <w:tc>
                <w:tcPr>
                  <w:tcW w:w="71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b/>
                      <w:bCs/>
                      <w:color w:val="000000"/>
                      <w:kern w:val="0"/>
                      <w:sz w:val="15"/>
                      <w:szCs w:val="15"/>
                    </w:rPr>
                  </w:pPr>
                  <w:r>
                    <w:rPr>
                      <w:rFonts w:hint="eastAsia" w:ascii="宋体" w:hAnsi="宋体" w:eastAsia="宋体" w:cs="Arial"/>
                      <w:color w:val="000000"/>
                      <w:kern w:val="0"/>
                      <w:sz w:val="15"/>
                      <w:szCs w:val="15"/>
                    </w:rPr>
                    <w:t>年初财政拨款结转和结余</w:t>
                  </w: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28</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17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b/>
                      <w:bCs/>
                      <w:color w:val="000000"/>
                      <w:kern w:val="0"/>
                      <w:sz w:val="15"/>
                      <w:szCs w:val="15"/>
                    </w:rPr>
                  </w:pPr>
                  <w:r>
                    <w:rPr>
                      <w:rFonts w:hint="eastAsia" w:ascii="宋体" w:hAnsi="宋体" w:eastAsia="宋体" w:cs="Arial"/>
                      <w:color w:val="000000"/>
                      <w:kern w:val="0"/>
                      <w:sz w:val="15"/>
                      <w:szCs w:val="15"/>
                    </w:rPr>
                    <w:t>年末财政拨款结转和结余</w:t>
                  </w:r>
                </w:p>
              </w:tc>
              <w:tc>
                <w:tcPr>
                  <w:tcW w:w="61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60</w:t>
                  </w:r>
                </w:p>
              </w:tc>
              <w:tc>
                <w:tcPr>
                  <w:tcW w:w="79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Arial"/>
                      <w:color w:val="000000"/>
                      <w:kern w:val="0"/>
                      <w:sz w:val="15"/>
                      <w:szCs w:val="15"/>
                    </w:rPr>
                  </w:pPr>
                </w:p>
              </w:tc>
              <w:tc>
                <w:tcPr>
                  <w:tcW w:w="79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5"/>
                      <w:szCs w:val="15"/>
                    </w:rPr>
                  </w:pPr>
                </w:p>
              </w:tc>
              <w:tc>
                <w:tcPr>
                  <w:tcW w:w="71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 xml:space="preserve">  一般公共预算财政拨款</w:t>
                  </w: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29</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17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宋体" w:hAnsi="宋体" w:eastAsia="宋体" w:cs="Arial"/>
                      <w:color w:val="000000"/>
                      <w:kern w:val="0"/>
                      <w:sz w:val="15"/>
                      <w:szCs w:val="15"/>
                    </w:rPr>
                  </w:pPr>
                </w:p>
              </w:tc>
              <w:tc>
                <w:tcPr>
                  <w:tcW w:w="61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61</w:t>
                  </w:r>
                </w:p>
              </w:tc>
              <w:tc>
                <w:tcPr>
                  <w:tcW w:w="79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Arial"/>
                      <w:color w:val="000000"/>
                      <w:kern w:val="0"/>
                      <w:sz w:val="15"/>
                      <w:szCs w:val="15"/>
                    </w:rPr>
                  </w:pPr>
                </w:p>
              </w:tc>
              <w:tc>
                <w:tcPr>
                  <w:tcW w:w="79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5"/>
                      <w:szCs w:val="15"/>
                    </w:rPr>
                  </w:pPr>
                </w:p>
              </w:tc>
              <w:tc>
                <w:tcPr>
                  <w:tcW w:w="71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 xml:space="preserve">  政府性基金预算财政拨款</w:t>
                  </w: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30</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17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61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62</w:t>
                  </w:r>
                </w:p>
              </w:tc>
              <w:tc>
                <w:tcPr>
                  <w:tcW w:w="79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Arial"/>
                      <w:color w:val="000000"/>
                      <w:kern w:val="0"/>
                      <w:sz w:val="15"/>
                      <w:szCs w:val="15"/>
                    </w:rPr>
                  </w:pPr>
                </w:p>
              </w:tc>
              <w:tc>
                <w:tcPr>
                  <w:tcW w:w="795" w:type="dxa"/>
                  <w:tcBorders>
                    <w:top w:val="nil"/>
                    <w:left w:val="nil"/>
                    <w:bottom w:val="single" w:color="000000" w:sz="4" w:space="0"/>
                    <w:right w:val="single" w:color="000000" w:sz="4" w:space="0"/>
                  </w:tcBorders>
                  <w:shd w:val="clear" w:color="auto" w:fill="auto"/>
                  <w:vAlign w:val="center"/>
                </w:tcPr>
                <w:p>
                  <w:pPr>
                    <w:jc w:val="right"/>
                    <w:rPr>
                      <w:rFonts w:ascii="Times New Roman" w:hAnsi="Times New Roman" w:eastAsia="Times New Roman" w:cs="Times New Roman"/>
                      <w:kern w:val="0"/>
                      <w:sz w:val="15"/>
                      <w:szCs w:val="15"/>
                    </w:rPr>
                  </w:pPr>
                </w:p>
              </w:tc>
              <w:tc>
                <w:tcPr>
                  <w:tcW w:w="71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 xml:space="preserve">  国有资本经营预算财政拨款</w:t>
                  </w: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31</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17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61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63</w:t>
                  </w:r>
                </w:p>
              </w:tc>
              <w:tc>
                <w:tcPr>
                  <w:tcW w:w="79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Arial"/>
                      <w:color w:val="000000"/>
                      <w:kern w:val="0"/>
                      <w:sz w:val="15"/>
                      <w:szCs w:val="15"/>
                    </w:rPr>
                  </w:pPr>
                </w:p>
              </w:tc>
              <w:tc>
                <w:tcPr>
                  <w:tcW w:w="795" w:type="dxa"/>
                  <w:tcBorders>
                    <w:top w:val="nil"/>
                    <w:left w:val="nil"/>
                    <w:bottom w:val="single" w:color="000000" w:sz="4" w:space="0"/>
                    <w:right w:val="single" w:color="000000" w:sz="4" w:space="0"/>
                  </w:tcBorders>
                  <w:shd w:val="clear" w:color="auto" w:fill="auto"/>
                  <w:vAlign w:val="center"/>
                </w:tcPr>
                <w:p>
                  <w:pPr>
                    <w:jc w:val="right"/>
                    <w:rPr>
                      <w:rFonts w:ascii="Times New Roman" w:hAnsi="Times New Roman" w:eastAsia="Times New Roman" w:cs="Times New Roman"/>
                      <w:kern w:val="0"/>
                      <w:sz w:val="15"/>
                      <w:szCs w:val="15"/>
                    </w:rPr>
                  </w:pPr>
                </w:p>
              </w:tc>
              <w:tc>
                <w:tcPr>
                  <w:tcW w:w="71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b/>
                      <w:bCs/>
                      <w:color w:val="000000"/>
                      <w:kern w:val="0"/>
                      <w:sz w:val="15"/>
                      <w:szCs w:val="15"/>
                    </w:rPr>
                    <w:t>总计</w:t>
                  </w:r>
                </w:p>
              </w:tc>
              <w:tc>
                <w:tcPr>
                  <w:tcW w:w="465" w:type="dxa"/>
                  <w:tcBorders>
                    <w:top w:val="nil"/>
                    <w:left w:val="nil"/>
                    <w:bottom w:val="single" w:color="000000" w:sz="8"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32</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Arial"/>
                      <w:color w:val="000000"/>
                      <w:kern w:val="0"/>
                      <w:sz w:val="15"/>
                      <w:szCs w:val="15"/>
                      <w:lang w:val="en-US" w:eastAsia="zh-CN"/>
                    </w:rPr>
                  </w:pPr>
                  <w:r>
                    <w:rPr>
                      <w:rFonts w:hint="eastAsia" w:ascii="宋体" w:hAnsi="宋体" w:eastAsia="宋体" w:cs="Arial"/>
                      <w:color w:val="000000"/>
                      <w:kern w:val="0"/>
                      <w:sz w:val="15"/>
                      <w:szCs w:val="15"/>
                      <w:lang w:val="en-US" w:eastAsia="zh-CN"/>
                    </w:rPr>
                    <w:t>72.2</w:t>
                  </w:r>
                </w:p>
              </w:tc>
              <w:tc>
                <w:tcPr>
                  <w:tcW w:w="217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Times New Roman" w:hAnsi="Times New Roman" w:eastAsia="Times New Roman" w:cs="Times New Roman"/>
                      <w:kern w:val="0"/>
                      <w:sz w:val="15"/>
                      <w:szCs w:val="15"/>
                    </w:rPr>
                  </w:pPr>
                  <w:r>
                    <w:rPr>
                      <w:rFonts w:hint="eastAsia" w:ascii="宋体" w:hAnsi="宋体" w:eastAsia="宋体" w:cs="Arial"/>
                      <w:b/>
                      <w:bCs/>
                      <w:color w:val="000000"/>
                      <w:kern w:val="0"/>
                      <w:sz w:val="15"/>
                      <w:szCs w:val="15"/>
                    </w:rPr>
                    <w:t>总计</w:t>
                  </w:r>
                </w:p>
              </w:tc>
              <w:tc>
                <w:tcPr>
                  <w:tcW w:w="61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64</w:t>
                  </w:r>
                </w:p>
              </w:tc>
              <w:tc>
                <w:tcPr>
                  <w:tcW w:w="795" w:type="dxa"/>
                  <w:tcBorders>
                    <w:top w:val="nil"/>
                    <w:left w:val="nil"/>
                    <w:bottom w:val="single" w:color="000000" w:sz="4" w:space="0"/>
                    <w:right w:val="single" w:color="000000" w:sz="4" w:space="0"/>
                  </w:tcBorders>
                  <w:shd w:val="clear" w:color="auto" w:fill="auto"/>
                  <w:vAlign w:val="center"/>
                </w:tcPr>
                <w:p>
                  <w:pPr>
                    <w:jc w:val="right"/>
                    <w:rPr>
                      <w:rFonts w:hint="default" w:ascii="宋体" w:hAnsi="宋体" w:eastAsia="宋体" w:cs="Arial"/>
                      <w:color w:val="000000"/>
                      <w:kern w:val="0"/>
                      <w:sz w:val="15"/>
                      <w:szCs w:val="15"/>
                      <w:lang w:val="en-US" w:eastAsia="zh-CN"/>
                    </w:rPr>
                  </w:pPr>
                  <w:r>
                    <w:rPr>
                      <w:rFonts w:hint="eastAsia" w:ascii="宋体" w:hAnsi="宋体" w:eastAsia="宋体" w:cs="Arial"/>
                      <w:color w:val="000000"/>
                      <w:kern w:val="0"/>
                      <w:sz w:val="15"/>
                      <w:szCs w:val="15"/>
                      <w:lang w:val="en-US" w:eastAsia="zh-CN"/>
                    </w:rPr>
                    <w:t>72.2</w:t>
                  </w:r>
                </w:p>
              </w:tc>
              <w:tc>
                <w:tcPr>
                  <w:tcW w:w="795" w:type="dxa"/>
                  <w:tcBorders>
                    <w:top w:val="nil"/>
                    <w:left w:val="nil"/>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kern w:val="0"/>
                      <w:sz w:val="15"/>
                      <w:szCs w:val="15"/>
                      <w:lang w:val="en-US" w:eastAsia="zh-CN"/>
                    </w:rPr>
                  </w:pPr>
                  <w:r>
                    <w:rPr>
                      <w:rFonts w:hint="eastAsia" w:ascii="Times New Roman" w:hAnsi="Times New Roman" w:eastAsia="宋体" w:cs="Times New Roman"/>
                      <w:kern w:val="0"/>
                      <w:sz w:val="15"/>
                      <w:szCs w:val="15"/>
                      <w:lang w:val="en-US" w:eastAsia="zh-CN"/>
                    </w:rPr>
                    <w:t>72.2</w:t>
                  </w:r>
                </w:p>
              </w:tc>
              <w:tc>
                <w:tcPr>
                  <w:tcW w:w="71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9484" w:type="dxa"/>
                  <w:gridSpan w:val="9"/>
                  <w:tcBorders>
                    <w:top w:val="nil"/>
                    <w:left w:val="nil"/>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Times New Roman" w:hAnsi="Times New Roman" w:eastAsia="Times New Roman" w:cs="Times New Roman"/>
                      <w:kern w:val="0"/>
                      <w:sz w:val="15"/>
                      <w:szCs w:val="15"/>
                    </w:rPr>
                  </w:pPr>
                  <w:r>
                    <w:rPr>
                      <w:rFonts w:hint="eastAsia" w:ascii="宋体" w:hAnsi="宋体" w:eastAsia="宋体" w:cs="Arial"/>
                      <w:color w:val="000000"/>
                      <w:kern w:val="0"/>
                      <w:sz w:val="15"/>
                      <w:szCs w:val="15"/>
                    </w:rPr>
                    <w:t>注：本表反映部门本年度一般公共预算财政拨款、政府性基金预算财政拨款和国有资本经营预算财政拨款的总收支和年末结转结余情况。</w:t>
                  </w: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9484" w:type="dxa"/>
                  <w:gridSpan w:val="9"/>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bl>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lang w:bidi="ar"/>
              </w:rPr>
              <w:t>一般公共预算财政拨款支出决算表</w:t>
            </w:r>
          </w:p>
        </w:tc>
      </w:tr>
      <w:tr>
        <w:tblPrEx>
          <w:tblCellMar>
            <w:top w:w="0" w:type="dxa"/>
            <w:left w:w="0" w:type="dxa"/>
            <w:bottom w:w="0" w:type="dxa"/>
            <w:right w:w="0" w:type="dxa"/>
          </w:tblCellMar>
        </w:tblPrEx>
        <w:trPr>
          <w:trHeight w:val="255" w:hRule="atLeast"/>
          <w:jc w:val="center"/>
        </w:trPr>
        <w:tc>
          <w:tcPr>
            <w:tcW w:w="117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69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232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4658"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公开05表</w:t>
            </w:r>
          </w:p>
        </w:tc>
      </w:tr>
      <w:tr>
        <w:trPr>
          <w:trHeight w:val="255" w:hRule="atLeast"/>
          <w:jc w:val="center"/>
        </w:trPr>
        <w:tc>
          <w:tcPr>
            <w:tcW w:w="1174"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部门：</w:t>
            </w:r>
          </w:p>
        </w:tc>
        <w:tc>
          <w:tcPr>
            <w:tcW w:w="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69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r>
              <w:rPr>
                <w:rFonts w:hint="eastAsia" w:ascii="宋体" w:hAnsi="宋体" w:eastAsia="宋体" w:cs="宋体"/>
                <w:color w:val="000000"/>
                <w:kern w:val="0"/>
                <w:sz w:val="18"/>
                <w:szCs w:val="18"/>
                <w:lang w:val="en-US" w:eastAsia="zh-CN" w:bidi="ar"/>
              </w:rPr>
              <w:t>满城区统战部</w:t>
            </w:r>
          </w:p>
        </w:tc>
        <w:tc>
          <w:tcPr>
            <w:tcW w:w="232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4658"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金额单位：万元</w:t>
            </w:r>
          </w:p>
        </w:tc>
      </w:tr>
      <w:tr>
        <w:tblPrEx>
          <w:tblCellMar>
            <w:top w:w="0" w:type="dxa"/>
            <w:left w:w="0" w:type="dxa"/>
            <w:bottom w:w="0" w:type="dxa"/>
            <w:right w:w="0" w:type="dxa"/>
          </w:tblCellMar>
        </w:tblPrEx>
        <w:trPr>
          <w:trHeight w:val="308" w:hRule="atLeast"/>
          <w:jc w:val="center"/>
        </w:trPr>
        <w:tc>
          <w:tcPr>
            <w:tcW w:w="300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项目</w:t>
            </w:r>
          </w:p>
        </w:tc>
        <w:tc>
          <w:tcPr>
            <w:tcW w:w="6987" w:type="dxa"/>
            <w:gridSpan w:val="4"/>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本年支出</w:t>
            </w:r>
          </w:p>
        </w:tc>
      </w:tr>
      <w:tr>
        <w:tblPrEx>
          <w:tblCellMar>
            <w:top w:w="0" w:type="dxa"/>
            <w:left w:w="0" w:type="dxa"/>
            <w:bottom w:w="0" w:type="dxa"/>
            <w:right w:w="0" w:type="dxa"/>
          </w:tblCellMar>
        </w:tblPrEx>
        <w:trPr>
          <w:trHeight w:val="312" w:hRule="atLeast"/>
          <w:jc w:val="center"/>
        </w:trPr>
        <w:tc>
          <w:tcPr>
            <w:tcW w:w="1308"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功能分类科目编码</w:t>
            </w:r>
          </w:p>
        </w:tc>
        <w:tc>
          <w:tcPr>
            <w:tcW w:w="1695"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科目名称</w:t>
            </w:r>
          </w:p>
        </w:tc>
        <w:tc>
          <w:tcPr>
            <w:tcW w:w="232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小计</w:t>
            </w:r>
          </w:p>
        </w:tc>
        <w:tc>
          <w:tcPr>
            <w:tcW w:w="232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基本支出</w:t>
            </w:r>
          </w:p>
        </w:tc>
        <w:tc>
          <w:tcPr>
            <w:tcW w:w="2329"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项目支出</w:t>
            </w:r>
          </w:p>
        </w:tc>
      </w:tr>
      <w:tr>
        <w:tblPrEx>
          <w:tblCellMar>
            <w:top w:w="0" w:type="dxa"/>
            <w:left w:w="0" w:type="dxa"/>
            <w:bottom w:w="0" w:type="dxa"/>
            <w:right w:w="0" w:type="dxa"/>
          </w:tblCellMar>
        </w:tblPrEx>
        <w:trPr>
          <w:trHeight w:val="312" w:hRule="atLeast"/>
          <w:jc w:val="center"/>
        </w:trPr>
        <w:tc>
          <w:tcPr>
            <w:tcW w:w="1308"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695"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32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rPr>
          <w:trHeight w:val="312" w:hRule="atLeast"/>
          <w:jc w:val="center"/>
        </w:trPr>
        <w:tc>
          <w:tcPr>
            <w:tcW w:w="1308"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695"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32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3003"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栏次</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w:t>
            </w:r>
          </w:p>
        </w:tc>
      </w:tr>
      <w:tr>
        <w:tblPrEx>
          <w:tblCellMar>
            <w:top w:w="0" w:type="dxa"/>
            <w:left w:w="0" w:type="dxa"/>
            <w:bottom w:w="0" w:type="dxa"/>
            <w:right w:w="0" w:type="dxa"/>
          </w:tblCellMar>
        </w:tblPrEx>
        <w:trPr>
          <w:trHeight w:val="308" w:hRule="atLeast"/>
          <w:jc w:val="center"/>
        </w:trPr>
        <w:tc>
          <w:tcPr>
            <w:tcW w:w="3003"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合计</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color w:val="000000"/>
                <w:sz w:val="18"/>
                <w:szCs w:val="18"/>
              </w:rPr>
            </w:pPr>
            <w:r>
              <w:rPr>
                <w:rFonts w:hint="eastAsia" w:ascii="宋体" w:hAnsi="宋体" w:eastAsia="宋体" w:cs="宋体"/>
                <w:b/>
                <w:i w:val="0"/>
                <w:color w:val="000000"/>
                <w:kern w:val="0"/>
                <w:sz w:val="22"/>
                <w:szCs w:val="22"/>
                <w:u w:val="none"/>
                <w:lang w:val="en-US" w:eastAsia="zh-CN" w:bidi="ar"/>
              </w:rPr>
              <w:t>72.20</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color w:val="000000"/>
                <w:sz w:val="18"/>
                <w:szCs w:val="18"/>
              </w:rPr>
            </w:pPr>
            <w:r>
              <w:rPr>
                <w:rFonts w:hint="eastAsia" w:ascii="宋体" w:hAnsi="宋体" w:eastAsia="宋体" w:cs="宋体"/>
                <w:b/>
                <w:i w:val="0"/>
                <w:color w:val="000000"/>
                <w:kern w:val="0"/>
                <w:sz w:val="22"/>
                <w:szCs w:val="22"/>
                <w:u w:val="none"/>
                <w:lang w:val="en-US" w:eastAsia="zh-CN" w:bidi="ar"/>
              </w:rPr>
              <w:t>67.20</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color w:val="000000"/>
                <w:sz w:val="18"/>
                <w:szCs w:val="18"/>
              </w:rPr>
            </w:pPr>
            <w:r>
              <w:rPr>
                <w:rFonts w:hint="eastAsia" w:ascii="宋体" w:hAnsi="宋体" w:eastAsia="宋体" w:cs="宋体"/>
                <w:b/>
                <w:i w:val="0"/>
                <w:color w:val="000000"/>
                <w:kern w:val="0"/>
                <w:sz w:val="22"/>
                <w:szCs w:val="22"/>
                <w:u w:val="none"/>
                <w:lang w:val="en-US" w:eastAsia="zh-CN" w:bidi="ar"/>
              </w:rPr>
              <w:t>5.00</w:t>
            </w:r>
          </w:p>
        </w:tc>
      </w:tr>
      <w:tr>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201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一般公共服务支出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55.04</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50.04</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5.00</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20123</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民族事务</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5.00</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5.00</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2012304</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 xml:space="preserve">  民族工作专项</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5.00</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5.00</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20134</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统战事务</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50.04</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50.04</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2013401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 xml:space="preserve">  行政运行</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50.04</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50.04</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208</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社会保障和就业支出</w:t>
            </w:r>
          </w:p>
        </w:tc>
        <w:tc>
          <w:tcPr>
            <w:tcW w:w="23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11.63</w:t>
            </w:r>
          </w:p>
        </w:tc>
        <w:tc>
          <w:tcPr>
            <w:tcW w:w="23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11.63</w:t>
            </w:r>
          </w:p>
        </w:tc>
        <w:tc>
          <w:tcPr>
            <w:tcW w:w="232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20805</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行政事业单位养老支出</w:t>
            </w:r>
          </w:p>
        </w:tc>
        <w:tc>
          <w:tcPr>
            <w:tcW w:w="23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11.63</w:t>
            </w:r>
          </w:p>
        </w:tc>
        <w:tc>
          <w:tcPr>
            <w:tcW w:w="23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11.63</w:t>
            </w:r>
          </w:p>
        </w:tc>
        <w:tc>
          <w:tcPr>
            <w:tcW w:w="232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2080501</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 xml:space="preserve">  行政单位离退休</w:t>
            </w:r>
          </w:p>
        </w:tc>
        <w:tc>
          <w:tcPr>
            <w:tcW w:w="23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1.70</w:t>
            </w:r>
          </w:p>
        </w:tc>
        <w:tc>
          <w:tcPr>
            <w:tcW w:w="23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1.70</w:t>
            </w:r>
          </w:p>
        </w:tc>
        <w:tc>
          <w:tcPr>
            <w:tcW w:w="232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2080505</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23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6.61</w:t>
            </w:r>
          </w:p>
        </w:tc>
        <w:tc>
          <w:tcPr>
            <w:tcW w:w="23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6.61</w:t>
            </w:r>
          </w:p>
        </w:tc>
        <w:tc>
          <w:tcPr>
            <w:tcW w:w="232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2080506</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 xml:space="preserve">  机关事业单位职业年金缴费支出</w:t>
            </w:r>
          </w:p>
        </w:tc>
        <w:tc>
          <w:tcPr>
            <w:tcW w:w="23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3.32</w:t>
            </w:r>
          </w:p>
        </w:tc>
        <w:tc>
          <w:tcPr>
            <w:tcW w:w="23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3.32</w:t>
            </w:r>
          </w:p>
        </w:tc>
        <w:tc>
          <w:tcPr>
            <w:tcW w:w="232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p>
        </w:tc>
      </w:tr>
      <w:tr>
        <w:trPr>
          <w:trHeight w:val="308" w:hRule="atLeast"/>
          <w:jc w:val="center"/>
        </w:trPr>
        <w:tc>
          <w:tcPr>
            <w:tcW w:w="130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210</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卫生健康支出</w:t>
            </w:r>
          </w:p>
        </w:tc>
        <w:tc>
          <w:tcPr>
            <w:tcW w:w="23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2.36</w:t>
            </w:r>
          </w:p>
        </w:tc>
        <w:tc>
          <w:tcPr>
            <w:tcW w:w="23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2.36</w:t>
            </w:r>
          </w:p>
        </w:tc>
        <w:tc>
          <w:tcPr>
            <w:tcW w:w="232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21011</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行政事业单位医疗</w:t>
            </w:r>
          </w:p>
        </w:tc>
        <w:tc>
          <w:tcPr>
            <w:tcW w:w="23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2.36</w:t>
            </w:r>
          </w:p>
        </w:tc>
        <w:tc>
          <w:tcPr>
            <w:tcW w:w="23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2.36</w:t>
            </w:r>
          </w:p>
        </w:tc>
        <w:tc>
          <w:tcPr>
            <w:tcW w:w="232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2101101</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 xml:space="preserve">  行政单位医疗</w:t>
            </w:r>
          </w:p>
        </w:tc>
        <w:tc>
          <w:tcPr>
            <w:tcW w:w="23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2.36</w:t>
            </w:r>
          </w:p>
        </w:tc>
        <w:tc>
          <w:tcPr>
            <w:tcW w:w="23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2.36</w:t>
            </w:r>
          </w:p>
        </w:tc>
        <w:tc>
          <w:tcPr>
            <w:tcW w:w="232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221</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住房保障支出</w:t>
            </w:r>
          </w:p>
        </w:tc>
        <w:tc>
          <w:tcPr>
            <w:tcW w:w="23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3.17</w:t>
            </w:r>
          </w:p>
        </w:tc>
        <w:tc>
          <w:tcPr>
            <w:tcW w:w="23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3.17</w:t>
            </w:r>
          </w:p>
        </w:tc>
        <w:tc>
          <w:tcPr>
            <w:tcW w:w="232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22102</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住房改革支出</w:t>
            </w:r>
          </w:p>
        </w:tc>
        <w:tc>
          <w:tcPr>
            <w:tcW w:w="23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3.17</w:t>
            </w:r>
          </w:p>
        </w:tc>
        <w:tc>
          <w:tcPr>
            <w:tcW w:w="23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22"/>
                <w:szCs w:val="22"/>
                <w:u w:val="none"/>
                <w:lang w:val="en-US" w:eastAsia="zh-CN" w:bidi="ar"/>
              </w:rPr>
              <w:t>3.17</w:t>
            </w:r>
          </w:p>
        </w:tc>
        <w:tc>
          <w:tcPr>
            <w:tcW w:w="232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p>
        </w:tc>
      </w:tr>
    </w:tbl>
    <w:p>
      <w:r>
        <w:br w:type="page"/>
      </w:r>
    </w:p>
    <w:p>
      <w:pPr>
        <w:widowControl/>
        <w:jc w:val="center"/>
        <w:textAlignment w:val="center"/>
        <w:rPr>
          <w:rFonts w:ascii="黑体" w:hAnsi="宋体" w:eastAsia="黑体" w:cs="黑体"/>
          <w:color w:val="000000"/>
          <w:kern w:val="0"/>
          <w:sz w:val="28"/>
          <w:szCs w:val="28"/>
          <w:lang w:bidi="ar"/>
        </w:rPr>
        <w:sectPr>
          <w:pgSz w:w="11906" w:h="16838"/>
          <w:pgMar w:top="1871" w:right="1531" w:bottom="1984" w:left="1531" w:header="851" w:footer="992" w:gutter="0"/>
          <w:pgBorders>
            <w:top w:val="none" w:sz="0" w:space="0"/>
            <w:left w:val="none" w:sz="0" w:space="0"/>
            <w:bottom w:val="none" w:sz="0" w:space="0"/>
            <w:right w:val="none" w:sz="0" w:space="0"/>
          </w:pgBorders>
          <w:cols w:space="425" w:num="1"/>
          <w:docGrid w:type="lines" w:linePitch="312" w:charSpace="0"/>
        </w:sectPr>
      </w:pPr>
    </w:p>
    <w:tbl>
      <w:tblPr>
        <w:tblStyle w:val="5"/>
        <w:tblW w:w="14076" w:type="dxa"/>
        <w:jc w:val="center"/>
        <w:tblLayout w:type="fixed"/>
        <w:tblCellMar>
          <w:top w:w="0" w:type="dxa"/>
          <w:left w:w="0" w:type="dxa"/>
          <w:bottom w:w="0" w:type="dxa"/>
          <w:right w:w="0" w:type="dxa"/>
        </w:tblCellMar>
      </w:tblPr>
      <w:tblGrid>
        <w:gridCol w:w="1251"/>
        <w:gridCol w:w="2477"/>
        <w:gridCol w:w="1317"/>
        <w:gridCol w:w="913"/>
        <w:gridCol w:w="2463"/>
        <w:gridCol w:w="966"/>
        <w:gridCol w:w="861"/>
        <w:gridCol w:w="3028"/>
        <w:gridCol w:w="800"/>
      </w:tblGrid>
      <w:tr>
        <w:tblPrEx>
          <w:tblCellMar>
            <w:top w:w="0" w:type="dxa"/>
            <w:left w:w="0" w:type="dxa"/>
            <w:bottom w:w="0" w:type="dxa"/>
            <w:right w:w="0" w:type="dxa"/>
          </w:tblCellMar>
        </w:tblPrEx>
        <w:trPr>
          <w:trHeight w:val="404" w:hRule="atLeast"/>
          <w:jc w:val="center"/>
        </w:trPr>
        <w:tc>
          <w:tcPr>
            <w:tcW w:w="14076" w:type="dxa"/>
            <w:gridSpan w:val="9"/>
            <w:tcBorders>
              <w:top w:val="nil"/>
              <w:left w:val="nil"/>
              <w:bottom w:val="nil"/>
              <w:right w:val="nil"/>
            </w:tcBorders>
            <w:shd w:val="clear" w:color="auto" w:fill="auto"/>
            <w:tcMar>
              <w:top w:w="15" w:type="dxa"/>
              <w:left w:w="15" w:type="dxa"/>
              <w:right w:w="15" w:type="dxa"/>
            </w:tcMar>
            <w:vAlign w:val="center"/>
          </w:tcPr>
          <w:p>
            <w:pPr>
              <w:widowControl/>
              <w:spacing w:line="420" w:lineRule="exact"/>
              <w:jc w:val="center"/>
              <w:textAlignment w:val="center"/>
              <w:rPr>
                <w:rFonts w:ascii="黑体" w:hAnsi="宋体" w:eastAsia="黑体" w:cs="黑体"/>
                <w:color w:val="000000"/>
                <w:sz w:val="32"/>
                <w:szCs w:val="32"/>
              </w:rPr>
            </w:pPr>
            <w:r>
              <w:rPr>
                <w:rFonts w:hint="eastAsia" w:ascii="黑体" w:hAnsi="宋体" w:eastAsia="黑体" w:cs="黑体"/>
                <w:color w:val="000000"/>
                <w:kern w:val="0"/>
                <w:sz w:val="28"/>
                <w:szCs w:val="28"/>
                <w:lang w:bidi="ar"/>
              </w:rPr>
              <w:t>一般公共预算财政拨款基本支出决算表</w:t>
            </w:r>
          </w:p>
        </w:tc>
      </w:tr>
      <w:tr>
        <w:tblPrEx>
          <w:tblCellMar>
            <w:top w:w="0" w:type="dxa"/>
            <w:left w:w="0" w:type="dxa"/>
            <w:bottom w:w="0" w:type="dxa"/>
            <w:right w:w="0" w:type="dxa"/>
          </w:tblCellMar>
        </w:tblPrEx>
        <w:trPr>
          <w:trHeight w:val="66" w:hRule="atLeast"/>
          <w:jc w:val="center"/>
        </w:trPr>
        <w:tc>
          <w:tcPr>
            <w:tcW w:w="1251"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2477"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6"/>
                <w:szCs w:val="16"/>
              </w:rPr>
            </w:pPr>
          </w:p>
        </w:tc>
        <w:tc>
          <w:tcPr>
            <w:tcW w:w="1317"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913"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2463"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6"/>
                <w:szCs w:val="16"/>
              </w:rPr>
            </w:pPr>
          </w:p>
        </w:tc>
        <w:tc>
          <w:tcPr>
            <w:tcW w:w="966"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861"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3828" w:type="dxa"/>
            <w:gridSpan w:val="2"/>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6"/>
                <w:szCs w:val="16"/>
              </w:rPr>
            </w:pPr>
            <w:r>
              <w:rPr>
                <w:rFonts w:hint="eastAsia" w:ascii="宋体" w:hAnsi="宋体" w:eastAsia="宋体" w:cs="宋体"/>
                <w:color w:val="000000"/>
                <w:kern w:val="0"/>
                <w:sz w:val="16"/>
                <w:szCs w:val="16"/>
                <w:lang w:bidi="ar"/>
              </w:rPr>
              <w:t>公开06表</w:t>
            </w:r>
          </w:p>
        </w:tc>
      </w:tr>
      <w:tr>
        <w:tblPrEx>
          <w:tblCellMar>
            <w:top w:w="0" w:type="dxa"/>
            <w:left w:w="0" w:type="dxa"/>
            <w:bottom w:w="0" w:type="dxa"/>
            <w:right w:w="0" w:type="dxa"/>
          </w:tblCellMar>
        </w:tblPrEx>
        <w:trPr>
          <w:trHeight w:val="61" w:hRule="atLeast"/>
          <w:jc w:val="center"/>
        </w:trPr>
        <w:tc>
          <w:tcPr>
            <w:tcW w:w="1251"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left"/>
              <w:textAlignment w:val="bottom"/>
              <w:rPr>
                <w:rFonts w:ascii="宋体" w:hAnsi="宋体" w:eastAsia="宋体" w:cs="宋体"/>
                <w:color w:val="000000"/>
                <w:sz w:val="16"/>
                <w:szCs w:val="16"/>
              </w:rPr>
            </w:pPr>
            <w:r>
              <w:rPr>
                <w:rFonts w:hint="eastAsia" w:ascii="宋体" w:hAnsi="宋体" w:eastAsia="宋体" w:cs="宋体"/>
                <w:color w:val="000000"/>
                <w:kern w:val="0"/>
                <w:sz w:val="16"/>
                <w:szCs w:val="16"/>
                <w:lang w:bidi="ar"/>
              </w:rPr>
              <w:t>部门：</w:t>
            </w:r>
          </w:p>
        </w:tc>
        <w:tc>
          <w:tcPr>
            <w:tcW w:w="2477"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6"/>
                <w:szCs w:val="16"/>
              </w:rPr>
            </w:pPr>
            <w:r>
              <w:rPr>
                <w:rFonts w:hint="eastAsia" w:ascii="宋体" w:hAnsi="宋体" w:eastAsia="宋体" w:cs="宋体"/>
                <w:color w:val="000000"/>
                <w:kern w:val="0"/>
                <w:sz w:val="18"/>
                <w:szCs w:val="18"/>
                <w:lang w:val="en-US" w:eastAsia="zh-CN" w:bidi="ar"/>
              </w:rPr>
              <w:t>满城区统战部</w:t>
            </w:r>
          </w:p>
        </w:tc>
        <w:tc>
          <w:tcPr>
            <w:tcW w:w="1317"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913"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2463"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6"/>
                <w:szCs w:val="16"/>
              </w:rPr>
            </w:pPr>
          </w:p>
        </w:tc>
        <w:tc>
          <w:tcPr>
            <w:tcW w:w="966"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861"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3828" w:type="dxa"/>
            <w:gridSpan w:val="2"/>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6"/>
                <w:szCs w:val="16"/>
              </w:rPr>
            </w:pPr>
            <w:r>
              <w:rPr>
                <w:rFonts w:hint="eastAsia" w:ascii="宋体" w:hAnsi="宋体" w:eastAsia="宋体" w:cs="宋体"/>
                <w:color w:val="000000"/>
                <w:kern w:val="0"/>
                <w:sz w:val="16"/>
                <w:szCs w:val="16"/>
                <w:lang w:bidi="ar"/>
              </w:rPr>
              <w:t>金额单位：万元</w:t>
            </w:r>
          </w:p>
        </w:tc>
      </w:tr>
      <w:tr>
        <w:tblPrEx>
          <w:tblCellMar>
            <w:top w:w="0" w:type="dxa"/>
            <w:left w:w="0" w:type="dxa"/>
            <w:bottom w:w="0" w:type="dxa"/>
            <w:right w:w="0" w:type="dxa"/>
          </w:tblCellMar>
        </w:tblPrEx>
        <w:trPr>
          <w:trHeight w:val="242" w:hRule="atLeast"/>
          <w:jc w:val="center"/>
        </w:trPr>
        <w:tc>
          <w:tcPr>
            <w:tcW w:w="504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人员经费</w:t>
            </w:r>
          </w:p>
        </w:tc>
        <w:tc>
          <w:tcPr>
            <w:tcW w:w="9031" w:type="dxa"/>
            <w:gridSpan w:val="6"/>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公用经费</w:t>
            </w:r>
          </w:p>
        </w:tc>
      </w:tr>
      <w:tr>
        <w:tblPrEx>
          <w:tblCellMar>
            <w:top w:w="0" w:type="dxa"/>
            <w:left w:w="0" w:type="dxa"/>
            <w:bottom w:w="0" w:type="dxa"/>
            <w:right w:w="0" w:type="dxa"/>
          </w:tblCellMar>
        </w:tblPrEx>
        <w:trPr>
          <w:trHeight w:val="240" w:hRule="atLeast"/>
          <w:jc w:val="center"/>
        </w:trPr>
        <w:tc>
          <w:tcPr>
            <w:tcW w:w="1251"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科目编码</w:t>
            </w:r>
          </w:p>
        </w:tc>
        <w:tc>
          <w:tcPr>
            <w:tcW w:w="247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科目名称</w:t>
            </w:r>
          </w:p>
        </w:tc>
        <w:tc>
          <w:tcPr>
            <w:tcW w:w="131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决算数</w:t>
            </w:r>
          </w:p>
        </w:tc>
        <w:tc>
          <w:tcPr>
            <w:tcW w:w="91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科目编码</w:t>
            </w:r>
          </w:p>
        </w:tc>
        <w:tc>
          <w:tcPr>
            <w:tcW w:w="246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科目名称</w:t>
            </w:r>
          </w:p>
        </w:tc>
        <w:tc>
          <w:tcPr>
            <w:tcW w:w="96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决算数</w:t>
            </w:r>
          </w:p>
        </w:tc>
        <w:tc>
          <w:tcPr>
            <w:tcW w:w="86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科目编码</w:t>
            </w:r>
          </w:p>
        </w:tc>
        <w:tc>
          <w:tcPr>
            <w:tcW w:w="302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科目名称</w:t>
            </w:r>
          </w:p>
        </w:tc>
        <w:tc>
          <w:tcPr>
            <w:tcW w:w="80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决算数</w:t>
            </w:r>
          </w:p>
        </w:tc>
      </w:tr>
      <w:tr>
        <w:tblPrEx>
          <w:tblCellMar>
            <w:top w:w="0" w:type="dxa"/>
            <w:left w:w="0" w:type="dxa"/>
            <w:bottom w:w="0" w:type="dxa"/>
            <w:right w:w="0" w:type="dxa"/>
          </w:tblCellMar>
        </w:tblPrEx>
        <w:trPr>
          <w:trHeight w:val="312" w:hRule="atLeast"/>
          <w:jc w:val="center"/>
        </w:trPr>
        <w:tc>
          <w:tcPr>
            <w:tcW w:w="1251"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247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131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91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246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96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86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302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80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工资福利支出</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54.06</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商品和服务支出</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11.40</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307</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债务利息及费用支出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30101</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基本工资</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19.70</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30201</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办公费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3.54</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30701</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国内债务付息</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30102</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津贴补贴</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17.06</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30202</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印刷费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30702</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国外债务付息</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30103</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奖金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1.85</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30203</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咨询费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资本性支出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30106</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伙食补助费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30204</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手续费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31001</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房屋建筑物购建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30107</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绩效工资</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30205</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水费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31002</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办公设备购置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30108</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机关事业单位基本养老保险缴费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6.61</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30206</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电费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31003</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专用设备购置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30109</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职业年金缴费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3.32</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30207</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邮电费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2.70</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31005</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基础设施建设</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30110</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职工基本医疗保险缴费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2.36</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30208</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取暖费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31006</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大型修缮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30111</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公务员医疗补助缴费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30209</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物业管理费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31007</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信息网络及软件购置更新</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30112</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其他社会保障缴费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30211</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差旅费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31008</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物资储备</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30113</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住房公积金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3.17</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30212</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因公出国（境）费用</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土地补偿</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30114</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医疗费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30213</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维修（护）费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31010</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安置补助</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30199</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其他工资福利支出</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30214</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租赁费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31011</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地上附着物和青苗补偿</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对个人和家庭的补助</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1.74</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30215</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会议费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31012</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拆迁补偿</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30301</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离休费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30216</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培训费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31013</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公务用车购置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30302</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退休费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1.70</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公务接待费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31019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其他交通工具购置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30303</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退职（役）费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30218</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专用材料费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31021</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文物和陈列品购置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30304</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抚恤金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30224</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被装购置费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31022</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无形资产购置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30305</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生活补助</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30225</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专用燃料费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31099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其他资本性支出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30306</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救济费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30226</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劳务费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399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其他支出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30307</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医疗费补助</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30227</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委托业务费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39906</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赠与</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30308</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助学金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30228</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工会经费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39907</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国家赔偿费用支出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30309</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奖励金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30229</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福利费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39908</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w:t>
            </w:r>
            <w:r>
              <w:rPr>
                <w:rFonts w:hint="eastAsia" w:ascii="宋体" w:hAnsi="宋体" w:eastAsia="宋体" w:cs="宋体"/>
                <w:color w:val="000000"/>
                <w:kern w:val="0"/>
                <w:sz w:val="15"/>
                <w:szCs w:val="15"/>
                <w:lang w:bidi="ar"/>
              </w:rPr>
              <w:t>对民间非营利组织和群众性自治组织补贴</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30310</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个人农业生产补贴</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30231</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公务用车运行维护费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1.82</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39999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30399</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其他对个人和家庭的补助</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30239</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其他交通费用</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3.24</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30240</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税金及附加费用</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6"/>
                <w:szCs w:val="16"/>
              </w:rPr>
            </w:pPr>
          </w:p>
        </w:tc>
      </w:tr>
      <w:tr>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30299</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其他商品和服务支出</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0.10</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3728"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人员经费合计</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55.80</w:t>
            </w:r>
          </w:p>
        </w:tc>
        <w:tc>
          <w:tcPr>
            <w:tcW w:w="8231"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公用经费合计</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11.40</w:t>
            </w:r>
          </w:p>
        </w:tc>
      </w:tr>
    </w:tbl>
    <w:p>
      <w:pPr>
        <w:widowControl/>
        <w:jc w:val="center"/>
        <w:textAlignment w:val="center"/>
        <w:sectPr>
          <w:pgSz w:w="16838" w:h="11906" w:orient="landscape"/>
          <w:pgMar w:top="1531" w:right="2098" w:bottom="1531" w:left="1984" w:header="851" w:footer="992" w:gutter="0"/>
          <w:pgBorders>
            <w:top w:val="none" w:sz="0" w:space="0"/>
            <w:left w:val="none" w:sz="0" w:space="0"/>
            <w:bottom w:val="none" w:sz="0" w:space="0"/>
            <w:right w:val="none" w:sz="0" w:space="0"/>
          </w:pgBorders>
          <w:cols w:space="425" w:num="1"/>
          <w:docGrid w:type="lines" w:linePitch="312" w:charSpace="0"/>
        </w:sectPr>
      </w:pPr>
    </w:p>
    <w:tbl>
      <w:tblPr>
        <w:tblStyle w:val="5"/>
        <w:tblW w:w="9220" w:type="dxa"/>
        <w:jc w:val="center"/>
        <w:tblLayout w:type="fixed"/>
        <w:tblCellMar>
          <w:top w:w="0" w:type="dxa"/>
          <w:left w:w="0" w:type="dxa"/>
          <w:bottom w:w="0" w:type="dxa"/>
          <w:right w:w="0" w:type="dxa"/>
        </w:tblCellMar>
      </w:tblPr>
      <w:tblGrid>
        <w:gridCol w:w="1267"/>
        <w:gridCol w:w="1686"/>
        <w:gridCol w:w="1565"/>
        <w:gridCol w:w="1565"/>
        <w:gridCol w:w="1565"/>
        <w:gridCol w:w="1572"/>
      </w:tblGrid>
      <w:tr>
        <w:trPr>
          <w:trHeight w:val="638" w:hRule="atLeast"/>
          <w:jc w:val="center"/>
        </w:trPr>
        <w:tc>
          <w:tcPr>
            <w:tcW w:w="9220" w:type="dxa"/>
            <w:gridSpan w:val="6"/>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8"/>
                <w:szCs w:val="28"/>
              </w:rPr>
            </w:pPr>
            <w:r>
              <w:rPr>
                <w:sz w:val="28"/>
                <w:szCs w:val="28"/>
              </w:rPr>
              <w:br w:type="page"/>
            </w:r>
            <w:r>
              <w:rPr>
                <w:rFonts w:hint="eastAsia" w:ascii="黑体" w:hAnsi="宋体" w:eastAsia="黑体" w:cs="黑体"/>
                <w:color w:val="000000"/>
                <w:kern w:val="0"/>
                <w:sz w:val="28"/>
                <w:szCs w:val="28"/>
                <w:lang w:bidi="ar"/>
              </w:rPr>
              <w:t>一般公共预算财政拨款“三公”经费支出决算表</w:t>
            </w:r>
          </w:p>
        </w:tc>
      </w:tr>
      <w:tr>
        <w:tblPrEx>
          <w:tblCellMar>
            <w:top w:w="0" w:type="dxa"/>
            <w:left w:w="0" w:type="dxa"/>
            <w:bottom w:w="0" w:type="dxa"/>
            <w:right w:w="0" w:type="dxa"/>
          </w:tblCellMar>
        </w:tblPrEx>
        <w:trPr>
          <w:trHeight w:val="360" w:hRule="atLeast"/>
          <w:jc w:val="center"/>
        </w:trPr>
        <w:tc>
          <w:tcPr>
            <w:tcW w:w="1267"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686"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72"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公开07表</w:t>
            </w:r>
          </w:p>
        </w:tc>
      </w:tr>
      <w:tr>
        <w:tblPrEx>
          <w:tblCellMar>
            <w:top w:w="0" w:type="dxa"/>
            <w:left w:w="0" w:type="dxa"/>
            <w:bottom w:w="0" w:type="dxa"/>
            <w:right w:w="0" w:type="dxa"/>
          </w:tblCellMar>
        </w:tblPrEx>
        <w:trPr>
          <w:trHeight w:val="360" w:hRule="atLeast"/>
          <w:jc w:val="center"/>
        </w:trPr>
        <w:tc>
          <w:tcPr>
            <w:tcW w:w="1267"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部门：</w:t>
            </w:r>
          </w:p>
        </w:tc>
        <w:tc>
          <w:tcPr>
            <w:tcW w:w="1686"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r>
              <w:rPr>
                <w:rFonts w:hint="eastAsia" w:ascii="宋体" w:hAnsi="宋体" w:eastAsia="宋体" w:cs="宋体"/>
                <w:color w:val="000000"/>
                <w:kern w:val="0"/>
                <w:sz w:val="18"/>
                <w:szCs w:val="18"/>
                <w:lang w:val="en-US" w:eastAsia="zh-CN" w:bidi="ar"/>
              </w:rPr>
              <w:t>满城区统战部</w:t>
            </w: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72"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金额单位：万元</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预算数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 w:val="20"/>
                <w:szCs w:val="21"/>
                <w:lang w:bidi="ar"/>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Cs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Cs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黑体" w:hAnsi="黑体" w:eastAsia="黑体" w:cs="宋体"/>
                <w:color w:val="000000"/>
                <w:szCs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1</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2</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3</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4</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5</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6</w:t>
            </w: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Cs w:val="22"/>
                <w:lang w:val="en-US" w:eastAsia="zh-CN"/>
              </w:rPr>
            </w:pPr>
            <w:r>
              <w:rPr>
                <w:rFonts w:hint="eastAsia" w:ascii="宋体" w:hAnsi="宋体" w:eastAsia="宋体" w:cs="宋体"/>
                <w:color w:val="000000"/>
                <w:szCs w:val="22"/>
                <w:lang w:val="en-US" w:eastAsia="zh-CN"/>
              </w:rPr>
              <w:t>5.23</w:t>
            </w:r>
          </w:p>
        </w:tc>
        <w:tc>
          <w:tcPr>
            <w:tcW w:w="1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Cs w:val="22"/>
                <w:lang w:val="en-US" w:eastAsia="zh-CN"/>
              </w:rPr>
            </w:pPr>
            <w:r>
              <w:rPr>
                <w:rFonts w:hint="eastAsia" w:ascii="宋体" w:hAnsi="宋体" w:eastAsia="宋体" w:cs="宋体"/>
                <w:color w:val="000000"/>
                <w:szCs w:val="22"/>
                <w:lang w:val="en-US" w:eastAsia="zh-CN"/>
              </w:rPr>
              <w:t>5.00</w:t>
            </w: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Cs w:val="22"/>
                <w:lang w:val="en-US" w:eastAsia="zh-CN"/>
              </w:rPr>
            </w:pPr>
            <w:r>
              <w:rPr>
                <w:rFonts w:hint="eastAsia" w:ascii="宋体" w:hAnsi="宋体" w:eastAsia="宋体" w:cs="宋体"/>
                <w:color w:val="000000"/>
                <w:szCs w:val="22"/>
                <w:lang w:val="en-US" w:eastAsia="zh-CN"/>
              </w:rPr>
              <w:t>5.00</w:t>
            </w:r>
          </w:p>
        </w:tc>
        <w:tc>
          <w:tcPr>
            <w:tcW w:w="1572" w:type="dxa"/>
            <w:tcBorders>
              <w:top w:val="nil"/>
              <w:left w:val="nil"/>
              <w:bottom w:val="single" w:color="000000" w:sz="4" w:space="0"/>
              <w:right w:val="single" w:color="auto"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Cs w:val="22"/>
                <w:lang w:val="en-US" w:eastAsia="zh-CN"/>
              </w:rPr>
            </w:pPr>
            <w:r>
              <w:rPr>
                <w:rFonts w:hint="eastAsia" w:ascii="宋体" w:hAnsi="宋体" w:eastAsia="宋体" w:cs="宋体"/>
                <w:color w:val="000000"/>
                <w:szCs w:val="22"/>
                <w:lang w:val="en-US" w:eastAsia="zh-CN"/>
              </w:rPr>
              <w:t>0.23</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决算数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Cs w:val="22"/>
                <w:lang w:bidi="ar"/>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Cs w:val="22"/>
                <w:lang w:bidi="ar"/>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Cs w:val="22"/>
                <w:lang w:bidi="ar"/>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7</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8</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9</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10</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11</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12</w:t>
            </w:r>
          </w:p>
        </w:tc>
      </w:tr>
      <w:tr>
        <w:tblPrEx>
          <w:tblCellMar>
            <w:top w:w="0" w:type="dxa"/>
            <w:left w:w="0" w:type="dxa"/>
            <w:bottom w:w="0" w:type="dxa"/>
            <w:right w:w="0" w:type="dxa"/>
          </w:tblCellMar>
        </w:tblPrEx>
        <w:trPr>
          <w:trHeight w:val="447" w:hRule="atLeast"/>
          <w:jc w:val="center"/>
        </w:trPr>
        <w:tc>
          <w:tcPr>
            <w:tcW w:w="1267" w:type="dxa"/>
            <w:tcBorders>
              <w:top w:val="nil"/>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Cs w:val="22"/>
                <w:lang w:val="en-US" w:eastAsia="zh-CN"/>
              </w:rPr>
            </w:pPr>
            <w:r>
              <w:rPr>
                <w:rFonts w:hint="eastAsia" w:ascii="宋体" w:hAnsi="宋体" w:eastAsia="宋体" w:cs="宋体"/>
                <w:color w:val="000000"/>
                <w:szCs w:val="22"/>
                <w:lang w:val="en-US" w:eastAsia="zh-CN"/>
              </w:rPr>
              <w:t>1.82</w:t>
            </w:r>
          </w:p>
        </w:tc>
        <w:tc>
          <w:tcPr>
            <w:tcW w:w="1686"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Cs w:val="22"/>
                <w:lang w:val="en-US" w:eastAsia="zh-CN"/>
              </w:rPr>
            </w:pPr>
            <w:r>
              <w:rPr>
                <w:rFonts w:hint="eastAsia" w:ascii="宋体" w:hAnsi="宋体" w:eastAsia="宋体" w:cs="宋体"/>
                <w:color w:val="000000"/>
                <w:szCs w:val="22"/>
                <w:lang w:val="en-US" w:eastAsia="zh-CN"/>
              </w:rPr>
              <w:t>1.82</w:t>
            </w: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Cs w:val="22"/>
                <w:lang w:val="en-US" w:eastAsia="zh-CN"/>
              </w:rPr>
            </w:pPr>
            <w:r>
              <w:rPr>
                <w:rFonts w:hint="eastAsia" w:ascii="宋体" w:hAnsi="宋体" w:eastAsia="宋体" w:cs="宋体"/>
                <w:color w:val="000000"/>
                <w:szCs w:val="22"/>
                <w:lang w:val="en-US" w:eastAsia="zh-CN"/>
              </w:rPr>
              <w:t>1.82</w:t>
            </w:r>
          </w:p>
        </w:tc>
        <w:tc>
          <w:tcPr>
            <w:tcW w:w="1572"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Cs w:val="22"/>
                <w:lang w:val="en-US" w:eastAsia="zh-CN"/>
              </w:rPr>
            </w:pPr>
          </w:p>
        </w:tc>
      </w:tr>
    </w:tbl>
    <w:p>
      <w:r>
        <w:rPr>
          <w:rFonts w:hint="eastAsia" w:ascii="宋体" w:hAnsi="宋体" w:eastAsia="宋体" w:cs="宋体"/>
          <w:sz w:val="20"/>
          <w:szCs w:val="22"/>
        </w:rPr>
        <w:t>注：本表反映部门本年度“三公”经费支出预决算情况。其中：预算数为“三公”经费</w:t>
      </w:r>
      <w:r>
        <w:rPr>
          <w:rFonts w:hint="eastAsia" w:ascii="宋体" w:hAnsi="宋体" w:eastAsia="宋体" w:cs="宋体"/>
          <w:b/>
          <w:sz w:val="20"/>
          <w:szCs w:val="22"/>
        </w:rPr>
        <w:t>全年预算数</w:t>
      </w:r>
      <w:r>
        <w:rPr>
          <w:rFonts w:hint="eastAsia" w:ascii="宋体" w:hAnsi="宋体" w:eastAsia="宋体" w:cs="宋体"/>
          <w:sz w:val="20"/>
          <w:szCs w:val="22"/>
        </w:rPr>
        <w:t>，反映按规定程序调整后的预算数；决算数是包括当年一般公共预算财政拨款和以前年度结转资金安排的实际支出。</w:t>
      </w:r>
      <w:r>
        <w:rPr>
          <w:rFonts w:hint="eastAsia" w:ascii="仿宋_GB2312" w:hAnsi="仿宋_GB2312" w:eastAsia="仿宋_GB2312" w:cs="仿宋_GB2312"/>
          <w:sz w:val="20"/>
          <w:szCs w:val="22"/>
        </w:rPr>
        <w:tab/>
      </w:r>
      <w:r>
        <w:rPr>
          <w:sz w:val="20"/>
          <w:szCs w:val="22"/>
        </w:rPr>
        <w:tab/>
      </w:r>
      <w:r>
        <w:tab/>
      </w:r>
      <w:r>
        <w:tab/>
      </w:r>
      <w:r>
        <w:tab/>
      </w:r>
      <w:r>
        <w:tab/>
      </w:r>
      <w:r>
        <w:tab/>
      </w:r>
      <w:r>
        <w:tab/>
      </w:r>
      <w:r>
        <w:tab/>
      </w:r>
      <w:r>
        <w:tab/>
      </w:r>
      <w:r>
        <w:tab/>
      </w:r>
      <w:r>
        <w:br w:type="page"/>
      </w:r>
    </w:p>
    <w:tbl>
      <w:tblPr>
        <w:tblStyle w:val="5"/>
        <w:tblW w:w="9510" w:type="dxa"/>
        <w:jc w:val="center"/>
        <w:tblLayout w:type="autofit"/>
        <w:tblCellMar>
          <w:top w:w="0" w:type="dxa"/>
          <w:left w:w="0" w:type="dxa"/>
          <w:bottom w:w="0" w:type="dxa"/>
          <w:right w:w="0" w:type="dxa"/>
        </w:tblCellMar>
      </w:tblPr>
      <w:tblGrid>
        <w:gridCol w:w="618"/>
        <w:gridCol w:w="39"/>
        <w:gridCol w:w="39"/>
        <w:gridCol w:w="1204"/>
        <w:gridCol w:w="1268"/>
        <w:gridCol w:w="1268"/>
        <w:gridCol w:w="1268"/>
        <w:gridCol w:w="1268"/>
        <w:gridCol w:w="1268"/>
        <w:gridCol w:w="1270"/>
      </w:tblGrid>
      <w:tr>
        <w:tblPrEx>
          <w:tblCellMar>
            <w:top w:w="0" w:type="dxa"/>
            <w:left w:w="0" w:type="dxa"/>
            <w:bottom w:w="0" w:type="dxa"/>
            <w:right w:w="0" w:type="dxa"/>
          </w:tblCellMar>
        </w:tblPrEx>
        <w:trPr>
          <w:trHeight w:val="780" w:hRule="atLeast"/>
          <w:jc w:val="center"/>
        </w:trPr>
        <w:tc>
          <w:tcPr>
            <w:tcW w:w="951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lang w:bidi="ar"/>
              </w:rPr>
              <w:t>政府性基金预算财政拨款收入支出决算表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公开08表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部门：</w:t>
            </w: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r>
              <w:rPr>
                <w:rFonts w:hint="eastAsia" w:ascii="宋体" w:hAnsi="宋体" w:eastAsia="宋体" w:cs="宋体"/>
                <w:color w:val="000000"/>
                <w:kern w:val="0"/>
                <w:sz w:val="18"/>
                <w:szCs w:val="18"/>
                <w:lang w:val="en-US" w:eastAsia="zh-CN" w:bidi="ar"/>
              </w:rPr>
              <w:t>满城区统战部</w:t>
            </w: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项目</w:t>
            </w:r>
          </w:p>
        </w:tc>
        <w:tc>
          <w:tcPr>
            <w:tcW w:w="11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年初结转和结余</w:t>
            </w:r>
          </w:p>
        </w:tc>
        <w:tc>
          <w:tcPr>
            <w:tcW w:w="11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本年收入</w:t>
            </w:r>
          </w:p>
        </w:tc>
        <w:tc>
          <w:tcPr>
            <w:tcW w:w="3450"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本年支出</w:t>
            </w:r>
          </w:p>
        </w:tc>
        <w:tc>
          <w:tcPr>
            <w:tcW w:w="11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年末结转和结余</w:t>
            </w:r>
          </w:p>
        </w:tc>
      </w:tr>
      <w:tr>
        <w:tblPrEx>
          <w:tblCellMar>
            <w:top w:w="0" w:type="dxa"/>
            <w:left w:w="0" w:type="dxa"/>
            <w:bottom w:w="0" w:type="dxa"/>
            <w:right w:w="0" w:type="dxa"/>
          </w:tblCellMar>
        </w:tblPrEx>
        <w:trPr>
          <w:trHeight w:val="312" w:hRule="atLeast"/>
          <w:jc w:val="center"/>
        </w:trPr>
        <w:tc>
          <w:tcPr>
            <w:tcW w:w="1136"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功能分类科目编码</w:t>
            </w:r>
          </w:p>
        </w:tc>
        <w:tc>
          <w:tcPr>
            <w:tcW w:w="0" w:type="auto"/>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科目名称</w:t>
            </w: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小计</w:t>
            </w: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基本支出</w:t>
            </w: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项目支出</w:t>
            </w: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312" w:hRule="atLeast"/>
          <w:jc w:val="center"/>
        </w:trPr>
        <w:tc>
          <w:tcPr>
            <w:tcW w:w="113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312" w:hRule="atLeast"/>
          <w:jc w:val="center"/>
        </w:trPr>
        <w:tc>
          <w:tcPr>
            <w:tcW w:w="113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栏次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6</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合计</w:t>
            </w:r>
          </w:p>
        </w:tc>
        <w:tc>
          <w:tcPr>
            <w:tcW w:w="11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color w:val="000000"/>
                <w:szCs w:val="22"/>
              </w:rPr>
            </w:pPr>
          </w:p>
        </w:tc>
        <w:tc>
          <w:tcPr>
            <w:tcW w:w="11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color w:val="000000"/>
                <w:szCs w:val="22"/>
              </w:rPr>
            </w:pPr>
          </w:p>
        </w:tc>
        <w:tc>
          <w:tcPr>
            <w:tcW w:w="11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color w:val="000000"/>
                <w:szCs w:val="22"/>
              </w:rPr>
            </w:pPr>
          </w:p>
        </w:tc>
        <w:tc>
          <w:tcPr>
            <w:tcW w:w="11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color w:val="000000"/>
                <w:szCs w:val="22"/>
              </w:rPr>
            </w:pPr>
          </w:p>
        </w:tc>
        <w:tc>
          <w:tcPr>
            <w:tcW w:w="11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color w:val="000000"/>
                <w:szCs w:val="22"/>
              </w:rPr>
            </w:pP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color w:val="000000"/>
                <w:szCs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bl>
    <w:p>
      <w:pPr>
        <w:rPr>
          <w:b/>
          <w:sz w:val="20"/>
          <w:szCs w:val="22"/>
          <w:highlight w:val="yellow"/>
        </w:rPr>
      </w:pPr>
      <w:r>
        <w:rPr>
          <w:rFonts w:hint="eastAsia" w:ascii="宋体" w:hAnsi="宋体" w:eastAsia="宋体" w:cs="宋体"/>
          <w:sz w:val="20"/>
          <w:szCs w:val="22"/>
        </w:rPr>
        <w:t>注：</w:t>
      </w:r>
      <w:r>
        <w:rPr>
          <w:rFonts w:hint="eastAsia" w:ascii="宋体" w:hAnsi="宋体" w:eastAsia="宋体" w:cs="宋体"/>
          <w:color w:val="000000"/>
          <w:kern w:val="0"/>
          <w:sz w:val="22"/>
          <w:lang w:eastAsia="zh-CN"/>
        </w:rPr>
        <w:t>注：</w:t>
      </w:r>
      <w:r>
        <w:rPr>
          <w:rFonts w:hint="eastAsia" w:ascii="宋体" w:hAnsi="宋体" w:eastAsia="宋体" w:cs="宋体"/>
          <w:color w:val="000000"/>
          <w:kern w:val="0"/>
          <w:sz w:val="22"/>
        </w:rPr>
        <w:t>本部门本年度无相关收入（或支出、收支及结转结余等）情况，按要求空表列示。</w:t>
      </w:r>
      <w:r>
        <w:rPr>
          <w:b/>
          <w:sz w:val="20"/>
          <w:szCs w:val="22"/>
          <w:highlight w:val="yellow"/>
        </w:rPr>
        <w:br w:type="page"/>
      </w:r>
    </w:p>
    <w:tbl>
      <w:tblPr>
        <w:tblStyle w:val="5"/>
        <w:tblW w:w="9064" w:type="dxa"/>
        <w:tblInd w:w="0" w:type="dxa"/>
        <w:tblLayout w:type="autofit"/>
        <w:tblCellMar>
          <w:top w:w="0" w:type="dxa"/>
          <w:left w:w="0" w:type="dxa"/>
          <w:bottom w:w="0" w:type="dxa"/>
          <w:right w:w="0" w:type="dxa"/>
        </w:tblCellMar>
      </w:tblPr>
      <w:tblGrid>
        <w:gridCol w:w="630"/>
        <w:gridCol w:w="661"/>
        <w:gridCol w:w="177"/>
        <w:gridCol w:w="2780"/>
        <w:gridCol w:w="1138"/>
        <w:gridCol w:w="296"/>
        <w:gridCol w:w="1421"/>
        <w:gridCol w:w="1417"/>
        <w:gridCol w:w="544"/>
      </w:tblGrid>
      <w:tr>
        <w:tblPrEx>
          <w:tblCellMar>
            <w:top w:w="0" w:type="dxa"/>
            <w:left w:w="0" w:type="dxa"/>
            <w:bottom w:w="0" w:type="dxa"/>
            <w:right w:w="0" w:type="dxa"/>
          </w:tblCellMar>
        </w:tblPrEx>
        <w:trPr>
          <w:gridAfter w:val="1"/>
          <w:wAfter w:w="544" w:type="dxa"/>
          <w:trHeight w:val="824" w:hRule="atLeast"/>
        </w:trPr>
        <w:tc>
          <w:tcPr>
            <w:tcW w:w="8520" w:type="dxa"/>
            <w:gridSpan w:val="8"/>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lang w:bidi="ar"/>
              </w:rPr>
              <w:t>国有资本经营预算财政拨款支出决算表</w:t>
            </w:r>
          </w:p>
        </w:tc>
      </w:tr>
      <w:tr>
        <w:tblPrEx>
          <w:tblCellMar>
            <w:top w:w="0" w:type="dxa"/>
            <w:left w:w="0" w:type="dxa"/>
            <w:bottom w:w="0" w:type="dxa"/>
            <w:right w:w="0" w:type="dxa"/>
          </w:tblCellMar>
        </w:tblPrEx>
        <w:trPr>
          <w:trHeight w:val="250"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7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918"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678" w:type="dxa"/>
            <w:gridSpan w:val="4"/>
            <w:vMerge w:val="restart"/>
            <w:tcBorders>
              <w:top w:val="nil"/>
              <w:left w:val="nil"/>
              <w:right w:val="nil"/>
            </w:tcBorders>
            <w:shd w:val="clear" w:color="auto" w:fill="auto"/>
            <w:noWrap/>
            <w:tcMar>
              <w:top w:w="15" w:type="dxa"/>
              <w:left w:w="15" w:type="dxa"/>
              <w:right w:w="15" w:type="dxa"/>
            </w:tcMar>
            <w:vAlign w:val="bottom"/>
          </w:tcPr>
          <w:p>
            <w:pPr>
              <w:widowControl/>
              <w:ind w:firstLine="1800" w:firstLineChars="900"/>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公开09表</w:t>
            </w:r>
          </w:p>
          <w:p>
            <w:pPr>
              <w:ind w:right="400" w:firstLine="1300" w:firstLineChars="650"/>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250"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6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7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918"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18"/>
                <w:szCs w:val="18"/>
                <w:lang w:val="en-US" w:eastAsia="zh-CN" w:bidi="ar"/>
              </w:rPr>
              <w:t>满城区统战部</w:t>
            </w:r>
          </w:p>
        </w:tc>
        <w:tc>
          <w:tcPr>
            <w:tcW w:w="3678" w:type="dxa"/>
            <w:gridSpan w:val="4"/>
            <w:vMerge w:val="continue"/>
            <w:tcBorders>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p>
        </w:tc>
      </w:tr>
      <w:tr>
        <w:tblPrEx>
          <w:tblCellMar>
            <w:top w:w="0" w:type="dxa"/>
            <w:left w:w="0" w:type="dxa"/>
            <w:bottom w:w="0" w:type="dxa"/>
            <w:right w:w="0" w:type="dxa"/>
          </w:tblCellMar>
        </w:tblPrEx>
        <w:trPr>
          <w:gridAfter w:val="1"/>
          <w:wAfter w:w="544" w:type="dxa"/>
          <w:trHeight w:val="302" w:hRule="atLeast"/>
        </w:trPr>
        <w:tc>
          <w:tcPr>
            <w:tcW w:w="4248"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科目</w:t>
            </w:r>
          </w:p>
        </w:tc>
        <w:tc>
          <w:tcPr>
            <w:tcW w:w="4272" w:type="dxa"/>
            <w:gridSpan w:val="4"/>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本年支出</w:t>
            </w:r>
          </w:p>
        </w:tc>
      </w:tr>
      <w:tr>
        <w:tblPrEx>
          <w:tblCellMar>
            <w:top w:w="0" w:type="dxa"/>
            <w:left w:w="0" w:type="dxa"/>
            <w:bottom w:w="0" w:type="dxa"/>
            <w:right w:w="0" w:type="dxa"/>
          </w:tblCellMar>
        </w:tblPrEx>
        <w:trPr>
          <w:gridAfter w:val="1"/>
          <w:wAfter w:w="544" w:type="dxa"/>
          <w:trHeight w:val="604" w:hRule="atLeast"/>
        </w:trPr>
        <w:tc>
          <w:tcPr>
            <w:tcW w:w="1291"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功能分类科目编码</w:t>
            </w:r>
          </w:p>
        </w:tc>
        <w:tc>
          <w:tcPr>
            <w:tcW w:w="295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科目名称</w:t>
            </w: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小计</w:t>
            </w: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基本支出</w:t>
            </w: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项目支出</w:t>
            </w:r>
          </w:p>
        </w:tc>
      </w:tr>
      <w:tr>
        <w:tblPrEx>
          <w:tblCellMar>
            <w:top w:w="0" w:type="dxa"/>
            <w:left w:w="0" w:type="dxa"/>
            <w:bottom w:w="0" w:type="dxa"/>
            <w:right w:w="0" w:type="dxa"/>
          </w:tblCellMar>
        </w:tblPrEx>
        <w:trPr>
          <w:gridAfter w:val="1"/>
          <w:wAfter w:w="544" w:type="dxa"/>
          <w:trHeight w:val="302" w:hRule="atLeast"/>
        </w:trPr>
        <w:tc>
          <w:tcPr>
            <w:tcW w:w="424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r>
      <w:tr>
        <w:tblPrEx>
          <w:tblCellMar>
            <w:top w:w="0" w:type="dxa"/>
            <w:left w:w="0" w:type="dxa"/>
            <w:bottom w:w="0" w:type="dxa"/>
            <w:right w:w="0" w:type="dxa"/>
          </w:tblCellMar>
        </w:tblPrEx>
        <w:trPr>
          <w:gridAfter w:val="1"/>
          <w:wAfter w:w="544" w:type="dxa"/>
          <w:trHeight w:val="302" w:hRule="atLeast"/>
        </w:trPr>
        <w:tc>
          <w:tcPr>
            <w:tcW w:w="424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bl>
    <w:p>
      <w:pPr>
        <w:rPr>
          <w:rFonts w:ascii="黑体" w:hAnsi="黑体" w:eastAsia="黑体" w:cs="黑体"/>
          <w:sz w:val="56"/>
          <w:szCs w:val="72"/>
        </w:rPr>
      </w:pPr>
      <w:r>
        <w:rPr>
          <w:rFonts w:hint="eastAsia" w:ascii="宋体" w:hAnsi="宋体" w:eastAsia="宋体" w:cs="宋体"/>
        </w:rPr>
        <w:t>注：</w:t>
      </w:r>
      <w:r>
        <w:rPr>
          <w:rFonts w:hint="eastAsia" w:ascii="宋体" w:hAnsi="宋体" w:eastAsia="宋体" w:cs="宋体"/>
          <w:color w:val="000000"/>
          <w:kern w:val="0"/>
          <w:sz w:val="22"/>
          <w:lang w:eastAsia="zh-CN"/>
        </w:rPr>
        <w:t>注：</w:t>
      </w:r>
      <w:r>
        <w:rPr>
          <w:rFonts w:hint="eastAsia" w:ascii="宋体" w:hAnsi="宋体" w:eastAsia="宋体" w:cs="宋体"/>
          <w:color w:val="000000"/>
          <w:kern w:val="0"/>
          <w:sz w:val="22"/>
        </w:rPr>
        <w:t>本部门本年度无相关收入（或支出、收支及结转结余等）情况，按要求空表列示。</w:t>
      </w: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tabs>
          <w:tab w:val="left" w:pos="235"/>
        </w:tabs>
        <w:spacing w:line="600" w:lineRule="exact"/>
        <w:ind w:firstLine="640" w:firstLineChars="200"/>
        <w:jc w:val="left"/>
        <w:rPr>
          <w:rFonts w:hint="eastAsia" w:ascii="仿宋_GB2312" w:hAnsi="Cambria" w:eastAsia="仿宋_GB2312" w:cs="Arial Black"/>
          <w:kern w:val="0"/>
          <w:sz w:val="32"/>
          <w:szCs w:val="32"/>
        </w:rPr>
        <w:sectPr>
          <w:pgSz w:w="11906" w:h="16838"/>
          <w:pgMar w:top="1984" w:right="1531" w:bottom="2098" w:left="1531" w:header="851" w:footer="992" w:gutter="0"/>
          <w:pgBorders>
            <w:top w:val="none" w:sz="0" w:space="0"/>
            <w:left w:val="none" w:sz="0" w:space="0"/>
            <w:bottom w:val="none" w:sz="0" w:space="0"/>
            <w:right w:val="none" w:sz="0" w:space="0"/>
          </w:pgBorders>
          <w:cols w:space="425" w:num="1"/>
          <w:docGrid w:type="lines" w:linePitch="312" w:charSpace="0"/>
        </w:sectPr>
      </w:pPr>
    </w:p>
    <w:p>
      <w:pPr>
        <w:tabs>
          <w:tab w:val="left" w:pos="235"/>
        </w:tabs>
        <w:spacing w:line="600" w:lineRule="exact"/>
        <w:ind w:firstLine="640" w:firstLineChars="200"/>
        <w:jc w:val="left"/>
        <w:rPr>
          <w:rFonts w:ascii="仿宋_GB2312" w:hAnsi="Cambria" w:eastAsia="仿宋_GB2312" w:cs="Arial Black"/>
          <w:kern w:val="0"/>
          <w:sz w:val="32"/>
          <w:szCs w:val="32"/>
        </w:rPr>
      </w:pPr>
      <w:r>
        <w:rPr>
          <w:sz w:val="32"/>
        </w:rPr>
        <mc:AlternateContent>
          <mc:Choice Requires="wps">
            <w:drawing>
              <wp:anchor distT="0" distB="0" distL="114300" distR="114300" simplePos="0" relativeHeight="251663360" behindDoc="0" locked="0" layoutInCell="1" allowOverlap="1">
                <wp:simplePos x="0" y="0"/>
                <wp:positionH relativeFrom="column">
                  <wp:posOffset>-993140</wp:posOffset>
                </wp:positionH>
                <wp:positionV relativeFrom="paragraph">
                  <wp:posOffset>-1353820</wp:posOffset>
                </wp:positionV>
                <wp:extent cx="7632700" cy="10695940"/>
                <wp:effectExtent l="0" t="0" r="2540" b="2540"/>
                <wp:wrapNone/>
                <wp:docPr id="3" name="矩形 3"/>
                <wp:cNvGraphicFramePr/>
                <a:graphic xmlns:a="http://schemas.openxmlformats.org/drawingml/2006/main">
                  <a:graphicData uri="http://schemas.microsoft.com/office/word/2010/wordprocessingShape">
                    <wps:wsp>
                      <wps:cNvSpPr/>
                      <wps:spPr>
                        <a:xfrm>
                          <a:off x="697865" y="1375410"/>
                          <a:ext cx="7632700" cy="1069594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8.2pt;margin-top:-106.6pt;height:842.2pt;width:601pt;z-index:251663360;v-text-anchor:middle;mso-width-relative:page;mso-height-relative:page;" fillcolor="#BDD7EE [1300]" filled="t" stroked="f" coordsize="21600,21600" o:gfxdata="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AaR&#10;7+fcAAAADwEAAA8AAAAAAAAAAQAgAAAAIgAAAGRycy9kb3ducmV2LnhtbFBLAQIUABQAAAAIAIdO&#10;4kBIxKP9kQIAABEFAAAOAAAAAAAAAAEAIAAAACsBAABkcnMvZTJvRG9jLnhtbFBLBQYAAAAABgAG&#10;AFkBAAAuBgAAAAA=&#10;">
                <v:fill on="t" focussize="0,0"/>
                <v:stroke on="f" weight="1pt" miterlimit="8" joinstyle="miter"/>
                <v:imagedata o:title=""/>
                <o:lock v:ext="edit" aspectratio="f"/>
              </v:rect>
            </w:pict>
          </mc:Fallback>
        </mc:AlternateContent>
      </w:r>
    </w:p>
    <w:sectPr>
      <w:pgSz w:w="11906" w:h="16838"/>
      <w:pgMar w:top="2098" w:right="1531" w:bottom="1984" w:left="1531"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ArialUnicodeMS">
    <w:altName w:val="Malgun Gothic"/>
    <w:panose1 w:val="00000000000000000000"/>
    <w:charset w:val="81"/>
    <w:family w:val="auto"/>
    <w:pitch w:val="default"/>
    <w:sig w:usb0="00000000" w:usb1="00000000" w:usb2="00000010" w:usb3="00000000" w:csb0="00080000" w:csb1="00000000"/>
  </w:font>
  <w:font w:name="Malgun Gothic">
    <w:panose1 w:val="020B0503020000020004"/>
    <w:charset w:val="81"/>
    <w:family w:val="auto"/>
    <w:pitch w:val="default"/>
    <w:sig w:usb0="9000002F" w:usb1="29D77CFB" w:usb2="00000012" w:usb3="00000000" w:csb0="00080001" w:csb1="00000000"/>
  </w:font>
  <w:font w:name="Cambria">
    <w:panose1 w:val="02040503050406030204"/>
    <w:charset w:val="00"/>
    <w:family w:val="roman"/>
    <w:pitch w:val="default"/>
    <w:sig w:usb0="E00006FF" w:usb1="420024FF" w:usb2="02000000" w:usb3="00000000" w:csb0="2000019F" w:csb1="00000000"/>
  </w:font>
  <w:font w:name="Mongolian Baiti">
    <w:panose1 w:val="03000500000000000000"/>
    <w:charset w:val="00"/>
    <w:family w:val="script"/>
    <w:pitch w:val="default"/>
    <w:sig w:usb0="80000023" w:usb1="00000000" w:usb2="00020000" w:usb3="00000000" w:csb0="00000001" w:csb1="00000000"/>
  </w:font>
  <w:font w:name="DengXian-Regular">
    <w:altName w:val="宋体"/>
    <w:panose1 w:val="00000000000000000000"/>
    <w:charset w:val="86"/>
    <w:family w:val="auto"/>
    <w:pitch w:val="default"/>
    <w:sig w:usb0="00000000" w:usb1="00000000" w:usb2="00000010" w:usb3="00000000" w:csb0="00040000" w:csb1="00000000"/>
  </w:font>
  <w:font w:name="TimesNewRomanPSMT">
    <w:altName w:val="Arial"/>
    <w:panose1 w:val="00000000000000000000"/>
    <w:charset w:val="00"/>
    <w:family w:val="swiss"/>
    <w:pitch w:val="default"/>
    <w:sig w:usb0="00000000" w:usb1="00000000" w:usb2="00000000" w:usb3="00000000" w:csb0="00000001" w:csb1="00000000"/>
  </w:font>
  <w:font w:name="MS-UIGothic,Bold">
    <w:altName w:val="Malgun Gothic"/>
    <w:panose1 w:val="00000000000000000000"/>
    <w:charset w:val="81"/>
    <w:family w:val="auto"/>
    <w:pitch w:val="default"/>
    <w:sig w:usb0="00000000" w:usb1="00000000" w:usb2="00000010" w:usb3="00000000" w:csb0="00080000" w:csb1="00000000"/>
  </w:font>
  <w:font w:name="Arial Black">
    <w:panose1 w:val="020B0A04020102020204"/>
    <w:charset w:val="00"/>
    <w:family w:val="swiss"/>
    <w:pitch w:val="default"/>
    <w:sig w:usb0="A00002AF" w:usb1="400078FB" w:usb2="00000000" w:usb3="00000000" w:csb0="6000009F" w:csb1="DFD7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691D009"/>
    <w:multiLevelType w:val="singleLevel"/>
    <w:tmpl w:val="E691D009"/>
    <w:lvl w:ilvl="0" w:tentative="0">
      <w:start w:val="3"/>
      <w:numFmt w:val="chineseCounting"/>
      <w:suff w:val="nothing"/>
      <w:lvlText w:val="%1、"/>
      <w:lvlJc w:val="left"/>
      <w:rPr>
        <w:rFonts w:hint="eastAsia"/>
      </w:rPr>
    </w:lvl>
  </w:abstractNum>
  <w:abstractNum w:abstractNumId="1">
    <w:nsid w:val="45DB9A87"/>
    <w:multiLevelType w:val="singleLevel"/>
    <w:tmpl w:val="45DB9A87"/>
    <w:lvl w:ilvl="0" w:tentative="0">
      <w:start w:val="3"/>
      <w:numFmt w:val="chineseCounting"/>
      <w:suff w:val="nothing"/>
      <w:lvlText w:val="（%1）"/>
      <w:lvlJc w:val="left"/>
      <w:rPr>
        <w:rFonts w:hint="eastAsia"/>
      </w:rPr>
    </w:lvl>
  </w:abstractNum>
  <w:abstractNum w:abstractNumId="2">
    <w:nsid w:val="5F222FFA"/>
    <w:multiLevelType w:val="singleLevel"/>
    <w:tmpl w:val="5F222FFA"/>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isplayBackgroundShape w:val="1"/>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1ZTExYjI0ZWRmODAwOWY0MzQ4NmEzMzhkZjMyODEifQ=="/>
  </w:docVars>
  <w:rsids>
    <w:rsidRoot w:val="34C45458"/>
    <w:rsid w:val="00061A05"/>
    <w:rsid w:val="0018668E"/>
    <w:rsid w:val="001B73D2"/>
    <w:rsid w:val="001E62BF"/>
    <w:rsid w:val="00293E7B"/>
    <w:rsid w:val="002D1F4F"/>
    <w:rsid w:val="00366D90"/>
    <w:rsid w:val="003D678E"/>
    <w:rsid w:val="00801F66"/>
    <w:rsid w:val="009334BF"/>
    <w:rsid w:val="04A9465C"/>
    <w:rsid w:val="051273A7"/>
    <w:rsid w:val="058B71E0"/>
    <w:rsid w:val="08D3699A"/>
    <w:rsid w:val="0EA325C9"/>
    <w:rsid w:val="13482EF0"/>
    <w:rsid w:val="17D170B3"/>
    <w:rsid w:val="1A2D646B"/>
    <w:rsid w:val="1A576F46"/>
    <w:rsid w:val="1A58536E"/>
    <w:rsid w:val="1AF655D4"/>
    <w:rsid w:val="1BB04B50"/>
    <w:rsid w:val="1F376460"/>
    <w:rsid w:val="1F6B32B7"/>
    <w:rsid w:val="22733BF6"/>
    <w:rsid w:val="228831AD"/>
    <w:rsid w:val="23E97D9C"/>
    <w:rsid w:val="2FB96948"/>
    <w:rsid w:val="3327616A"/>
    <w:rsid w:val="343D229F"/>
    <w:rsid w:val="34C45458"/>
    <w:rsid w:val="35C83C42"/>
    <w:rsid w:val="365E1C02"/>
    <w:rsid w:val="38F4053B"/>
    <w:rsid w:val="3C4455E8"/>
    <w:rsid w:val="41CC38DF"/>
    <w:rsid w:val="42C74973"/>
    <w:rsid w:val="46FB6082"/>
    <w:rsid w:val="47B6205A"/>
    <w:rsid w:val="48E24775"/>
    <w:rsid w:val="4B1C6646"/>
    <w:rsid w:val="4FFF1054"/>
    <w:rsid w:val="555B2D9F"/>
    <w:rsid w:val="5919708E"/>
    <w:rsid w:val="59693F95"/>
    <w:rsid w:val="59813BE5"/>
    <w:rsid w:val="5A1C3364"/>
    <w:rsid w:val="5D0C63C4"/>
    <w:rsid w:val="60F74B3F"/>
    <w:rsid w:val="6AE8053D"/>
    <w:rsid w:val="6BF77968"/>
    <w:rsid w:val="6C0C1021"/>
    <w:rsid w:val="73D824BD"/>
    <w:rsid w:val="75AE0EC2"/>
    <w:rsid w:val="78684E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1"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6">
    <w:name w:val="Table Grid"/>
    <w:qFormat/>
    <w:uiPriority w:val="1"/>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chart" Target="charts/chart1.xml"/><Relationship Id="rId10" Type="http://schemas.openxmlformats.org/officeDocument/2006/relationships/image" Target="media/image2.bmp"/><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r>
              <a:rPr lang="en-US" altLang="zh-CN">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rPr>
              <a:t>2019-2020</a:t>
            </a:r>
            <a:r>
              <a:rPr lang="zh-CN" altLang="en-US">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rPr>
              <a:t>年收支总计对比情况（图</a:t>
            </a:r>
            <a:r>
              <a:rPr lang="en-US" altLang="zh-CN">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rPr>
              <a:t>1</a:t>
            </a:r>
            <a:r>
              <a:rPr lang="zh-CN" altLang="en-US">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rPr>
              <a:t>）</a:t>
            </a:r>
            <a:endParaRPr lang="zh-CN" altLang="en-US">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endParaRPr>
          </a:p>
        </c:rich>
      </c:tx>
      <c:layout>
        <c:manualLayout>
          <c:xMode val="edge"/>
          <c:yMode val="edge"/>
          <c:x val="0.209718361608105"/>
          <c:y val="0.846648044692737"/>
        </c:manualLayout>
      </c:layout>
      <c:overlay val="0"/>
      <c:spPr>
        <a:noFill/>
        <a:ln>
          <a:noFill/>
        </a:ln>
        <a:effectLst/>
      </c:spPr>
    </c:title>
    <c:autoTitleDeleted val="0"/>
    <c:plotArea>
      <c:layout>
        <c:manualLayout>
          <c:layoutTarget val="inner"/>
          <c:xMode val="edge"/>
          <c:yMode val="edge"/>
          <c:x val="0.123946243127673"/>
          <c:y val="0.0879888268156425"/>
          <c:w val="0.778772144166158"/>
          <c:h val="0.619106145251397"/>
        </c:manualLayout>
      </c:layout>
      <c:barChart>
        <c:barDir val="col"/>
        <c:grouping val="clustered"/>
        <c:varyColors val="0"/>
        <c:ser>
          <c:idx val="0"/>
          <c:order val="0"/>
          <c:tx>
            <c:strRef>
              <c:f>Sheet1!$B$1</c:f>
              <c:strCache>
                <c:ptCount val="1"/>
                <c:pt idx="0">
                  <c:v>收支总计</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2019年</c:v>
                </c:pt>
                <c:pt idx="1">
                  <c:v>2020年</c:v>
                </c:pt>
              </c:strCache>
            </c:strRef>
          </c:cat>
          <c:val>
            <c:numRef>
              <c:f>Sheet1!$B$2:$B$3</c:f>
              <c:numCache>
                <c:formatCode>General</c:formatCode>
                <c:ptCount val="2"/>
                <c:pt idx="0">
                  <c:v>71.18</c:v>
                </c:pt>
                <c:pt idx="1">
                  <c:v>72.2</c:v>
                </c:pt>
              </c:numCache>
            </c:numRef>
          </c:val>
        </c:ser>
        <c:dLbls>
          <c:showLegendKey val="0"/>
          <c:showVal val="1"/>
          <c:showCatName val="0"/>
          <c:showSerName val="0"/>
          <c:showPercent val="0"/>
          <c:showBubbleSize val="0"/>
        </c:dLbls>
        <c:gapWidth val="219"/>
        <c:overlap val="-27"/>
        <c:axId val="462451782"/>
        <c:axId val="737457775"/>
      </c:barChart>
      <c:catAx>
        <c:axId val="46245178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p>
        </c:txPr>
        <c:crossAx val="737457775"/>
        <c:crosses val="autoZero"/>
        <c:auto val="1"/>
        <c:lblAlgn val="ctr"/>
        <c:lblOffset val="100"/>
        <c:noMultiLvlLbl val="0"/>
      </c:catAx>
      <c:valAx>
        <c:axId val="737457775"/>
        <c:scaling>
          <c:orientation val="minMax"/>
        </c:scaling>
        <c:delete val="0"/>
        <c:axPos val="l"/>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p>
        </c:txPr>
        <c:crossAx val="462451782"/>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p>
        </c:txPr>
      </c:legendEntry>
      <c:layout>
        <c:manualLayout>
          <c:xMode val="edge"/>
          <c:yMode val="edge"/>
          <c:x val="0.830312807730552"/>
          <c:y val="0.363173169828043"/>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p>
      </c:txPr>
    </c:legend>
    <c:plotVisOnly val="1"/>
    <c:dispBlanksAs val="gap"/>
    <c:showDLblsOverMax val="0"/>
  </c:chart>
  <c:spPr>
    <a:solidFill>
      <a:schemeClr val="bg1"/>
    </a:solidFill>
    <a:ln w="9525" cap="flat" cmpd="sng" algn="ctr">
      <a:noFill/>
      <a:round/>
    </a:ln>
    <a:effectLst/>
  </c:spPr>
  <c:txPr>
    <a:bodyPr/>
    <a:lstStyle/>
    <a:p>
      <a:pPr>
        <a:defRPr lang="zh-CN">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30</Pages>
  <Words>7894</Words>
  <Characters>9747</Characters>
  <Lines>82</Lines>
  <Paragraphs>23</Paragraphs>
  <TotalTime>4</TotalTime>
  <ScaleCrop>false</ScaleCrop>
  <LinksUpToDate>false</LinksUpToDate>
  <CharactersWithSpaces>9994</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2021-07-27T05:10:00Z</dcterms:created>
  <dc:creator>王明新TIAD</dc:creator>
  <cp:lastModifiedBy>lenovo</cp:lastModifiedBy>
  <dcterms:modified xsi:type="dcterms:W3CDTF">2022-09-21T10:10:28Z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E854152DE7F0438A9C0DA2302317AD28</vt:lpwstr>
  </property>
</Properties>
</file>