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240" w:lineRule="auto"/>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240" w:lineRule="auto"/>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3</w:t>
            </w:r>
            <w:r>
              <w:rPr>
                <w:rFonts w:hint="eastAsia" w:ascii="宋体" w:hAnsi="宋体"/>
                <w:kern w:val="0"/>
                <w:sz w:val="28"/>
                <w:szCs w:val="28"/>
              </w:rPr>
              <w:t>]</w:t>
            </w:r>
            <w:r>
              <w:rPr>
                <w:rFonts w:hint="eastAsia" w:ascii="宋体" w:hAnsi="宋体"/>
                <w:kern w:val="0"/>
                <w:sz w:val="28"/>
                <w:szCs w:val="28"/>
                <w:lang w:val="en-US" w:eastAsia="zh-CN"/>
              </w:rPr>
              <w:t>01</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保定市满城华保稀土有限公司燃气锅炉技改项目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项目位于满城区</w:t>
            </w:r>
            <w:r>
              <w:rPr>
                <w:rFonts w:hint="eastAsia" w:ascii="宋体" w:hAnsi="宋体" w:cs="宋体"/>
                <w:kern w:val="0"/>
                <w:sz w:val="28"/>
                <w:szCs w:val="28"/>
                <w:lang w:val="en-US" w:eastAsia="zh-CN"/>
              </w:rPr>
              <w:t>满城镇守陵村</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在现有厂区锅炉房进行锅炉技术改造。锅炉房</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18</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29.454</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54</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33.961</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锅炉房北侧为农田，东侧为产品库，南侧为浓缩车间，西侧为维修间。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二、项目总投资</w:t>
            </w:r>
            <w:r>
              <w:rPr>
                <w:rFonts w:hint="eastAsia" w:ascii="宋体" w:hAnsi="宋体" w:cs="宋体"/>
                <w:kern w:val="0"/>
                <w:sz w:val="28"/>
                <w:szCs w:val="28"/>
                <w:lang w:val="en-US" w:eastAsia="zh-CN"/>
              </w:rPr>
              <w:t>95</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5</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在现有厂区锅炉房进行技改，拆除现有一台</w:t>
            </w:r>
            <w:r>
              <w:rPr>
                <w:rFonts w:hint="eastAsia" w:ascii="宋体" w:hAnsi="宋体" w:cs="宋体"/>
                <w:color w:val="auto"/>
                <w:kern w:val="0"/>
                <w:sz w:val="28"/>
                <w:szCs w:val="28"/>
                <w:lang w:val="en-US" w:eastAsia="zh-CN"/>
              </w:rPr>
              <w:t>8t/h的燃气锅炉，安装2台4t/h的燃气锅炉，</w:t>
            </w:r>
            <w:r>
              <w:rPr>
                <w:rFonts w:hint="eastAsia" w:ascii="宋体" w:hAnsi="宋体" w:cs="宋体"/>
                <w:kern w:val="0"/>
                <w:sz w:val="28"/>
                <w:szCs w:val="28"/>
                <w:lang w:val="en-US" w:eastAsia="zh-CN"/>
              </w:rPr>
              <w:t>每台锅炉配套1台燃烧机、1台风机、1台水泵；其余生产设备不发生变化，技改完成后，产品产能及生产工艺保持不变。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7"/>
              <w:keepNext w:val="0"/>
              <w:keepLines w:val="0"/>
              <w:pageBreakBefore w:val="0"/>
              <w:widowControl w:val="0"/>
              <w:kinsoku/>
              <w:wordWrap/>
              <w:overflowPunct/>
              <w:topLinePunct w:val="0"/>
              <w:autoSpaceDE/>
              <w:autoSpaceDN/>
              <w:bidi w:val="0"/>
              <w:adjustRightInd/>
              <w:snapToGrid/>
              <w:spacing w:line="240" w:lineRule="auto"/>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项目产生的废气主要为锅炉运行过程中产生的天然气燃烧烟气，经锅炉自带的低氮燃烧装置处理后，最终由一根现有15m高排气筒（DA005）排放。废气排放执行标准为《锅炉大气污染物排放标准》（DB13/5161-2020）表1燃气锅炉大气污染物排放限值。</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本项目不产生生产废水，纯水制备系统产生的浓水，排入废水预处理车间清水池，经污水管网排入保定市众泉水务有限公司进一步处理，不外排。生活污水排入现有化粪池内，定期清掏</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本项目采用低噪声设备，基础减震，隔声等。执行《工业企业厂界环境噪声排放标准》（GB12348-2008)中2类标准要求。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本项目实施后，无固体废物产生；职工生活垃圾收集后由当地环卫部门定期清运。</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本次技改</w:t>
            </w:r>
            <w:bookmarkStart w:id="0" w:name="_GoBack"/>
            <w:bookmarkEnd w:id="0"/>
            <w:r>
              <w:rPr>
                <w:rFonts w:hint="eastAsia" w:ascii="宋体" w:hAnsi="宋体"/>
                <w:kern w:val="0"/>
                <w:sz w:val="28"/>
                <w:szCs w:val="28"/>
                <w:lang w:val="en-US" w:eastAsia="zh-CN"/>
              </w:rPr>
              <w:t>项目</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：0.271t/a、NO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：1.356t/a、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颗粒物：0.136</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600" w:firstLineChars="20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5040" w:firstLineChars="1800"/>
              <w:jc w:val="both"/>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3</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22</w:t>
            </w:r>
            <w:r>
              <w:rPr>
                <w:rFonts w:hint="eastAsia" w:ascii="宋体" w:hAnsi="宋体"/>
                <w:kern w:val="0"/>
                <w:sz w:val="28"/>
                <w:szCs w:val="28"/>
              </w:rPr>
              <w:t>日</w:t>
            </w:r>
            <w:r>
              <w:rPr>
                <w:rFonts w:hint="eastAsia" w:ascii="宋体" w:hAnsi="宋体"/>
                <w:kern w:val="0"/>
                <w:sz w:val="24"/>
                <w:szCs w:val="24"/>
              </w:rPr>
              <w:t xml:space="preserve">  </w:t>
            </w:r>
            <w:r>
              <w:rPr>
                <w:rFonts w:hint="eastAsia" w:ascii="宋体" w:hAnsi="宋体"/>
                <w:kern w:val="0"/>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24766"/>
    <w:rsid w:val="03971ADE"/>
    <w:rsid w:val="06A452F3"/>
    <w:rsid w:val="081D5FDD"/>
    <w:rsid w:val="091B7034"/>
    <w:rsid w:val="0D1B43DE"/>
    <w:rsid w:val="0F272626"/>
    <w:rsid w:val="1538044B"/>
    <w:rsid w:val="163F0F8C"/>
    <w:rsid w:val="182D46C7"/>
    <w:rsid w:val="199F7CE3"/>
    <w:rsid w:val="1B666D00"/>
    <w:rsid w:val="25024F94"/>
    <w:rsid w:val="250E4D31"/>
    <w:rsid w:val="2DB15CAE"/>
    <w:rsid w:val="3115503D"/>
    <w:rsid w:val="35201E7C"/>
    <w:rsid w:val="35C94DE1"/>
    <w:rsid w:val="3A752260"/>
    <w:rsid w:val="3BC3771B"/>
    <w:rsid w:val="3EC63CED"/>
    <w:rsid w:val="3ECB3C78"/>
    <w:rsid w:val="3F00761E"/>
    <w:rsid w:val="40401A4C"/>
    <w:rsid w:val="489626EC"/>
    <w:rsid w:val="48A80F78"/>
    <w:rsid w:val="48FA6B24"/>
    <w:rsid w:val="4AE40FF5"/>
    <w:rsid w:val="4C3D2024"/>
    <w:rsid w:val="4DF773C8"/>
    <w:rsid w:val="4E116D69"/>
    <w:rsid w:val="4F964C9E"/>
    <w:rsid w:val="50881791"/>
    <w:rsid w:val="50F12ED2"/>
    <w:rsid w:val="52DE207B"/>
    <w:rsid w:val="53151358"/>
    <w:rsid w:val="5494169E"/>
    <w:rsid w:val="58395C1E"/>
    <w:rsid w:val="59A11E3C"/>
    <w:rsid w:val="5DEB125C"/>
    <w:rsid w:val="5E8A741D"/>
    <w:rsid w:val="6332564A"/>
    <w:rsid w:val="64AD75AE"/>
    <w:rsid w:val="64BE0654"/>
    <w:rsid w:val="65BF1702"/>
    <w:rsid w:val="66D97640"/>
    <w:rsid w:val="6D04247D"/>
    <w:rsid w:val="75D479FE"/>
    <w:rsid w:val="785A79D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Lenovo</cp:lastModifiedBy>
  <cp:lastPrinted>2023-03-20T00:41:35Z</cp:lastPrinted>
  <dcterms:modified xsi:type="dcterms:W3CDTF">2023-03-20T00:44:33Z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2AE9245C19424555A77F366B169C38C1</vt:lpwstr>
  </property>
</Properties>
</file>