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4"/>
                <w:szCs w:val="24"/>
              </w:rPr>
            </w:pPr>
            <w:r>
              <w:rPr>
                <w:rFonts w:hint="eastAsia" w:ascii="宋体" w:hAnsi="宋体" w:eastAsia="宋体" w:cs="宋体"/>
                <w:b w:val="0"/>
                <w:bCs w:val="0"/>
                <w:kern w:val="0"/>
                <w:sz w:val="24"/>
                <w:szCs w:val="24"/>
              </w:rPr>
              <w:t>审批意见</w:t>
            </w:r>
            <w:r>
              <w:rPr>
                <w:rFonts w:hint="eastAsia" w:ascii="宋体" w:hAnsi="宋体"/>
                <w:b w:val="0"/>
                <w:bCs w:val="0"/>
                <w:kern w:val="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463" w:firstLineChars="193"/>
              <w:jc w:val="right"/>
              <w:textAlignment w:val="auto"/>
              <w:rPr>
                <w:rFonts w:hint="eastAsia" w:ascii="宋体" w:hAnsi="宋体"/>
                <w:kern w:val="0"/>
                <w:sz w:val="24"/>
                <w:szCs w:val="24"/>
              </w:rPr>
            </w:pPr>
            <w:r>
              <w:rPr>
                <w:rFonts w:hint="eastAsia" w:ascii="宋体" w:hAnsi="宋体"/>
                <w:kern w:val="0"/>
                <w:sz w:val="24"/>
                <w:szCs w:val="24"/>
              </w:rPr>
              <w:t>保满审环表字〔2023〕</w:t>
            </w:r>
            <w:r>
              <w:rPr>
                <w:rFonts w:hint="eastAsia" w:ascii="宋体" w:hAnsi="宋体"/>
                <w:kern w:val="0"/>
                <w:sz w:val="24"/>
                <w:szCs w:val="24"/>
                <w:lang w:val="en-US" w:eastAsia="zh-CN"/>
              </w:rPr>
              <w:t>06</w:t>
            </w:r>
            <w:r>
              <w:rPr>
                <w:rFonts w:hint="eastAsia" w:ascii="宋体" w:hAnsi="宋体"/>
                <w:kern w:val="0"/>
                <w:sz w:val="24"/>
                <w:szCs w:val="24"/>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所报《</w:t>
            </w:r>
            <w:r>
              <w:rPr>
                <w:rFonts w:hint="eastAsia" w:ascii="宋体" w:hAnsi="宋体" w:cs="宋体"/>
                <w:kern w:val="0"/>
                <w:sz w:val="24"/>
                <w:szCs w:val="24"/>
                <w:lang w:val="en-US" w:eastAsia="zh-CN"/>
              </w:rPr>
              <w:t>保定市华珍食品加工有限公司技改扩建项目</w:t>
            </w:r>
            <w:r>
              <w:rPr>
                <w:rFonts w:hint="eastAsia" w:ascii="宋体" w:hAnsi="宋体" w:eastAsia="宋体" w:cs="宋体"/>
                <w:kern w:val="0"/>
                <w:sz w:val="24"/>
                <w:szCs w:val="24"/>
              </w:rPr>
              <w:t>环境影响报告表》收</w:t>
            </w:r>
            <w:r>
              <w:rPr>
                <w:rFonts w:hint="eastAsia" w:ascii="宋体" w:hAnsi="宋体" w:eastAsia="宋体" w:cs="宋体"/>
                <w:kern w:val="0"/>
                <w:sz w:val="24"/>
                <w:szCs w:val="24"/>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cs="宋体"/>
                <w:kern w:val="0"/>
                <w:sz w:val="24"/>
                <w:szCs w:val="24"/>
                <w:lang w:val="en-US" w:eastAsia="zh-CN"/>
              </w:rPr>
            </w:pPr>
            <w:r>
              <w:rPr>
                <w:rFonts w:hint="eastAsia" w:ascii="宋体" w:hAnsi="宋体" w:eastAsia="宋体" w:cs="宋体"/>
                <w:kern w:val="0"/>
                <w:sz w:val="24"/>
                <w:szCs w:val="24"/>
                <w:lang w:val="en-US" w:eastAsia="zh-CN"/>
              </w:rPr>
              <w:t>项目位于满城区</w:t>
            </w:r>
            <w:r>
              <w:rPr>
                <w:rFonts w:hint="eastAsia" w:ascii="宋体" w:hAnsi="宋体" w:cs="宋体"/>
                <w:kern w:val="0"/>
                <w:sz w:val="24"/>
                <w:szCs w:val="24"/>
                <w:lang w:val="en-US" w:eastAsia="zh-CN"/>
              </w:rPr>
              <w:t>于家庄镇李铁庄村，利用现有厂区及建筑进行技改扩建</w:t>
            </w:r>
            <w:r>
              <w:rPr>
                <w:rFonts w:hint="eastAsia" w:ascii="宋体" w:hAnsi="宋体" w:eastAsia="宋体" w:cs="宋体"/>
                <w:kern w:val="0"/>
                <w:sz w:val="24"/>
                <w:szCs w:val="24"/>
                <w:lang w:val="en-US" w:eastAsia="zh-CN"/>
              </w:rPr>
              <w:t>，中心坐标为东经 115°</w:t>
            </w:r>
            <w:r>
              <w:rPr>
                <w:rFonts w:hint="eastAsia" w:ascii="宋体" w:hAnsi="宋体" w:cs="宋体"/>
                <w:kern w:val="0"/>
                <w:sz w:val="24"/>
                <w:szCs w:val="24"/>
                <w:lang w:val="en-US" w:eastAsia="zh-CN"/>
              </w:rPr>
              <w:t>29</w:t>
            </w: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58.055</w:t>
            </w:r>
            <w:r>
              <w:rPr>
                <w:rFonts w:hint="eastAsia" w:ascii="宋体" w:hAnsi="宋体" w:eastAsia="宋体" w:cs="宋体"/>
                <w:kern w:val="0"/>
                <w:sz w:val="24"/>
                <w:szCs w:val="24"/>
                <w:lang w:val="en-US" w:eastAsia="zh-CN"/>
              </w:rPr>
              <w:t>″，北纬</w:t>
            </w:r>
            <w:r>
              <w:rPr>
                <w:rFonts w:hint="eastAsia" w:ascii="宋体" w:hAnsi="宋体" w:cs="宋体"/>
                <w:kern w:val="0"/>
                <w:sz w:val="24"/>
                <w:szCs w:val="24"/>
                <w:lang w:val="en-US" w:eastAsia="zh-CN"/>
              </w:rPr>
              <w:t>38</w:t>
            </w:r>
            <w:r>
              <w:rPr>
                <w:rFonts w:hint="default" w:ascii="宋体" w:hAnsi="宋体" w:eastAsia="宋体" w:cs="宋体"/>
                <w:kern w:val="0"/>
                <w:sz w:val="24"/>
                <w:szCs w:val="24"/>
                <w:lang w:val="en-US" w:eastAsia="zh-CN"/>
              </w:rPr>
              <w:t>°</w:t>
            </w:r>
            <w:r>
              <w:rPr>
                <w:rFonts w:hint="eastAsia" w:ascii="宋体" w:hAnsi="宋体" w:cs="宋体"/>
                <w:kern w:val="0"/>
                <w:sz w:val="24"/>
                <w:szCs w:val="24"/>
                <w:lang w:val="en-US" w:eastAsia="zh-CN"/>
              </w:rPr>
              <w:t>50</w:t>
            </w:r>
            <w:r>
              <w:rPr>
                <w:rFonts w:hint="default" w:ascii="宋体" w:hAnsi="宋体" w:eastAsia="宋体" w:cs="宋体"/>
                <w:kern w:val="0"/>
                <w:sz w:val="24"/>
                <w:szCs w:val="24"/>
                <w:lang w:val="en-US" w:eastAsia="zh-CN"/>
              </w:rPr>
              <w:t>′</w:t>
            </w:r>
            <w:r>
              <w:rPr>
                <w:rFonts w:hint="eastAsia" w:ascii="宋体" w:hAnsi="宋体" w:cs="宋体"/>
                <w:kern w:val="0"/>
                <w:sz w:val="24"/>
                <w:szCs w:val="24"/>
                <w:lang w:val="en-US" w:eastAsia="zh-CN"/>
              </w:rPr>
              <w:t>28.787</w:t>
            </w:r>
            <w:r>
              <w:rPr>
                <w:rFonts w:hint="default" w:ascii="宋体" w:hAnsi="宋体" w:eastAsia="宋体" w:cs="宋体"/>
                <w:kern w:val="0"/>
                <w:sz w:val="24"/>
                <w:szCs w:val="24"/>
                <w:lang w:val="en-US" w:eastAsia="zh-CN"/>
              </w:rPr>
              <w:t>″</w:t>
            </w: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厂区东侧为印刷厂，西侧为木器厂，南侧为农田，北侧为村公路。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二、项目总投资</w:t>
            </w:r>
            <w:r>
              <w:rPr>
                <w:rFonts w:hint="eastAsia" w:ascii="宋体" w:hAnsi="宋体" w:cs="宋体"/>
                <w:kern w:val="0"/>
                <w:sz w:val="24"/>
                <w:szCs w:val="24"/>
                <w:lang w:val="en-US" w:eastAsia="zh-CN"/>
              </w:rPr>
              <w:t>1000</w:t>
            </w:r>
            <w:r>
              <w:rPr>
                <w:rFonts w:hint="eastAsia" w:ascii="宋体" w:hAnsi="宋体" w:eastAsia="宋体" w:cs="宋体"/>
                <w:kern w:val="0"/>
                <w:sz w:val="24"/>
                <w:szCs w:val="24"/>
                <w:lang w:val="en-US" w:eastAsia="zh-CN"/>
              </w:rPr>
              <w:t>万元，其中环保投资</w:t>
            </w:r>
            <w:r>
              <w:rPr>
                <w:rFonts w:hint="eastAsia" w:ascii="宋体" w:hAnsi="宋体" w:cs="宋体"/>
                <w:kern w:val="0"/>
                <w:sz w:val="24"/>
                <w:szCs w:val="24"/>
                <w:lang w:val="en-US" w:eastAsia="zh-CN"/>
              </w:rPr>
              <w:t>50</w:t>
            </w:r>
            <w:r>
              <w:rPr>
                <w:rFonts w:hint="eastAsia" w:ascii="宋体" w:hAnsi="宋体" w:eastAsia="宋体" w:cs="宋体"/>
                <w:kern w:val="0"/>
                <w:sz w:val="24"/>
                <w:szCs w:val="24"/>
                <w:lang w:val="en-US" w:eastAsia="zh-CN"/>
              </w:rPr>
              <w:t>万元。</w:t>
            </w:r>
            <w:r>
              <w:rPr>
                <w:rFonts w:hint="eastAsia" w:ascii="宋体" w:hAnsi="宋体" w:cs="宋体"/>
                <w:kern w:val="0"/>
                <w:sz w:val="24"/>
                <w:szCs w:val="24"/>
                <w:lang w:val="en-US" w:eastAsia="zh-CN"/>
              </w:rPr>
              <w:t>利用现有厂区及建筑，购置安装提升机、筛选机、电炒锅、油罐等生产设备49台/套及相关辅助设备，技改扩建完成后年产香油900吨、芝麻酱800吨、熟芝麻3000吨。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kern w:val="0"/>
                <w:sz w:val="24"/>
                <w:szCs w:val="24"/>
              </w:rPr>
            </w:pPr>
            <w:r>
              <w:rPr>
                <w:rFonts w:hint="eastAsia" w:ascii="宋体" w:hAnsi="宋体" w:eastAsia="宋体" w:cs="宋体"/>
                <w:kern w:val="0"/>
                <w:sz w:val="24"/>
                <w:szCs w:val="24"/>
                <w:lang w:val="en-US" w:eastAsia="zh-CN"/>
              </w:rPr>
              <w:t>三、你单位在建设及运营过程中要严格按本项目环境影响报告表规定的内容，认真落实各项污染防治措施，确保</w:t>
            </w:r>
            <w:r>
              <w:rPr>
                <w:rFonts w:hint="eastAsia" w:ascii="宋体" w:hAnsi="宋体"/>
                <w:kern w:val="0"/>
                <w:sz w:val="24"/>
                <w:szCs w:val="24"/>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原料预处理过程中产生的废气经密闭管道/集气罩+布袋式除尘器（TA001-TA003）处理后通过15米高排气筒（DA001）排放，排放标准执行《大气污染物综合排放标准》（GB16297-1996）表2二级标准要求；炒制过程中产生的燃烧废气经低氮燃烧技术处理后通过15米高排气筒（DA002）排放，排放标准执行《工业炉窑大气污染物排放标准》（DB13/16-2012），同时满足《工业炉窑大气污染综合治理方案》（环大气[2019]56号）中重点区域排放标准要求；焙炒产生的废气经密闭管道/集气罩+喷淋塔（TA004）处理后通过15米高排气筒（DA003）排放，排放标准执行《恶臭污染物排放标准》（GB14554-93）表2标准要求；电炒锅冷却废气经密闭管道+布袋除尘器（TA005）处理后通过15米高排气筒（DA003）排放，排放标准执行《大气污染物综合排放标准》（GB16297-1996）表2二级标准要求；转筒式烘炒机冷却废气经密闭管道+旋风式除尘器（TA006）处理后通过15米高排气筒（DA004）排放，排放标准执行《大气污染物综合排放标准》（GB16297-1996）表2二级标准要求。厂界无组织废气执行《恶臭污染物排放标准》（GB14554-93）表1中厂界新扩改建二级限值要求，颗粒物执行《大气污染物综合排放标准》（GB16297-1996）表2无组织排放限值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Times New Roman"/>
                <w:sz w:val="24"/>
                <w:szCs w:val="24"/>
                <w:highlight w:val="none"/>
                <w:lang w:val="en-US" w:eastAsia="zh-CN"/>
              </w:rPr>
            </w:pPr>
            <w:r>
              <w:rPr>
                <w:rFonts w:hint="eastAsia" w:ascii="宋体" w:hAnsi="宋体" w:cs="Times New Roman"/>
                <w:sz w:val="24"/>
                <w:szCs w:val="24"/>
                <w:highlight w:val="none"/>
                <w:lang w:val="en-US" w:eastAsia="zh-CN"/>
              </w:rPr>
              <w:t>本项目产生的生产废水经厂区污水处理站处理后，罐车定期外排</w:t>
            </w:r>
            <w:bookmarkStart w:id="0" w:name="_GoBack"/>
            <w:bookmarkEnd w:id="0"/>
            <w:r>
              <w:rPr>
                <w:rFonts w:hint="eastAsia" w:ascii="宋体" w:hAnsi="宋体" w:cs="Times New Roman"/>
                <w:sz w:val="24"/>
                <w:szCs w:val="24"/>
                <w:highlight w:val="none"/>
                <w:lang w:val="en-US" w:eastAsia="zh-CN"/>
              </w:rPr>
              <w:t>农田灌溉，排放标准执行《农田灌溉水质标准》（GB 5084-2021）表1旱地作物标准要求；生活污水排入厂区化粪池，定期清掏用作农肥，不外排</w:t>
            </w:r>
            <w:r>
              <w:rPr>
                <w:rFonts w:hint="eastAsia" w:ascii="宋体" w:hAnsi="宋体" w:eastAsia="宋体" w:cs="Times New Roman"/>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本项目采用低噪声设备，基础减震，厂房隔声和合理布局、风机软连接等降噪措施。满足《工业企业厂界环境噪声排放标准》（GB12348-2008)中2类标准要求。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Times New Roman"/>
                <w:sz w:val="24"/>
                <w:szCs w:val="24"/>
                <w:highlight w:val="none"/>
                <w:lang w:val="en-US" w:eastAsia="zh-CN"/>
              </w:rPr>
            </w:pPr>
            <w:r>
              <w:rPr>
                <w:rFonts w:hint="eastAsia" w:ascii="宋体" w:hAnsi="宋体" w:cs="Times New Roman"/>
                <w:sz w:val="24"/>
                <w:szCs w:val="24"/>
                <w:highlight w:val="none"/>
                <w:lang w:val="en-US" w:eastAsia="zh-CN"/>
              </w:rPr>
              <w:t>扩建项目产生的固体废物主要为原料杂质（瘪粒、坏粒）、喷淋塔底泥、污水处理底泥、除尘器收尘灰，统一收集后定点存放，定期外售；石屑用作道路填料；职工生活垃圾收集后由当地环卫部门定期清运。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480" w:firstLineChars="200"/>
              <w:jc w:val="both"/>
              <w:textAlignment w:val="auto"/>
              <w:rPr>
                <w:rFonts w:hint="eastAsia" w:ascii="宋体" w:hAnsi="宋体" w:eastAsia="宋体" w:cs="Times New Roman"/>
                <w:kern w:val="0"/>
                <w:sz w:val="24"/>
                <w:szCs w:val="24"/>
              </w:rPr>
            </w:pPr>
            <w:r>
              <w:rPr>
                <w:rFonts w:hint="eastAsia" w:ascii="宋体" w:hAnsi="宋体"/>
                <w:kern w:val="0"/>
                <w:sz w:val="24"/>
                <w:szCs w:val="24"/>
                <w:lang w:val="en-US" w:eastAsia="zh-CN"/>
              </w:rPr>
              <w:t>项目改扩建完成后</w:t>
            </w:r>
            <w:r>
              <w:rPr>
                <w:rFonts w:hint="eastAsia" w:ascii="宋体" w:hAnsi="宋体"/>
                <w:sz w:val="24"/>
                <w:szCs w:val="24"/>
              </w:rPr>
              <w:t>污染物排放总量控制指标为</w:t>
            </w:r>
            <w:r>
              <w:rPr>
                <w:rFonts w:hint="eastAsia" w:ascii="宋体" w:hAnsi="宋体"/>
                <w:kern w:val="0"/>
                <w:sz w:val="24"/>
                <w:szCs w:val="24"/>
              </w:rPr>
              <w:t>：</w:t>
            </w:r>
            <w:r>
              <w:rPr>
                <w:rFonts w:hint="eastAsia" w:ascii="宋体" w:hAnsi="宋体"/>
                <w:kern w:val="0"/>
                <w:sz w:val="24"/>
                <w:szCs w:val="24"/>
                <w:vertAlign w:val="baseline"/>
                <w:lang w:val="en-US" w:eastAsia="zh-CN"/>
              </w:rPr>
              <w:t>COD：0t/a、氨氮：0t/a、</w:t>
            </w:r>
            <w:r>
              <w:rPr>
                <w:rFonts w:hint="eastAsia" w:ascii="宋体" w:hAnsi="宋体"/>
                <w:kern w:val="0"/>
                <w:sz w:val="24"/>
                <w:szCs w:val="24"/>
                <w:lang w:val="en-US" w:eastAsia="zh-CN"/>
              </w:rPr>
              <w:t>总氮：</w:t>
            </w:r>
            <w:r>
              <w:rPr>
                <w:rFonts w:hint="eastAsia" w:ascii="宋体" w:hAnsi="宋体"/>
                <w:kern w:val="0"/>
                <w:sz w:val="24"/>
                <w:szCs w:val="24"/>
              </w:rPr>
              <w:t>0t/a</w:t>
            </w:r>
            <w:r>
              <w:rPr>
                <w:rFonts w:hint="eastAsia" w:ascii="宋体" w:hAnsi="宋体"/>
                <w:kern w:val="0"/>
                <w:sz w:val="24"/>
                <w:szCs w:val="24"/>
                <w:lang w:eastAsia="zh-CN"/>
              </w:rPr>
              <w:t>，</w:t>
            </w:r>
            <w:r>
              <w:rPr>
                <w:rFonts w:hint="eastAsia" w:ascii="宋体" w:hAnsi="宋体"/>
                <w:kern w:val="0"/>
                <w:sz w:val="24"/>
                <w:szCs w:val="24"/>
                <w:lang w:val="en-US" w:eastAsia="zh-CN"/>
              </w:rPr>
              <w:t>总磷：</w:t>
            </w:r>
            <w:r>
              <w:rPr>
                <w:rFonts w:hint="eastAsia" w:ascii="宋体" w:hAnsi="宋体"/>
                <w:kern w:val="0"/>
                <w:sz w:val="24"/>
                <w:szCs w:val="24"/>
              </w:rPr>
              <w:t>0t/a</w:t>
            </w:r>
            <w:r>
              <w:rPr>
                <w:rFonts w:hint="eastAsia" w:ascii="宋体" w:hAnsi="宋体"/>
                <w:kern w:val="0"/>
                <w:sz w:val="24"/>
                <w:szCs w:val="24"/>
                <w:lang w:eastAsia="zh-CN"/>
              </w:rPr>
              <w:t>、</w:t>
            </w:r>
            <w:r>
              <w:rPr>
                <w:rFonts w:hint="eastAsia" w:ascii="宋体" w:hAnsi="宋体"/>
                <w:kern w:val="0"/>
                <w:sz w:val="24"/>
                <w:szCs w:val="24"/>
                <w:lang w:val="en-US" w:eastAsia="zh-CN"/>
              </w:rPr>
              <w:t>SO</w:t>
            </w:r>
            <w:r>
              <w:rPr>
                <w:rFonts w:hint="eastAsia" w:ascii="宋体" w:hAnsi="宋体"/>
                <w:kern w:val="0"/>
                <w:sz w:val="24"/>
                <w:szCs w:val="24"/>
                <w:vertAlign w:val="subscript"/>
                <w:lang w:val="en-US" w:eastAsia="zh-CN"/>
              </w:rPr>
              <w:t>2</w:t>
            </w:r>
            <w:r>
              <w:rPr>
                <w:rFonts w:hint="eastAsia" w:ascii="宋体" w:hAnsi="宋体"/>
                <w:kern w:val="0"/>
                <w:sz w:val="24"/>
                <w:szCs w:val="24"/>
                <w:lang w:val="en-US" w:eastAsia="zh-CN"/>
              </w:rPr>
              <w:t>：0.012t/a、NO</w:t>
            </w:r>
            <w:r>
              <w:rPr>
                <w:rFonts w:hint="eastAsia" w:ascii="宋体" w:hAnsi="宋体"/>
                <w:kern w:val="0"/>
                <w:sz w:val="24"/>
                <w:szCs w:val="24"/>
                <w:vertAlign w:val="subscript"/>
                <w:lang w:val="en-US" w:eastAsia="zh-CN"/>
              </w:rPr>
              <w:t>X</w:t>
            </w:r>
            <w:r>
              <w:rPr>
                <w:rFonts w:hint="eastAsia" w:ascii="宋体" w:hAnsi="宋体"/>
                <w:kern w:val="0"/>
                <w:sz w:val="24"/>
                <w:szCs w:val="24"/>
                <w:lang w:val="en-US" w:eastAsia="zh-CN"/>
              </w:rPr>
              <w:t>：0.048t/a、</w:t>
            </w:r>
            <w:r>
              <w:rPr>
                <w:rFonts w:hint="eastAsia" w:ascii="宋体" w:hAnsi="宋体"/>
                <w:kern w:val="0"/>
                <w:sz w:val="24"/>
                <w:szCs w:val="24"/>
                <w:vertAlign w:val="baseline"/>
                <w:lang w:val="en-US" w:eastAsia="zh-CN"/>
              </w:rPr>
              <w:t>VOC</w:t>
            </w:r>
            <w:r>
              <w:rPr>
                <w:rFonts w:hint="eastAsia" w:ascii="宋体" w:hAnsi="宋体"/>
                <w:kern w:val="0"/>
                <w:sz w:val="24"/>
                <w:szCs w:val="24"/>
                <w:vertAlign w:val="subscript"/>
                <w:lang w:val="en-US" w:eastAsia="zh-CN"/>
              </w:rPr>
              <w:t>s</w:t>
            </w:r>
            <w:r>
              <w:rPr>
                <w:rFonts w:hint="eastAsia" w:ascii="宋体" w:hAnsi="宋体"/>
                <w:kern w:val="0"/>
                <w:sz w:val="24"/>
                <w:szCs w:val="24"/>
                <w:vertAlign w:val="baseline"/>
                <w:lang w:val="en-US" w:eastAsia="zh-CN"/>
              </w:rPr>
              <w:t>：0t/a、</w:t>
            </w:r>
            <w:r>
              <w:rPr>
                <w:rFonts w:hint="eastAsia" w:ascii="宋体" w:hAnsi="宋体"/>
                <w:kern w:val="0"/>
                <w:sz w:val="24"/>
                <w:szCs w:val="24"/>
                <w:lang w:val="en-US" w:eastAsia="zh-CN"/>
              </w:rPr>
              <w:t>颗粒物：0.109</w:t>
            </w:r>
            <w:r>
              <w:rPr>
                <w:rFonts w:hint="eastAsia" w:ascii="宋体" w:hAnsi="宋体"/>
                <w:kern w:val="0"/>
                <w:sz w:val="24"/>
                <w:szCs w:val="24"/>
              </w:rPr>
              <w:t>t/a</w:t>
            </w:r>
            <w:r>
              <w:rPr>
                <w:rFonts w:hint="eastAsia" w:ascii="宋体" w:hAnsi="宋体"/>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480" w:firstLineChars="200"/>
              <w:jc w:val="both"/>
              <w:textAlignment w:val="auto"/>
              <w:rPr>
                <w:rFonts w:hint="eastAsia" w:ascii="宋体" w:hAnsi="宋体"/>
                <w:kern w:val="0"/>
                <w:sz w:val="24"/>
                <w:szCs w:val="24"/>
              </w:rPr>
            </w:pPr>
            <w:r>
              <w:rPr>
                <w:rFonts w:hint="eastAsia" w:ascii="宋体" w:hAnsi="宋体"/>
                <w:kern w:val="0"/>
                <w:sz w:val="24"/>
                <w:szCs w:val="24"/>
                <w:lang w:eastAsia="zh-CN"/>
              </w:rPr>
              <w:t>五、</w:t>
            </w:r>
            <w:r>
              <w:rPr>
                <w:rFonts w:hint="eastAsia" w:ascii="宋体" w:hAnsi="宋体"/>
                <w:kern w:val="0"/>
                <w:sz w:val="24"/>
                <w:szCs w:val="24"/>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4"/>
                <w:szCs w:val="24"/>
                <w:lang w:val="en-US" w:eastAsia="zh-CN"/>
              </w:rPr>
            </w:pPr>
            <w:r>
              <w:rPr>
                <w:rFonts w:hint="eastAsia" w:ascii="宋体" w:hAnsi="宋体"/>
                <w:kern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4800" w:firstLineChars="2000"/>
              <w:jc w:val="both"/>
              <w:textAlignment w:val="auto"/>
              <w:rPr>
                <w:rFonts w:hint="eastAsia" w:ascii="宋体" w:hAnsi="宋体"/>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760" w:firstLineChars="2400"/>
              <w:jc w:val="both"/>
              <w:textAlignment w:val="auto"/>
              <w:rPr>
                <w:rFonts w:hint="eastAsia" w:ascii="宋体" w:hAnsi="宋体"/>
                <w:kern w:val="0"/>
                <w:sz w:val="24"/>
                <w:szCs w:val="24"/>
              </w:rPr>
            </w:pPr>
            <w:r>
              <w:rPr>
                <w:rFonts w:hint="eastAsia" w:ascii="宋体" w:hAnsi="宋体"/>
                <w:kern w:val="0"/>
                <w:sz w:val="24"/>
                <w:szCs w:val="24"/>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280" w:firstLineChars="2200"/>
              <w:jc w:val="both"/>
              <w:textAlignment w:val="auto"/>
              <w:rPr>
                <w:rFonts w:hint="eastAsia" w:ascii="宋体" w:hAnsi="宋体"/>
                <w:kern w:val="0"/>
                <w:sz w:val="24"/>
                <w:szCs w:val="24"/>
              </w:rPr>
            </w:pPr>
            <w:r>
              <w:rPr>
                <w:rFonts w:hint="eastAsia" w:ascii="宋体" w:hAnsi="宋体"/>
                <w:kern w:val="0"/>
                <w:sz w:val="24"/>
                <w:szCs w:val="24"/>
              </w:rPr>
              <w:t>202</w:t>
            </w:r>
            <w:r>
              <w:rPr>
                <w:rFonts w:hint="eastAsia" w:ascii="宋体" w:hAnsi="宋体"/>
                <w:kern w:val="0"/>
                <w:sz w:val="24"/>
                <w:szCs w:val="24"/>
                <w:lang w:val="en-US" w:eastAsia="zh-CN"/>
              </w:rPr>
              <w:t>3</w:t>
            </w:r>
            <w:r>
              <w:rPr>
                <w:rFonts w:hint="eastAsia" w:ascii="宋体" w:hAnsi="宋体"/>
                <w:kern w:val="0"/>
                <w:sz w:val="24"/>
                <w:szCs w:val="24"/>
              </w:rPr>
              <w:t>年</w:t>
            </w:r>
            <w:r>
              <w:rPr>
                <w:rFonts w:hint="eastAsia" w:ascii="宋体" w:hAnsi="宋体"/>
                <w:kern w:val="0"/>
                <w:sz w:val="24"/>
                <w:szCs w:val="24"/>
                <w:lang w:val="en-US" w:eastAsia="zh-CN"/>
              </w:rPr>
              <w:t>5</w:t>
            </w:r>
            <w:r>
              <w:rPr>
                <w:rFonts w:hint="eastAsia" w:ascii="宋体" w:hAnsi="宋体"/>
                <w:kern w:val="0"/>
                <w:sz w:val="24"/>
                <w:szCs w:val="24"/>
              </w:rPr>
              <w:t>月</w:t>
            </w:r>
            <w:r>
              <w:rPr>
                <w:rFonts w:hint="eastAsia" w:ascii="宋体" w:hAnsi="宋体"/>
                <w:kern w:val="0"/>
                <w:sz w:val="24"/>
                <w:szCs w:val="24"/>
                <w:lang w:val="en-US" w:eastAsia="zh-CN"/>
              </w:rPr>
              <w:t>26</w:t>
            </w:r>
            <w:r>
              <w:rPr>
                <w:rFonts w:hint="eastAsia" w:ascii="宋体" w:hAnsi="宋体"/>
                <w:kern w:val="0"/>
                <w:sz w:val="24"/>
                <w:szCs w:val="24"/>
              </w:rPr>
              <w:t xml:space="preserve">日         </w:t>
            </w:r>
            <w:r>
              <w:rPr>
                <w:rFonts w:hint="eastAsia" w:ascii="宋体" w:hAnsi="宋体"/>
                <w:kern w:val="0"/>
                <w:sz w:val="28"/>
                <w:szCs w:val="28"/>
              </w:rPr>
              <w:t xml:space="preserve">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2C02766"/>
    <w:rsid w:val="02EA7B19"/>
    <w:rsid w:val="03824766"/>
    <w:rsid w:val="03971ADE"/>
    <w:rsid w:val="06A452F3"/>
    <w:rsid w:val="081D5FDD"/>
    <w:rsid w:val="091B7034"/>
    <w:rsid w:val="0D1B43DE"/>
    <w:rsid w:val="0DA72878"/>
    <w:rsid w:val="0DCD38ED"/>
    <w:rsid w:val="0F0C63FF"/>
    <w:rsid w:val="0F272626"/>
    <w:rsid w:val="1538044B"/>
    <w:rsid w:val="163F0F8C"/>
    <w:rsid w:val="1818127D"/>
    <w:rsid w:val="182D46C7"/>
    <w:rsid w:val="199F7CE3"/>
    <w:rsid w:val="1B666D00"/>
    <w:rsid w:val="25024F94"/>
    <w:rsid w:val="250E4D31"/>
    <w:rsid w:val="25150E52"/>
    <w:rsid w:val="252E1F46"/>
    <w:rsid w:val="26D94133"/>
    <w:rsid w:val="2ADE14E1"/>
    <w:rsid w:val="2C524131"/>
    <w:rsid w:val="2C610CF3"/>
    <w:rsid w:val="2D0265E5"/>
    <w:rsid w:val="2DB15CAE"/>
    <w:rsid w:val="3115503D"/>
    <w:rsid w:val="32BF6348"/>
    <w:rsid w:val="35201E7C"/>
    <w:rsid w:val="35C94DE1"/>
    <w:rsid w:val="36625046"/>
    <w:rsid w:val="38B45F56"/>
    <w:rsid w:val="39E369CD"/>
    <w:rsid w:val="3A752260"/>
    <w:rsid w:val="3ADE123E"/>
    <w:rsid w:val="3BC3771B"/>
    <w:rsid w:val="3EC63CED"/>
    <w:rsid w:val="3ECB3C78"/>
    <w:rsid w:val="3F00761E"/>
    <w:rsid w:val="3F137220"/>
    <w:rsid w:val="40401A4C"/>
    <w:rsid w:val="40585073"/>
    <w:rsid w:val="40B44D1D"/>
    <w:rsid w:val="410031B9"/>
    <w:rsid w:val="413101BF"/>
    <w:rsid w:val="43EF5FAD"/>
    <w:rsid w:val="44BF3856"/>
    <w:rsid w:val="453B263A"/>
    <w:rsid w:val="488A5A4F"/>
    <w:rsid w:val="489626EC"/>
    <w:rsid w:val="48A80F78"/>
    <w:rsid w:val="48FA6B24"/>
    <w:rsid w:val="4AE40FF5"/>
    <w:rsid w:val="4C3D2024"/>
    <w:rsid w:val="4D050856"/>
    <w:rsid w:val="4D3919C1"/>
    <w:rsid w:val="4DF773C8"/>
    <w:rsid w:val="4E116D69"/>
    <w:rsid w:val="4E632B75"/>
    <w:rsid w:val="4ED70AF3"/>
    <w:rsid w:val="4F964C9E"/>
    <w:rsid w:val="50881791"/>
    <w:rsid w:val="50F12ED2"/>
    <w:rsid w:val="52DE207B"/>
    <w:rsid w:val="53151358"/>
    <w:rsid w:val="5494169E"/>
    <w:rsid w:val="54B73083"/>
    <w:rsid w:val="58395C1E"/>
    <w:rsid w:val="59A11E3C"/>
    <w:rsid w:val="5BB2630E"/>
    <w:rsid w:val="5DC22821"/>
    <w:rsid w:val="5DDE0E6F"/>
    <w:rsid w:val="5DEB125C"/>
    <w:rsid w:val="5E8A741D"/>
    <w:rsid w:val="605F012B"/>
    <w:rsid w:val="60ED68FB"/>
    <w:rsid w:val="6332564A"/>
    <w:rsid w:val="64AD75AE"/>
    <w:rsid w:val="64BE0654"/>
    <w:rsid w:val="65BF1702"/>
    <w:rsid w:val="66D97640"/>
    <w:rsid w:val="67D802F2"/>
    <w:rsid w:val="68CC04F2"/>
    <w:rsid w:val="69151074"/>
    <w:rsid w:val="6A8F43AC"/>
    <w:rsid w:val="6D04247D"/>
    <w:rsid w:val="6F710337"/>
    <w:rsid w:val="6F765C38"/>
    <w:rsid w:val="754D3B48"/>
    <w:rsid w:val="75D479FE"/>
    <w:rsid w:val="785A79DE"/>
    <w:rsid w:val="788F4EB2"/>
    <w:rsid w:val="7D5A7895"/>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2023-05-25T02:31:00Z</cp:lastPrinted>
  <dcterms:modified xsi:type="dcterms:W3CDTF">2023-05-25T06:55:08Z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117D973DEC2942238DE034EE9E86B3EF</vt:lpwstr>
  </property>
</Properties>
</file>