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ind w:firstLine="2200" w:firstLineChars="500"/>
        <w:jc w:val="both"/>
        <w:rPr>
          <w:rFonts w:hint="eastAsia"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lang w:eastAsia="zh-CN"/>
        </w:rPr>
        <w:t>保定市满城区统计局</w:t>
      </w:r>
    </w:p>
    <w:p>
      <w:pPr>
        <w:snapToGrid w:val="0"/>
        <w:jc w:val="center"/>
        <w:rPr>
          <w:rFonts w:hint="eastAsia" w:ascii="楷体_GB2312" w:hAnsi="楷体_GB2312" w:eastAsia="楷体_GB2312" w:cs="楷体_GB2312"/>
          <w:color w:val="000000"/>
          <w:kern w:val="0"/>
          <w:sz w:val="44"/>
          <w:szCs w:val="44"/>
        </w:rPr>
      </w:pP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区统计局是政府的组成部门，是区政府主管统计工作的综合经济部门，其主要职责是：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1.承担组织领导和协调管理全区统计工作，确保统计数据真实、准确、及时的责任。</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2.认真贯彻执行各项统计调查制度；监督检查统计法律、法规实施情况，指导全区统计工作。</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 3.组织完成国家和省、市部署的国情国力普查及重要调查任务，研究提出重大区情区力和抽样调查计划并组织实施，汇总、整理和提供有关区情区力方面的统计数据。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 4.组织实施农林牧渔业、农业产值、农产品产量、农业产业化、工业、能源、社会、人口、工资、科技、消费、价格、城镇劳动力、城镇就业、建筑业、固定资产投资、房地产开发、高新技术产业、批发和零售业、住宿和餐饮业、运输邮电业、其他服务业、服务业个体户、对外经济和旅游、民营经济、成品油流通、城市社会经济基本情况、社会经济基本情况、乡村社会经济、资源环境、服务业财务、规模以下工业抽样、企业（集</w:t>
      </w:r>
      <w:bookmarkStart w:id="0" w:name="_Hlt223863490"/>
      <w:r>
        <w:rPr>
          <w:rFonts w:hint="eastAsia" w:ascii="仿宋_GB2312" w:hAnsi="Calibri" w:eastAsia="仿宋_GB2312" w:cs="ArialUnicodeMS"/>
          <w:kern w:val="0"/>
          <w:sz w:val="32"/>
          <w:szCs w:val="32"/>
        </w:rPr>
        <w:t>团</w:t>
      </w:r>
      <w:bookmarkEnd w:id="0"/>
      <w:r>
        <w:rPr>
          <w:rFonts w:hint="eastAsia" w:ascii="仿宋_GB2312" w:hAnsi="Calibri" w:eastAsia="仿宋_GB2312" w:cs="ArialUnicodeMS"/>
          <w:kern w:val="0"/>
          <w:sz w:val="32"/>
          <w:szCs w:val="32"/>
        </w:rPr>
        <w:t>）、城镇</w:t>
      </w:r>
      <w:bookmarkStart w:id="1" w:name="_Hlt223863034"/>
      <w:r>
        <w:rPr>
          <w:rFonts w:hint="eastAsia" w:ascii="仿宋_GB2312" w:hAnsi="Calibri" w:eastAsia="仿宋_GB2312" w:cs="ArialUnicodeMS"/>
          <w:kern w:val="0"/>
          <w:sz w:val="32"/>
          <w:szCs w:val="32"/>
        </w:rPr>
        <w:t>和农村</w:t>
      </w:r>
      <w:bookmarkStart w:id="2" w:name="_Hlt223863449"/>
      <w:r>
        <w:rPr>
          <w:rFonts w:hint="eastAsia" w:ascii="仿宋_GB2312" w:hAnsi="Calibri" w:eastAsia="仿宋_GB2312" w:cs="ArialUnicodeMS"/>
          <w:kern w:val="0"/>
          <w:sz w:val="32"/>
          <w:szCs w:val="32"/>
        </w:rPr>
        <w:t>住</w:t>
      </w:r>
      <w:bookmarkEnd w:id="2"/>
      <w:bookmarkStart w:id="3" w:name="_Hlt223863447"/>
      <w:r>
        <w:rPr>
          <w:rFonts w:hint="eastAsia" w:ascii="仿宋_GB2312" w:hAnsi="Calibri" w:eastAsia="仿宋_GB2312" w:cs="ArialUnicodeMS"/>
          <w:kern w:val="0"/>
          <w:sz w:val="32"/>
          <w:szCs w:val="32"/>
        </w:rPr>
        <w:t>户</w:t>
      </w:r>
      <w:bookmarkEnd w:id="1"/>
      <w:bookmarkEnd w:id="3"/>
      <w:r>
        <w:rPr>
          <w:rFonts w:hint="eastAsia" w:ascii="仿宋_GB2312" w:hAnsi="Calibri" w:eastAsia="仿宋_GB2312" w:cs="ArialUnicodeMS"/>
          <w:kern w:val="0"/>
          <w:sz w:val="32"/>
          <w:szCs w:val="32"/>
        </w:rPr>
        <w:t>、经济社会重点问题等统计调查，收集、汇总、整理和提供统计数据。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5.组织实施社会发展水平、区域经济发展、节能降耗、城镇化发展、妇女儿童、资源循环利用、企业景气等统计监测，收集、整理和提供统计数据。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6.综合整理和提供财政、金融、出口、文化教育、卫生、社会保障、公用事业、房屋、对外贸易及引进内资等基本统计数据，定期发布全</w:t>
      </w:r>
      <w:r>
        <w:rPr>
          <w:rFonts w:hint="eastAsia" w:ascii="仿宋_GB2312" w:hAnsi="Calibri" w:eastAsia="仿宋_GB2312" w:cs="ArialUnicodeMS"/>
          <w:kern w:val="0"/>
          <w:sz w:val="32"/>
          <w:szCs w:val="32"/>
          <w:lang w:eastAsia="zh-CN"/>
        </w:rPr>
        <w:t>区</w:t>
      </w:r>
      <w:r>
        <w:rPr>
          <w:rFonts w:hint="eastAsia" w:ascii="仿宋_GB2312" w:hAnsi="Calibri" w:eastAsia="仿宋_GB2312" w:cs="ArialUnicodeMS"/>
          <w:kern w:val="0"/>
          <w:sz w:val="32"/>
          <w:szCs w:val="32"/>
        </w:rPr>
        <w:t>国民经济和社会发展情况的统计信息。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7.对国民经济、社会发展、科技进步等情况进行统计分析、统计预测和统计监督，向区委、区政府及有关部门提供统计信息和咨询建议。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8.依法承办、备案各部门统计调查项目、调查计划、调查方案；组织管理全区统计登记工作；指导专业统计基础工作、统计基层业务和规范化建设；组织建立统计信息管理制度，建立健全统计数据质量审核、监控和评估制度，开展对重要统计数据的审核、监控和评估。</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9.贯彻执行国家、省、市统计信息库和网络的基本标准和运行规则；管理全区统计信息自动化系统和统计数据库体系；管理全区统计数据库网络；指导全区统计信息化系统建设。</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10.指导全区统计专业技术队伍建设，配合、协助省、市统计局组织管理统计从业资格认定和持证上岗工作。</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11.承办区政府交办的其他事项。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保定市满城区统计局</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257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ind w:firstLine="57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 w:hAnsi="仿宋" w:eastAsia="仿宋" w:cs="仿宋"/>
          <w:sz w:val="28"/>
          <w:szCs w:val="28"/>
          <w:lang w:val="en-US" w:eastAsia="zh-CN"/>
        </w:rPr>
        <w:t>65.30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w:t>
      </w:r>
      <w:r>
        <w:rPr>
          <w:rFonts w:hint="eastAsia" w:ascii="仿宋" w:hAnsi="仿宋" w:eastAsia="仿宋" w:cs="仿宋"/>
          <w:sz w:val="28"/>
          <w:szCs w:val="28"/>
          <w:lang w:val="en-US" w:eastAsia="zh-CN"/>
        </w:rPr>
        <w:t>16.75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没有普查</w:t>
      </w:r>
      <w:r>
        <w:rPr>
          <w:rFonts w:hint="eastAsia" w:ascii="仿宋_GB2312" w:hAnsi="Times New Roman" w:eastAsia="仿宋_GB2312" w:cs="DengXian-Regular"/>
          <w:sz w:val="32"/>
          <w:szCs w:val="32"/>
          <w:lang w:val="en-US" w:eastAsia="zh-CN"/>
        </w:rPr>
        <w:t>经费，增加2名退休人员，人员工资减少</w:t>
      </w:r>
      <w:r>
        <w:rPr>
          <w:rFonts w:hint="eastAsia" w:ascii="仿宋_GB2312" w:hAnsi="Times New Roman" w:eastAsia="仿宋_GB2312" w:cs="DengXian-Regular"/>
          <w:sz w:val="32"/>
          <w:szCs w:val="32"/>
        </w:rPr>
        <w:t>。支出总计（含结转和结余）</w:t>
      </w:r>
      <w:r>
        <w:rPr>
          <w:rFonts w:hint="default" w:ascii="仿宋" w:hAnsi="仿宋" w:eastAsia="仿宋" w:cs="仿宋"/>
          <w:sz w:val="28"/>
          <w:szCs w:val="28"/>
          <w:lang w:val="en-US" w:eastAsia="zh-CN"/>
        </w:rPr>
        <w:t>324.58</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 w:hAnsi="仿宋" w:eastAsia="仿宋" w:cs="仿宋"/>
          <w:sz w:val="28"/>
          <w:szCs w:val="28"/>
          <w:lang w:val="en-US" w:eastAsia="zh-CN"/>
        </w:rPr>
        <w:t>65.30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w:t>
      </w:r>
      <w:r>
        <w:rPr>
          <w:rFonts w:hint="eastAsia" w:ascii="仿宋" w:hAnsi="仿宋" w:eastAsia="仿宋" w:cs="仿宋"/>
          <w:sz w:val="28"/>
          <w:szCs w:val="28"/>
          <w:lang w:val="en-US" w:eastAsia="zh-CN"/>
        </w:rPr>
        <w:t>16.75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没有普查</w:t>
      </w:r>
      <w:r>
        <w:rPr>
          <w:rFonts w:hint="eastAsia" w:ascii="仿宋_GB2312" w:hAnsi="Times New Roman" w:eastAsia="仿宋_GB2312" w:cs="DengXian-Regular"/>
          <w:sz w:val="32"/>
          <w:szCs w:val="32"/>
          <w:lang w:val="en-US" w:eastAsia="zh-CN"/>
        </w:rPr>
        <w:t>经费，增加2名退休人员，人员工资减少。</w:t>
      </w:r>
    </w:p>
    <w:p>
      <w:pPr>
        <w:adjustRightInd w:val="0"/>
        <w:snapToGrid w:val="0"/>
        <w:spacing w:line="580" w:lineRule="exact"/>
        <w:ind w:firstLine="640" w:firstLineChars="2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万元，其中：财政拨款收入</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3" o:spid="_x0000_s1063" o:spt="203" style="position:absolute;left:0pt;margin-left:71.65pt;margin-top:19.55pt;height:217.5pt;width:308.75pt;z-index:251670528;mso-width-relative:page;mso-height-relative:page;" coordorigin="6817,180284" coordsize="5156,3464203">
            <o:lock v:ext="edit"/>
            <v:shape id="图片 1" o:spid="_x0000_s1064" o:spt="75" type="#_x0000_t75" style="position:absolute;left:6817;top:180284;height:2988;width:5156;" filled="f" o:preferrelative="t" stroked="f" coordsize="21600,21600">
              <v:path/>
              <v:fill on="f" focussize="0,0"/>
              <v:stroke on="f" joinstyle="miter"/>
              <v:imagedata r:id="rId14" cropleft="2131f" croptop="1490f" cropright="1218f" cropbottom="5217f" o:title=""/>
              <o:lock v:ext="edit" aspectratio="t"/>
            </v:shape>
            <v:shape id="文本框 32" o:spid="_x0000_s1065"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万元，其中：基本支出</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项目支出0万元，占0%。</w:t>
      </w:r>
    </w:p>
    <w:p>
      <w:pPr>
        <w:adjustRightInd w:val="0"/>
        <w:snapToGrid w:val="0"/>
        <w:spacing w:line="580" w:lineRule="exact"/>
        <w:ind w:firstLine="1260" w:firstLineChars="600"/>
        <w:rPr>
          <w:rFonts w:ascii="仿宋_GB2312" w:hAnsi="Times New Roman" w:eastAsia="仿宋_GB2312" w:cs="DengXian-Regular"/>
          <w:sz w:val="32"/>
          <w:szCs w:val="32"/>
        </w:rPr>
      </w:pPr>
      <w:r>
        <w:pict>
          <v:group id="_x0000_s1066" o:spid="_x0000_s1066" o:spt="203" style="position:absolute;left:0pt;margin-left:58.35pt;margin-top:-21.2pt;height:192.85pt;width:287.95pt;z-index:-251646976;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4"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ind w:firstLine="57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 w:hAnsi="仿宋" w:eastAsia="仿宋" w:cs="仿宋"/>
          <w:sz w:val="28"/>
          <w:szCs w:val="28"/>
          <w:lang w:val="en-US" w:eastAsia="zh-CN"/>
        </w:rPr>
        <w:t>65.30</w:t>
      </w:r>
      <w:r>
        <w:rPr>
          <w:rFonts w:hint="eastAsia" w:ascii="仿宋_GB2312" w:hAnsi="Times New Roman" w:eastAsia="仿宋_GB2312" w:cs="DengXian-Regular"/>
          <w:sz w:val="32"/>
          <w:szCs w:val="32"/>
        </w:rPr>
        <w:t>万元，降低</w:t>
      </w:r>
      <w:r>
        <w:rPr>
          <w:rFonts w:hint="eastAsia" w:ascii="仿宋" w:hAnsi="仿宋" w:eastAsia="仿宋" w:cs="仿宋"/>
          <w:sz w:val="28"/>
          <w:szCs w:val="28"/>
          <w:lang w:val="en-US" w:eastAsia="zh-CN"/>
        </w:rPr>
        <w:t>16.75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没有普查</w:t>
      </w:r>
      <w:r>
        <w:rPr>
          <w:rFonts w:hint="eastAsia" w:ascii="仿宋_GB2312" w:hAnsi="Times New Roman" w:eastAsia="仿宋_GB2312" w:cs="DengXian-Regular"/>
          <w:sz w:val="32"/>
          <w:szCs w:val="32"/>
          <w:lang w:val="en-US" w:eastAsia="zh-CN"/>
        </w:rPr>
        <w:t>经费，增加2名退休人员，人员工资减少</w:t>
      </w:r>
      <w:r>
        <w:rPr>
          <w:rFonts w:hint="eastAsia" w:ascii="仿宋_GB2312" w:hAnsi="Times New Roman" w:eastAsia="仿宋_GB2312" w:cs="DengXian-Regular"/>
          <w:sz w:val="32"/>
          <w:szCs w:val="32"/>
        </w:rPr>
        <w:t>；本年支出</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万元，减少</w:t>
      </w:r>
      <w:r>
        <w:rPr>
          <w:rFonts w:hint="eastAsia" w:ascii="仿宋" w:hAnsi="仿宋" w:eastAsia="仿宋" w:cs="仿宋"/>
          <w:sz w:val="28"/>
          <w:szCs w:val="28"/>
          <w:lang w:val="en-US" w:eastAsia="zh-CN"/>
        </w:rPr>
        <w:t>65.30</w:t>
      </w:r>
      <w:r>
        <w:rPr>
          <w:rFonts w:hint="eastAsia" w:ascii="仿宋_GB2312" w:hAnsi="Times New Roman" w:eastAsia="仿宋_GB2312" w:cs="DengXian-Regular"/>
          <w:sz w:val="32"/>
          <w:szCs w:val="32"/>
        </w:rPr>
        <w:t>万元，降低</w:t>
      </w:r>
      <w:r>
        <w:rPr>
          <w:rFonts w:hint="eastAsia" w:ascii="仿宋" w:hAnsi="仿宋" w:eastAsia="仿宋" w:cs="仿宋"/>
          <w:sz w:val="28"/>
          <w:szCs w:val="28"/>
          <w:lang w:val="en-US" w:eastAsia="zh-CN"/>
        </w:rPr>
        <w:t>16.75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没有普查</w:t>
      </w:r>
      <w:r>
        <w:rPr>
          <w:rFonts w:hint="eastAsia" w:ascii="仿宋_GB2312" w:hAnsi="Times New Roman" w:eastAsia="仿宋_GB2312" w:cs="DengXian-Regular"/>
          <w:sz w:val="32"/>
          <w:szCs w:val="32"/>
          <w:lang w:val="en-US" w:eastAsia="zh-CN"/>
        </w:rPr>
        <w:t>经费，增加2名退休人员，人员工资减少</w:t>
      </w:r>
      <w:r>
        <w:rPr>
          <w:rFonts w:hint="eastAsia" w:ascii="仿宋_GB2312" w:hAnsi="Times New Roman" w:eastAsia="仿宋_GB2312" w:cs="DengXian-Regular"/>
          <w:sz w:val="32"/>
          <w:szCs w:val="32"/>
        </w:rPr>
        <w:t>。</w:t>
      </w:r>
    </w:p>
    <w:p>
      <w:pPr>
        <w:snapToGrid w:val="0"/>
        <w:spacing w:line="580" w:lineRule="exact"/>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94.18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20.06</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行政运行费用减少，</w:t>
      </w:r>
      <w:r>
        <w:rPr>
          <w:rFonts w:hint="eastAsia" w:ascii="仿宋_GB2312" w:hAnsi="Times New Roman" w:eastAsia="仿宋_GB2312" w:cs="DengXian-Regular"/>
          <w:sz w:val="32"/>
          <w:szCs w:val="32"/>
          <w:lang w:val="en-US" w:eastAsia="zh-CN"/>
        </w:rPr>
        <w:t>2019年退休人员2名，均为上半年退休，年初预算为全年工资费用，因此本年财政拨款收入小于年初预算</w:t>
      </w:r>
      <w:r>
        <w:rPr>
          <w:rFonts w:hint="eastAsia" w:ascii="仿宋_GB2312" w:hAnsi="Times New Roman" w:eastAsia="仿宋_GB2312" w:cs="DengXian-Regular"/>
          <w:sz w:val="32"/>
          <w:szCs w:val="32"/>
        </w:rPr>
        <w:t>；本年支出</w:t>
      </w:r>
      <w:r>
        <w:rPr>
          <w:rFonts w:hint="default" w:ascii="仿宋" w:hAnsi="仿宋" w:eastAsia="仿宋" w:cs="仿宋"/>
          <w:sz w:val="28"/>
          <w:szCs w:val="28"/>
        </w:rPr>
        <w:t>324.58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94.18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20.06</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行政运行费用减少，</w:t>
      </w:r>
      <w:r>
        <w:rPr>
          <w:rFonts w:hint="eastAsia" w:ascii="仿宋_GB2312" w:hAnsi="Times New Roman" w:eastAsia="仿宋_GB2312" w:cs="DengXian-Regular"/>
          <w:sz w:val="32"/>
          <w:szCs w:val="32"/>
          <w:lang w:val="en-US" w:eastAsia="zh-CN"/>
        </w:rPr>
        <w:t>2019年退休人员2名，均为上半年退休，年初预算为全年工资费用，因此本年支出小于年初预算</w:t>
      </w:r>
      <w:r>
        <w:rPr>
          <w:rFonts w:hint="eastAsia" w:ascii="仿宋_GB2312" w:hAnsi="Times New Roman" w:eastAsia="仿宋_GB2312" w:cs="DengXian-Regular"/>
          <w:sz w:val="32"/>
          <w:szCs w:val="32"/>
        </w:rPr>
        <w:t>。</w:t>
      </w:r>
    </w:p>
    <w:p>
      <w:pPr>
        <w:adjustRightInd w:val="0"/>
        <w:snapToGrid w:val="0"/>
        <w:spacing w:line="580" w:lineRule="exact"/>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324.58</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261.23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80.48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38.96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14.46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4.46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卫生健康支出</w:t>
      </w:r>
      <w:r>
        <w:rPr>
          <w:rFonts w:hint="eastAsia" w:ascii="仿宋_GB2312" w:hAnsi="Times New Roman" w:eastAsia="仿宋_GB2312" w:cs="DengXian-Regular"/>
          <w:sz w:val="32"/>
          <w:szCs w:val="32"/>
          <w:lang w:val="en-US" w:eastAsia="zh-CN"/>
        </w:rPr>
        <w:t>9.93万元，占3.06%</w:t>
      </w:r>
      <w:r>
        <w:rPr>
          <w:rFonts w:hint="eastAsia" w:ascii="仿宋_GB2312" w:hAnsi="Times New Roman" w:eastAsia="仿宋_GB2312" w:cs="DengXian-Regular"/>
          <w:sz w:val="32"/>
          <w:szCs w:val="32"/>
        </w:rPr>
        <w:t>。</w:t>
      </w:r>
      <w:r>
        <w:pict>
          <v:group id="_x0000_s1069" o:spid="_x0000_s1069" o:spt="203" style="position:absolute;left:0pt;margin-left:77.25pt;margin-top:16.6pt;height:173.95pt;width:281.6pt;z-index:-251644928;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4"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324.58</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260.82</w:t>
      </w:r>
      <w:r>
        <w:rPr>
          <w:rFonts w:hint="eastAsia" w:ascii="仿宋_GB2312" w:hAnsi="Times New Roman" w:eastAsia="仿宋_GB2312" w:cs="DengXian-Regular"/>
          <w:sz w:val="32"/>
          <w:szCs w:val="32"/>
        </w:rPr>
        <w:t>万元，主要包括基本工资、津贴补贴、奖金、绩效工资、机关事业单位基本养老保险缴费、职工基本医疗保险缴费、住房公积金、其他社会保障缴费、其他工资福利支出、退休费、生活补助、奖励金、其他对个人和家庭的补助支出；公用经费</w:t>
      </w:r>
      <w:r>
        <w:rPr>
          <w:rFonts w:hint="eastAsia" w:ascii="仿宋_GB2312" w:hAnsi="Times New Roman" w:eastAsia="仿宋_GB2312" w:cs="DengXian-Regular"/>
          <w:sz w:val="32"/>
          <w:szCs w:val="32"/>
          <w:lang w:val="en-US" w:eastAsia="zh-CN"/>
        </w:rPr>
        <w:t>63.76</w:t>
      </w:r>
      <w:r>
        <w:rPr>
          <w:rFonts w:hint="eastAsia" w:ascii="仿宋_GB2312" w:hAnsi="Times New Roman" w:eastAsia="仿宋_GB2312" w:cs="DengXian-Regular"/>
          <w:sz w:val="32"/>
          <w:szCs w:val="32"/>
        </w:rPr>
        <w:t>万元，主要包括办公费、印刷费、水费、电费、邮电费、差旅费、公务接待费、劳务费、公务用车运行维护费、其他交通费用、其他商品和服务支出、信息网络及软件购置更新。</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2.97</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99.7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0.30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厉行节约，减少三公经费支出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0.</w:t>
      </w:r>
      <w:r>
        <w:rPr>
          <w:rFonts w:hint="eastAsia" w:ascii="仿宋" w:hAnsi="仿宋" w:eastAsia="仿宋" w:cs="仿宋"/>
          <w:sz w:val="28"/>
          <w:szCs w:val="28"/>
          <w:lang w:val="en-US" w:eastAsia="zh-CN"/>
        </w:rPr>
        <w:t>75</w:t>
      </w:r>
      <w:r>
        <w:rPr>
          <w:rFonts w:hint="eastAsia" w:ascii="仿宋_GB2312" w:hAnsi="Times New Roman" w:eastAsia="仿宋_GB2312" w:cs="DengXian-Regular"/>
          <w:sz w:val="32"/>
          <w:szCs w:val="32"/>
        </w:rPr>
        <w:t>万元，增长</w:t>
      </w:r>
      <w:r>
        <w:rPr>
          <w:rFonts w:hint="eastAsia" w:ascii="仿宋" w:hAnsi="仿宋" w:eastAsia="仿宋" w:cs="仿宋"/>
          <w:sz w:val="28"/>
          <w:szCs w:val="28"/>
          <w:lang w:val="en-US" w:eastAsia="zh-CN"/>
        </w:rPr>
        <w:t>33.5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本年增加了经济普查数据查询和省市统计数据执法检查工作，因此公务用车和公务接待费用增加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eastAsia="楷体_GB2312" w:cs="DengXian-Bold"/>
          <w:b/>
          <w:bCs/>
          <w:sz w:val="32"/>
          <w:szCs w:val="32"/>
        </w:rPr>
        <w:t>（</w:t>
      </w:r>
      <w:r>
        <w:pict>
          <v:group id="_x0000_s1106" o:spid="_x0000_s1106" o:spt="203" style="position:absolute;left:0pt;margin-left:-79.5pt;margin-top:29.3pt;height:43.95pt;width:301.85pt;mso-position-vertical-relative:page;z-index:251675648;mso-width-relative:page;mso-height-relative:page;" coordorigin="4551,52615" coordsize="8546,1398">
            <o:lock v:ext="edit"/>
            <v:rect id="矩形 13" o:spid="_x0000_s1107" o:spt="1" style="position:absolute;left:4551;top:52615;height:1175;width:8546;v-text-anchor:middle;" fillcolor="#96DA9D" filled="t" stroked="f" coordsize="21600,21600">
              <v:path/>
              <v:fill on="t" focussize="0,0"/>
              <v:stroke on="f" weight="2pt"/>
              <v:imagedata o:title=""/>
              <o:lock v:ext="edit"/>
            </v:rect>
            <v:rect id="_x0000_s1108" o:spid="_x0000_s110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；较上年增加0万</w:t>
      </w:r>
      <w:bookmarkStart w:id="4" w:name="_GoBack"/>
      <w:bookmarkEnd w:id="4"/>
      <w:r>
        <w:rPr>
          <w:rFonts w:hint="eastAsia" w:ascii="仿宋_GB2312" w:hAnsi="Times New Roman" w:eastAsia="仿宋_GB2312" w:cs="DengXian-Regular"/>
          <w:sz w:val="32"/>
          <w:szCs w:val="32"/>
        </w:rPr>
        <w:t>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r>
        <w:rPr>
          <w:rFonts w:hint="eastAsia" w:ascii="楷体_GB2312" w:hAnsi="Times New Roman" w:eastAsia="楷体_GB2312" w:cs="DengXian-Bold"/>
          <w:b/>
          <w:bCs/>
          <w:sz w:val="32"/>
          <w:szCs w:val="32"/>
        </w:rPr>
        <w:t>（</w:t>
      </w:r>
      <w:r>
        <w:rPr>
          <w:rFonts w:hint="eastAsia" w:ascii="楷体_GB2312" w:hAnsi="Times New Roman" w:eastAsia="楷体_GB2312" w:cs="DengXian-Bold"/>
          <w:b/>
          <w:bCs/>
          <w:sz w:val="32"/>
          <w:szCs w:val="32"/>
          <w:lang w:eastAsia="zh-CN"/>
        </w:rPr>
        <w:t>二</w:t>
      </w:r>
      <w:r>
        <w:rPr>
          <w:rFonts w:hint="eastAsia" w:ascii="楷体_GB2312" w:hAnsi="Times New Roman" w:eastAsia="楷体_GB2312" w:cs="DengXian-Bold"/>
          <w:b/>
          <w:bCs/>
          <w:sz w:val="32"/>
          <w:szCs w:val="32"/>
        </w:rPr>
        <w:t>）公务用车购置及运行维护费支出</w:t>
      </w:r>
      <w:r>
        <w:rPr>
          <w:rFonts w:hint="eastAsia" w:ascii="楷体_GB2312" w:hAnsi="Times New Roman" w:eastAsia="楷体_GB2312" w:cs="DengXian-Bold"/>
          <w:b/>
          <w:bCs/>
          <w:sz w:val="32"/>
          <w:szCs w:val="32"/>
          <w:lang w:val="en-US" w:eastAsia="zh-CN"/>
        </w:rPr>
        <w:t>2.5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本年增加了经济普查数据查询和省市统计数据执法检查工作，因此公务用车费用增加，减少不必要的开支，实现了与预算数持平</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持平</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本年增加了经济普查数据查询和省市统计数据执法检查工作，因此公务用车费用增加，减少不必要的开支，实现了与上年持平</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公务用车购置费支出</w:t>
      </w:r>
      <w:r>
        <w:rPr>
          <w:rFonts w:hint="eastAsia" w:ascii="仿宋_GB2312" w:hAnsi="Times New Roman" w:eastAsia="仿宋_GB2312" w:cs="DengXian-Regular"/>
          <w:sz w:val="32"/>
          <w:szCs w:val="32"/>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本年增加了经济普查数据查询和省市统计数据执法检查工作，因此公务用车费用增加，减少不必要的开支，实现了与预算数持平</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，主要是较上年</w:t>
      </w:r>
      <w:r>
        <w:rPr>
          <w:rFonts w:hint="eastAsia" w:ascii="仿宋_GB2312" w:hAnsi="Times New Roman" w:eastAsia="仿宋_GB2312" w:cs="DengXian-Regular"/>
          <w:sz w:val="32"/>
          <w:szCs w:val="32"/>
          <w:lang w:eastAsia="zh-CN"/>
        </w:rPr>
        <w:t>持平</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本年增加了经济普查数据查询和省市统计数据执法检查工作，因此公务用车费用增加，减少不必要的开支，实现了与上年持平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0.47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11</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60</w:t>
      </w:r>
      <w:r>
        <w:rPr>
          <w:rFonts w:hint="eastAsia" w:ascii="仿宋_GB2312" w:hAnsi="Times New Roman" w:eastAsia="仿宋_GB2312" w:cs="DengXian-Regular"/>
          <w:sz w:val="32"/>
          <w:szCs w:val="32"/>
        </w:rPr>
        <w:t>人次。公务接待费支出较预算</w:t>
      </w:r>
      <w:r>
        <w:rPr>
          <w:rFonts w:hint="eastAsia" w:ascii="仿宋_GB2312" w:hAnsi="Times New Roman" w:eastAsia="仿宋_GB2312" w:cs="DengXian-Regular"/>
          <w:sz w:val="32"/>
          <w:szCs w:val="32"/>
          <w:lang w:eastAsia="zh-CN"/>
        </w:rPr>
        <w:t>持平</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虽然本年我单位公务接待较上年增加人次均较多，但本着厉行节约的原则，做到了与预算持平</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0.44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 w:hAnsi="仿宋" w:eastAsia="仿宋" w:cs="仿宋"/>
          <w:sz w:val="28"/>
          <w:szCs w:val="28"/>
          <w:lang w:val="en-US" w:eastAsia="zh-CN"/>
        </w:rPr>
        <w:t>1248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本年增加了经济普查数据查询和省市统计数据执法检查工作，因此公务接待费用增加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 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ind w:firstLine="643" w:firstLineChars="200"/>
        <w:rPr>
          <w:rFonts w:ascii="仿宋_GB2312" w:eastAsia="仿宋_GB2312" w:cs="DengXian-Regular"/>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r>
        <w:rPr>
          <w:rFonts w:hint="eastAsia" w:ascii="仿宋_GB2312" w:eastAsia="仿宋_GB2312" w:cs="DengXian-Regular"/>
          <w:sz w:val="32"/>
          <w:szCs w:val="32"/>
        </w:rPr>
        <w:t>在预算执行过程中，按时间和进度的绩效管理目标要求，合理安排资金的使用，保证了各项工作的顺利进行，较好的实现了预算项目绩效目标。</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w:t>
      </w:r>
      <w:r>
        <w:rPr>
          <w:rFonts w:hint="eastAsia" w:ascii="仿宋_GB2312" w:eastAsia="仿宋_GB2312" w:cs="DengXian-Regular"/>
          <w:sz w:val="32"/>
          <w:szCs w:val="32"/>
        </w:rPr>
        <w:t>本部门没有重点项目。</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63.76</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64.75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50.39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上年有经济普查费用，本年无此项支出</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63.76</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39.93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167.00</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本年增加了水电费用及劳务费的支出</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。其中，应急保障用车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ind w:firstLine="561"/>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我单位201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年末固定资产总额为</w:t>
      </w:r>
      <w:r>
        <w:rPr>
          <w:rFonts w:hint="eastAsia" w:ascii="仿宋_GB2312" w:hAnsi="Times New Roman" w:eastAsia="仿宋_GB2312" w:cs="DengXian-Regular"/>
          <w:sz w:val="32"/>
          <w:szCs w:val="32"/>
          <w:lang w:val="en-US" w:eastAsia="zh-CN"/>
        </w:rPr>
        <w:t>46.05万</w:t>
      </w:r>
      <w:r>
        <w:rPr>
          <w:rFonts w:hint="eastAsia" w:ascii="仿宋_GB2312" w:hAnsi="Times New Roman" w:eastAsia="仿宋_GB2312" w:cs="DengXian-Regular"/>
          <w:sz w:val="32"/>
          <w:szCs w:val="32"/>
        </w:rPr>
        <w:t>元，主要包括车辆1辆价值14.68万元及其他固定资产</w:t>
      </w:r>
      <w:r>
        <w:rPr>
          <w:rFonts w:hint="eastAsia" w:ascii="仿宋_GB2312" w:hAnsi="Times New Roman" w:eastAsia="仿宋_GB2312" w:cs="DengXian-Regular"/>
          <w:sz w:val="32"/>
          <w:szCs w:val="32"/>
          <w:lang w:val="en-US" w:eastAsia="zh-CN"/>
        </w:rPr>
        <w:t>31.37万</w:t>
      </w:r>
      <w:r>
        <w:rPr>
          <w:rFonts w:hint="eastAsia" w:ascii="仿宋_GB2312" w:hAnsi="Times New Roman" w:eastAsia="仿宋_GB2312" w:cs="DengXian-Regular"/>
          <w:sz w:val="32"/>
          <w:szCs w:val="32"/>
        </w:rPr>
        <w:t xml:space="preserve">元。 </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年资产变动情况：</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11台电脑（给乡镇配置），价值4.57万元。</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0.9万</w:t>
      </w:r>
      <w:r>
        <w:rPr>
          <w:rFonts w:hint="eastAsia" w:ascii="仿宋_GB2312" w:hAnsi="Times New Roman" w:eastAsia="仿宋_GB2312" w:cs="DengXian-Regular"/>
          <w:sz w:val="32"/>
          <w:szCs w:val="32"/>
        </w:rPr>
        <w:t>元，办公设备购置</w:t>
      </w:r>
      <w:r>
        <w:rPr>
          <w:rFonts w:hint="eastAsia" w:ascii="仿宋_GB2312" w:hAnsi="Times New Roman" w:eastAsia="仿宋_GB2312" w:cs="DengXian-Regular"/>
          <w:sz w:val="32"/>
          <w:szCs w:val="32"/>
          <w:lang w:val="en-US" w:eastAsia="zh-CN"/>
        </w:rPr>
        <w:t>0.9万</w:t>
      </w:r>
      <w:r>
        <w:rPr>
          <w:rFonts w:hint="eastAsia" w:ascii="仿宋_GB2312" w:hAnsi="Times New Roman" w:eastAsia="仿宋_GB2312" w:cs="DengXian-Regular"/>
          <w:sz w:val="32"/>
          <w:szCs w:val="32"/>
        </w:rPr>
        <w:t xml:space="preserve">元。  </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年度政府性基金预算财政拨款收入支出决算表无收支及结转结余情况，故政府性基金预算财政拨款收入支出决算表以空表列示</w:t>
      </w:r>
      <w:r>
        <w:rPr>
          <w:rFonts w:hint="eastAsia" w:ascii="仿宋_GB2312" w:hAnsi="Times New Roman" w:eastAsia="仿宋_GB2312" w:cs="DengXian-Regular"/>
          <w:sz w:val="32"/>
          <w:szCs w:val="32"/>
          <w:lang w:eastAsia="zh-CN"/>
        </w:rPr>
        <w:t>；</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无收支及结转结余情况</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故</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以空表列示</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3600;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324.58</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tabs>
                <w:tab w:val="left" w:pos="413"/>
                <w:tab w:val="right" w:pos="1154"/>
              </w:tabs>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261.23</w:t>
            </w: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38.96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9.93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14.46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324.58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324.58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324.58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324.58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580" w:type="dxa"/>
        <w:jc w:val="center"/>
        <w:tblLayout w:type="autofit"/>
        <w:tblCellMar>
          <w:top w:w="0" w:type="dxa"/>
          <w:left w:w="0" w:type="dxa"/>
          <w:bottom w:w="0" w:type="dxa"/>
          <w:right w:w="0" w:type="dxa"/>
        </w:tblCellMar>
      </w:tblPr>
      <w:tblGrid>
        <w:gridCol w:w="718"/>
        <w:gridCol w:w="41"/>
        <w:gridCol w:w="41"/>
        <w:gridCol w:w="3660"/>
        <w:gridCol w:w="999"/>
        <w:gridCol w:w="999"/>
        <w:gridCol w:w="644"/>
        <w:gridCol w:w="644"/>
        <w:gridCol w:w="644"/>
        <w:gridCol w:w="644"/>
        <w:gridCol w:w="645"/>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324.58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1" w:firstLineChars="100"/>
              <w:jc w:val="both"/>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324.58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261.23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261.23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统计信息事务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261.23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261.23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197.14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197.14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专项统计业务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统计管理</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2010550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事业运行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74"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74"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74"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74"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2093"/>
        <w:gridCol w:w="984"/>
        <w:gridCol w:w="766"/>
        <w:gridCol w:w="999"/>
        <w:gridCol w:w="1161"/>
        <w:gridCol w:w="1161"/>
        <w:gridCol w:w="1411"/>
      </w:tblGrid>
      <w:tr>
        <w:tblPrEx>
          <w:tblCellMar>
            <w:top w:w="0" w:type="dxa"/>
            <w:left w:w="0" w:type="dxa"/>
            <w:bottom w:w="0" w:type="dxa"/>
            <w:right w:w="0" w:type="dxa"/>
          </w:tblCellMar>
        </w:tblPrEx>
        <w:trPr>
          <w:trHeight w:val="539"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262"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2"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19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8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7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9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8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9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8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9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8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1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8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1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324.58</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324.58</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一般公共服务支出</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both"/>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261.23</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261.23</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统计信息事务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both"/>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261.23</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261.23</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2010501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行政运行</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both"/>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197.14</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197.14</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2010505</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专项统计业务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both"/>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13.00</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13.00</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2010506</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统计管理</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6.40</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6.40</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2010550</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事业运行</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44.7</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44.7</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社会保障和就业支出</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20805</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行政事业单位离退休</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2080505</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 机关事业单位基本养老保险缴费支出</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卫生健康支出</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9.93</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9.93</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21011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行政事业单位医疗</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9.93</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9.93</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2101101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  行政单位医疗</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8.61</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8.61</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2101102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  事业单位医疗</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1.32</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1.32</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221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住房保障支出</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22102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住房改革支出</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2210201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  住房公积金</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7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99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tbl>
      <w:tblPr>
        <w:tblStyle w:val="7"/>
        <w:tblW w:w="9534" w:type="dxa"/>
        <w:jc w:val="center"/>
        <w:tblLayout w:type="fixed"/>
        <w:tblCellMar>
          <w:top w:w="0" w:type="dxa"/>
          <w:left w:w="0" w:type="dxa"/>
          <w:bottom w:w="0" w:type="dxa"/>
          <w:right w:w="0" w:type="dxa"/>
        </w:tblCellMar>
      </w:tblPr>
      <w:tblGrid>
        <w:gridCol w:w="2922"/>
        <w:gridCol w:w="425"/>
        <w:gridCol w:w="755"/>
        <w:gridCol w:w="2853"/>
        <w:gridCol w:w="507"/>
        <w:gridCol w:w="705"/>
        <w:gridCol w:w="700"/>
        <w:gridCol w:w="667"/>
      </w:tblGrid>
      <w:tr>
        <w:tblPrEx>
          <w:tblCellMar>
            <w:top w:w="0" w:type="dxa"/>
            <w:left w:w="0" w:type="dxa"/>
            <w:bottom w:w="0" w:type="dxa"/>
            <w:right w:w="0" w:type="dxa"/>
          </w:tblCellMar>
        </w:tblPrEx>
        <w:trPr>
          <w:trHeight w:val="539" w:hRule="atLeast"/>
          <w:jc w:val="center"/>
        </w:trPr>
        <w:tc>
          <w:tcPr>
            <w:tcW w:w="9534"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7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7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0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432"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85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0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976"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85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324.58</w:t>
            </w: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261.23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261.23</w:t>
            </w: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38.96</w:t>
            </w: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9.93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9.93</w:t>
            </w: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14.46</w:t>
            </w: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324.58</w:t>
            </w: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324.58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324.58</w:t>
            </w: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324.58</w:t>
            </w:r>
          </w:p>
        </w:tc>
        <w:tc>
          <w:tcPr>
            <w:tcW w:w="28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324.58</w:t>
            </w:r>
          </w:p>
        </w:tc>
        <w:tc>
          <w:tcPr>
            <w:tcW w:w="6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34"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10088" w:type="dxa"/>
        <w:jc w:val="center"/>
        <w:tblLayout w:type="autofit"/>
        <w:tblCellMar>
          <w:top w:w="0" w:type="dxa"/>
          <w:left w:w="0" w:type="dxa"/>
          <w:bottom w:w="0" w:type="dxa"/>
          <w:right w:w="0" w:type="dxa"/>
        </w:tblCellMar>
      </w:tblPr>
      <w:tblGrid>
        <w:gridCol w:w="717"/>
        <w:gridCol w:w="42"/>
        <w:gridCol w:w="41"/>
        <w:gridCol w:w="3727"/>
        <w:gridCol w:w="2286"/>
        <w:gridCol w:w="2121"/>
        <w:gridCol w:w="1238"/>
      </w:tblGrid>
      <w:tr>
        <w:tblPrEx>
          <w:tblCellMar>
            <w:top w:w="0" w:type="dxa"/>
            <w:left w:w="0" w:type="dxa"/>
            <w:bottom w:w="0" w:type="dxa"/>
            <w:right w:w="0" w:type="dxa"/>
          </w:tblCellMar>
        </w:tblPrEx>
        <w:trPr>
          <w:trHeight w:val="600" w:hRule="atLeast"/>
          <w:jc w:val="center"/>
        </w:trPr>
        <w:tc>
          <w:tcPr>
            <w:tcW w:w="10088"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62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80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0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1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1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1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324.58</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324.58</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1540" w:firstLineChars="700"/>
              <w:jc w:val="both"/>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261.23</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261.23</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统计信息事务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1540" w:firstLineChars="700"/>
              <w:jc w:val="both"/>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261.23</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261.23</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1540" w:firstLineChars="700"/>
              <w:jc w:val="both"/>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197.14</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197.14</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专项统计业务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1540" w:firstLineChars="700"/>
              <w:jc w:val="both"/>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13.00</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13.00</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统计管理</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6.40</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6.40</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2010550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事业运行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44.7</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44.7</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38.96</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9.93</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9.93</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9.93</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9.93</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8.61</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8.61</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1.32</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1.32</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20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14.46</w:t>
            </w:r>
          </w:p>
        </w:tc>
        <w:tc>
          <w:tcPr>
            <w:tcW w:w="12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7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251.94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152.6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8.08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0.50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0.90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3.77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0.29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38.21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9.93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0.90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0.75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14.46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23.64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8.88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0.47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0.66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32.58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0.42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5.76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10.34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260.82</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63.77</w:t>
            </w:r>
          </w:p>
        </w:tc>
      </w:tr>
    </w:tbl>
    <w:p>
      <w:r>
        <w:br w:type="page"/>
      </w:r>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0.47</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2.97</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0.47</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本部门本年度无相关收入（或支出、收支及结转结余等）情况，按要求空表列示</w:t>
      </w:r>
      <w:r>
        <w:rPr>
          <w:rFonts w:hint="eastAsia" w:ascii="宋体" w:hAnsi="宋体" w:eastAsia="宋体" w:cs="宋体"/>
        </w:rPr>
        <w:br w:type="page"/>
      </w:r>
    </w:p>
    <w:tbl>
      <w:tblPr>
        <w:tblStyle w:val="7"/>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本部门本年度无相关收入（或支出、收支及结转结余等）情况，按要求空表列示</w:t>
      </w:r>
      <w:r>
        <w:br w:type="page"/>
      </w:r>
    </w:p>
    <w:p>
      <w:r>
        <w:pict>
          <v:rect id="_x0000_s1105" o:spid="_x0000_s1105" o:spt="1" style="position:absolute;left:0pt;margin-left:-70.5pt;margin-top:-85.25pt;height:841.15pt;width:595.1pt;z-index:251674624;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11E71022"/>
    <w:rsid w:val="185F29A3"/>
    <w:rsid w:val="1AC87C45"/>
    <w:rsid w:val="1BC03288"/>
    <w:rsid w:val="31C2036A"/>
    <w:rsid w:val="320D02A5"/>
    <w:rsid w:val="32C7097F"/>
    <w:rsid w:val="348E566F"/>
    <w:rsid w:val="3A226944"/>
    <w:rsid w:val="3AEE6A48"/>
    <w:rsid w:val="3C1620AA"/>
    <w:rsid w:val="3D8F080F"/>
    <w:rsid w:val="3DBF1C47"/>
    <w:rsid w:val="44CE1FA4"/>
    <w:rsid w:val="45C86169"/>
    <w:rsid w:val="487F73ED"/>
    <w:rsid w:val="4A347EAE"/>
    <w:rsid w:val="4B5B5620"/>
    <w:rsid w:val="52185524"/>
    <w:rsid w:val="52600405"/>
    <w:rsid w:val="529B4319"/>
    <w:rsid w:val="57773DD6"/>
    <w:rsid w:val="578B79AB"/>
    <w:rsid w:val="57C67B93"/>
    <w:rsid w:val="5A9B58D4"/>
    <w:rsid w:val="5CCD3FD5"/>
    <w:rsid w:val="61FA5F9D"/>
    <w:rsid w:val="64CD6910"/>
    <w:rsid w:val="6789158D"/>
    <w:rsid w:val="67D81BA4"/>
    <w:rsid w:val="6AAF1C96"/>
    <w:rsid w:val="73B76586"/>
    <w:rsid w:val="75681757"/>
    <w:rsid w:val="75A346A8"/>
    <w:rsid w:val="79B9382C"/>
    <w:rsid w:val="7B043B76"/>
    <w:rsid w:val="7C041A6A"/>
    <w:rsid w:val="7CCF1A7D"/>
    <w:rsid w:val="7CEE3D9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Plain Text"/>
    <w:basedOn w:val="1"/>
    <w:qFormat/>
    <w:uiPriority w:val="0"/>
    <w:rPr>
      <w:rFonts w:ascii="宋体" w:hAnsi="Courier New" w:cs="Courier New"/>
      <w:szCs w:val="21"/>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Heading 1 Char"/>
    <w:basedOn w:val="9"/>
    <w:link w:val="2"/>
    <w:qFormat/>
    <w:uiPriority w:val="9"/>
    <w:rPr>
      <w:rFonts w:ascii="等线" w:hAnsi="等线" w:eastAsia="等线"/>
      <w:b/>
      <w:bCs/>
      <w:kern w:val="44"/>
      <w:sz w:val="44"/>
      <w:szCs w:val="44"/>
    </w:rPr>
  </w:style>
  <w:style w:type="character" w:customStyle="1" w:styleId="11">
    <w:name w:val="Body Text Char"/>
    <w:basedOn w:val="9"/>
    <w:link w:val="3"/>
    <w:semiHidden/>
    <w:qFormat/>
    <w:uiPriority w:val="99"/>
    <w:rPr>
      <w:rFonts w:ascii="等线" w:hAnsi="等线" w:eastAsia="等线"/>
    </w:rPr>
  </w:style>
  <w:style w:type="character" w:customStyle="1" w:styleId="12">
    <w:name w:val="Footer Char"/>
    <w:basedOn w:val="9"/>
    <w:link w:val="5"/>
    <w:qFormat/>
    <w:locked/>
    <w:uiPriority w:val="99"/>
    <w:rPr>
      <w:rFonts w:cs="Times New Roman"/>
      <w:sz w:val="18"/>
      <w:szCs w:val="18"/>
    </w:rPr>
  </w:style>
  <w:style w:type="character" w:customStyle="1" w:styleId="13">
    <w:name w:val="Header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64"/>
    <customShpInfo spid="_x0000_s1065"/>
    <customShpInfo spid="_x0000_s1063"/>
    <customShpInfo spid="_x0000_s1067"/>
    <customShpInfo spid="_x0000_s1068"/>
    <customShpInfo spid="_x0000_s1066"/>
    <customShpInfo spid="_x0000_s1070"/>
    <customShpInfo spid="_x0000_s1071"/>
    <customShpInfo spid="_x0000_s1069"/>
    <customShpInfo spid="_x0000_s1107"/>
    <customShpInfo spid="_x0000_s1108"/>
    <customShpInfo spid="_x0000_s1106"/>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7</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2023-05-30T02:24:14Z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F9BEAEF4009F456AB2694531F08C66AE</vt:lpwstr>
  </property>
</Properties>
</file>