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pict>
          <v:shape id="图片 7" o:spid="_x0000_s1026" o:spt="75" alt="wc ga" type="#_x0000_t75" style="position:absolute;left:0pt;margin-left:-78.75pt;margin-top:-106.7pt;height:850.15pt;width:596.6pt;z-index:-251656192;mso-width-relative:page;mso-height-relative:page;" filled="f" o:preferrelative="t" stroked="f" coordsize="21600,21600">
            <v:path/>
            <v:fill on="f" focussize="0,0"/>
            <v:stroke on="f" joinstyle="miter"/>
            <v:imagedata r:id="rId6" o:title=""/>
            <o:lock v:ext="edit" aspectratio="t"/>
          </v:shape>
        </w:pict>
      </w:r>
    </w:p>
    <w:p>
      <w:pPr>
        <w:widowControl/>
        <w:jc w:val="center"/>
        <w:rPr>
          <w:rFonts w:ascii="黑体" w:hAnsi="宋体" w:eastAsia="黑体"/>
          <w:color w:val="002060"/>
          <w:sz w:val="72"/>
          <w:szCs w:val="72"/>
        </w:rPr>
      </w:pPr>
      <w:r>
        <w:pict>
          <v:shape id="文本框 8" o:spid="_x0000_s1027" o:spt="202" type="#_x0000_t202" style="position:absolute;left:0pt;margin-left:-83.1pt;margin-top:43.25pt;height:166.25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保定市满城区林业局</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rPr>
          <w:rFonts w:ascii="黑体" w:hAnsi="黑体" w:eastAsia="黑体"/>
          <w:b/>
          <w:sz w:val="72"/>
          <w:szCs w:val="72"/>
        </w:rPr>
      </w:pP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二〇一九年十一月</w:t>
      </w:r>
    </w:p>
    <w:p>
      <w:pPr>
        <w:widowControl/>
        <w:spacing w:after="0" w:line="600" w:lineRule="exact"/>
        <w:jc w:val="left"/>
        <w:rPr>
          <w:rFonts w:ascii="楷体" w:hAnsi="楷体" w:eastAsia="楷体" w:cs="楷体"/>
          <w:sz w:val="32"/>
          <w:szCs w:val="32"/>
          <w:highlight w:val="yellow"/>
        </w:rPr>
      </w:pPr>
    </w:p>
    <w:p>
      <w:pPr>
        <w:spacing w:beforeLines="200" w:after="0" w:line="1000" w:lineRule="exact"/>
        <w:jc w:val="center"/>
        <w:rPr>
          <w:rFonts w:ascii="黑体" w:eastAsia="黑体"/>
          <w:sz w:val="48"/>
          <w:szCs w:val="48"/>
        </w:rPr>
      </w:pPr>
      <w:r>
        <w:pict>
          <v:group id="组合 179" o:spid="_x0000_s1028" o:spt="203" style="position:absolute;left:0pt;margin-left:-80.8pt;margin-top:39.95pt;height:46.7pt;width:250.05pt;mso-position-vertical-relative:page;z-index:251659264;mso-width-relative:page;mso-height-relative:page;" coordorigin="4551,52615" coordsize="8546,1398" o:allowoverlap="f">
            <o:lock v:ext="edit"/>
            <v:rect id="矩形 13" o:spid="_x0000_s1029" o:spt="1" style="position:absolute;left:4551;top:52615;height:1175;width:8546;v-text-anchor:middle;" fillcolor="#96DA9D" filled="t" stroked="f" coordsize="21600,21600">
              <v:path/>
              <v:fill on="t" focussize="0,0"/>
              <v:stroke on="f" weight="2pt"/>
              <v:imagedata o:title=""/>
              <o:lock v:ext="edit"/>
            </v:rect>
            <v:rect id="矩形 14" o:spid="_x0000_s1030" o:spt="1" style="position:absolute;left:4577;top:52890;height:1123;width:8324;v-text-anchor:middle;" fillcolor="#AD002D" filled="t" stroked="t" coordsize="21600,21600">
              <v:path/>
              <v:fill on="t" focussize="0,0"/>
              <v:stroke weight="2pt" color="#845209"/>
              <v:imagedata o:title=""/>
              <o:lock v:ext="edit"/>
              <v:textbox>
                <w:txbxContent/>
              </v:textbox>
            </v:rect>
            <w10:anchorlock/>
          </v:group>
        </w:pic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r>
        <w:rPr>
          <w:rFonts w:eastAsia="仿宋_GB2312"/>
          <w:sz w:val="24"/>
          <w:szCs w:val="32"/>
        </w:rPr>
        <w:t xml:space="preserve"> </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rPr>
        <w:t>林业局部门</w:t>
      </w:r>
      <w:r>
        <w:rPr>
          <w:rFonts w:eastAsia="黑体"/>
          <w:sz w:val="32"/>
          <w:szCs w:val="32"/>
        </w:rPr>
        <w:t>2018</w:t>
      </w:r>
      <w:r>
        <w:rPr>
          <w:rFonts w:hint="eastAsia" w:eastAsia="黑体"/>
          <w:sz w:val="32"/>
          <w:szCs w:val="32"/>
        </w:rPr>
        <w:t>年部门决算情况说明</w:t>
      </w:r>
      <w:r>
        <w:pict>
          <v:group id="组合 176" o:spid="_x0000_s1031" o:spt="203" style="position:absolute;left:0pt;margin-left:-80.8pt;margin-top:38.95pt;height:46.7pt;width:222.8pt;mso-position-vertical-relative:page;z-index:251659264;mso-width-relative:page;mso-height-relative:page;" coordorigin="4551,52615" coordsize="8546,1398">
            <o:lock v:ext="edit"/>
            <v:rect id="矩形 13" o:spid="_x0000_s1032" o:spt="1" style="position:absolute;left:4551;top:52615;height:1175;width:8546;v-text-anchor:middle;" fillcolor="#96DA9D" filled="t" stroked="f" coordsize="21600,21600">
              <v:path/>
              <v:fill on="t" focussize="0,0"/>
              <v:stroke on="f" weight="2pt"/>
              <v:imagedata o:title=""/>
              <o:lock v:ext="edit"/>
            </v:rect>
            <v:rect id="矩形 14" o:spid="_x0000_s103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pict>
          <v:shape id="图片 12" o:spid="_x0000_s1034" o:spt="75" alt="2" type="#_x0000_t75" style="position:absolute;left:0pt;margin-left:-80.7pt;margin-top:-106.45pt;height:844.65pt;width:597.3pt;z-index:-251656192;mso-width-relative:page;mso-height-relative:page;" filled="f" o:preferrelative="t" stroked="f" coordsize="21600,21600">
            <v:path/>
            <v:fill on="f" focussize="0,0"/>
            <v:stroke on="f" joinstyle="miter"/>
            <v:imagedata r:id="rId7" o:title=""/>
            <o:lock v:ext="edit" aspectratio="t"/>
          </v:shape>
        </w:pict>
      </w:r>
      <w:r>
        <w:pict>
          <v:shape id="文本框 118" o:spid="_x0000_s1035" o:spt="202" type="#_x0000_t202" style="position:absolute;left:0pt;margin-left:-97.3pt;margin-top:259.1pt;height:81.7pt;width:613.65pt;z-index:251659264;mso-width-relative:page;mso-height-relative:page;" filled="f" stroked="f" coordsize="21600,21600">
            <v:path/>
            <v:fill on="f" focussize="0,0"/>
            <v:stroke on="f" weight="0.5pt" joinstyle="miter"/>
            <v:imagedata o:title=""/>
            <o:lock v:ext="edit"/>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w:r>
    </w:p>
    <w:p/>
    <w:p/>
    <w:p/>
    <w:p/>
    <w:p/>
    <w:p/>
    <w:p/>
    <w:p/>
    <w:p/>
    <w:p/>
    <w:p/>
    <w:p/>
    <w:p/>
    <w:p/>
    <w:p/>
    <w:p>
      <w:pPr>
        <w:pStyle w:val="2"/>
        <w:spacing w:before="0" w:after="0" w:line="600" w:lineRule="exact"/>
        <w:jc w:val="left"/>
        <w:rPr>
          <w:rFonts w:ascii="黑体" w:hAnsi="Cambria" w:eastAsia="黑体" w:cs="黑体"/>
          <w:b w:val="0"/>
          <w:bCs w:val="0"/>
          <w:kern w:val="0"/>
          <w:sz w:val="32"/>
          <w:szCs w:val="32"/>
        </w:rPr>
      </w:pPr>
      <w:r>
        <w:pict>
          <v:group id="组合 15" o:spid="_x0000_s1036" o:spt="203" style="position:absolute;left:0pt;margin-left:-80.8pt;margin-top:39.5pt;height:46.7pt;width:245.25pt;mso-position-vertical-relative:page;z-index:251659264;mso-width-relative:page;mso-height-relative:page;" coordorigin="4551,52615" coordsize="8546,1398">
            <o:lock v:ext="edit"/>
            <v:rect id="_x0000_s1037" o:spid="_x0000_s1037" o:spt="1" style="position:absolute;left:4551;top:52615;height:1175;width:8546;v-text-anchor:middle;" fillcolor="#96DA9D" filled="t" stroked="f" coordsize="21600,21600">
              <v:path/>
              <v:fill on="t" focussize="0,0"/>
              <v:stroke on="f" weight="2pt"/>
              <v:imagedata o:title=""/>
              <o:lock v:ext="edit"/>
            </v:rect>
            <v:rect id="_x0000_s1038" o:spid="_x0000_s103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w:r>
      <w:r>
        <w:rPr>
          <w:rFonts w:hint="eastAsia" w:ascii="黑体" w:hAnsi="Cambria" w:eastAsia="黑体" w:cs="黑体"/>
          <w:b w:val="0"/>
          <w:bCs w:val="0"/>
          <w:kern w:val="0"/>
          <w:sz w:val="32"/>
          <w:szCs w:val="32"/>
        </w:rPr>
        <w:t>一、部门职责</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满城区林业局由行政编制和事业编制组成。根据满政办（</w:t>
      </w:r>
      <w:r>
        <w:rPr>
          <w:rFonts w:ascii="仿宋_GB2312" w:hAnsi="Cambria" w:eastAsia="仿宋_GB2312" w:cs="ArialUnicodeMS"/>
          <w:kern w:val="0"/>
          <w:sz w:val="32"/>
          <w:szCs w:val="32"/>
        </w:rPr>
        <w:t>2010</w:t>
      </w: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158</w:t>
      </w:r>
      <w:r>
        <w:rPr>
          <w:rFonts w:hint="eastAsia" w:ascii="仿宋_GB2312" w:hAnsi="Cambria" w:eastAsia="仿宋_GB2312" w:cs="ArialUnicodeMS"/>
          <w:kern w:val="0"/>
          <w:sz w:val="32"/>
          <w:szCs w:val="32"/>
        </w:rPr>
        <w:t>号关于《满城区林业局主要职责内设机构和人员编制规定》的通知要求，满城区林业局主要职责是：</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1</w:t>
      </w:r>
      <w:r>
        <w:rPr>
          <w:rFonts w:hint="eastAsia" w:ascii="仿宋_GB2312" w:hAnsi="Cambria" w:eastAsia="仿宋_GB2312" w:cs="ArialUnicodeMS"/>
          <w:kern w:val="0"/>
          <w:sz w:val="32"/>
          <w:szCs w:val="32"/>
        </w:rPr>
        <w:t>、负责全区林业及其生态建设的监督管理；贯彻执行国家关于林业及其生态建设的方针政策和法律法规；拟定全区林业及其生态建设中长期规划、年度计划、综合规划和有关专业规划并组织实施。</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2</w:t>
      </w:r>
      <w:r>
        <w:rPr>
          <w:rFonts w:hint="eastAsia" w:ascii="仿宋_GB2312" w:hAnsi="Cambria" w:eastAsia="仿宋_GB2312" w:cs="ArialUnicodeMS"/>
          <w:kern w:val="0"/>
          <w:sz w:val="32"/>
          <w:szCs w:val="32"/>
        </w:rPr>
        <w:t>、组织、协调、指导和监督全区造林绿化工作；科学制定造林规划、设计，并按规划设计要求，组织植树造林、封山育林、飞播造林；组织国土绿化、防治荒漠化和防沙、治沙工作，并组织检查验收；指导监督全民义务植树工作；承担满城区绿化委员会的具体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3</w:t>
      </w:r>
      <w:r>
        <w:rPr>
          <w:rFonts w:hint="eastAsia" w:ascii="仿宋_GB2312" w:hAnsi="Cambria" w:eastAsia="仿宋_GB2312" w:cs="ArialUnicodeMS"/>
          <w:kern w:val="0"/>
          <w:sz w:val="32"/>
          <w:szCs w:val="32"/>
        </w:rPr>
        <w:t>、承担全区森林资源保护、监督、管理的责任。</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1</w:t>
      </w:r>
      <w:r>
        <w:rPr>
          <w:rFonts w:hint="eastAsia" w:ascii="仿宋_GB2312" w:hAnsi="Cambria" w:eastAsia="仿宋_GB2312" w:cs="ArialUnicodeMS"/>
          <w:kern w:val="0"/>
          <w:sz w:val="32"/>
          <w:szCs w:val="32"/>
        </w:rPr>
        <w:t>）组织指导林地、林权管理，组织实施林权登记、发证工作；拟定林地保护利用规划并指导实施，依法承担林地征用、占用的初审工作。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2</w:t>
      </w:r>
      <w:r>
        <w:rPr>
          <w:rFonts w:hint="eastAsia" w:ascii="仿宋_GB2312" w:hAnsi="Cambria" w:eastAsia="仿宋_GB2312" w:cs="ArialUnicodeMS"/>
          <w:kern w:val="0"/>
          <w:sz w:val="32"/>
          <w:szCs w:val="32"/>
        </w:rPr>
        <w:t>）负责林木采伐管理。根据年度森林采伐限额，核定年度采伐量指标，依法核发林木采伐许可证；监督检查林木凭证采伐、运输，制止无证运输和无证经营加工。</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3</w:t>
      </w:r>
      <w:r>
        <w:rPr>
          <w:rFonts w:hint="eastAsia" w:ascii="仿宋_GB2312" w:hAnsi="Cambria" w:eastAsia="仿宋_GB2312" w:cs="ArialUnicodeMS"/>
          <w:kern w:val="0"/>
          <w:sz w:val="32"/>
          <w:szCs w:val="32"/>
        </w:rPr>
        <w:t>）指导林业有害生物的防治、检疫工作。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4</w:t>
      </w:r>
      <w:r>
        <w:rPr>
          <w:rFonts w:hint="eastAsia" w:ascii="仿宋_GB2312" w:hAnsi="Cambria" w:eastAsia="仿宋_GB2312" w:cs="ArialUnicodeMS"/>
          <w:kern w:val="0"/>
          <w:sz w:val="32"/>
          <w:szCs w:val="32"/>
        </w:rPr>
        <w:t>）组织、指导、监督野生动、植物资源保护和合理开发；监督管理全区陆生野生动、植物猎捕或采集、驯养繁殖或培植、经营利用。</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5</w:t>
      </w:r>
      <w:r>
        <w:rPr>
          <w:rFonts w:hint="eastAsia" w:ascii="仿宋_GB2312" w:hAnsi="Cambria" w:eastAsia="仿宋_GB2312" w:cs="ArialUnicodeMS"/>
          <w:kern w:val="0"/>
          <w:sz w:val="32"/>
          <w:szCs w:val="32"/>
        </w:rPr>
        <w:t>）负责林木、果树种籽生产、经营管理，实行“一签两证”制度，净化林果种苗市场。</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）牵头组织森林资源清查，建立资源档案，掌握资源消长。</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w:t>
      </w:r>
      <w:r>
        <w:rPr>
          <w:rFonts w:ascii="仿宋_GB2312" w:hAnsi="Cambria" w:eastAsia="仿宋_GB2312" w:cs="ArialUnicodeMS"/>
          <w:kern w:val="0"/>
          <w:sz w:val="32"/>
          <w:szCs w:val="32"/>
        </w:rPr>
        <w:t>7</w:t>
      </w:r>
      <w:r>
        <w:rPr>
          <w:rFonts w:hint="eastAsia" w:ascii="仿宋_GB2312" w:hAnsi="Cambria" w:eastAsia="仿宋_GB2312" w:cs="ArialUnicodeMS"/>
          <w:kern w:val="0"/>
          <w:sz w:val="32"/>
          <w:szCs w:val="32"/>
        </w:rPr>
        <w:t>）负责查处林业行政案件。会同区公安局指导全区森林公安工作，指导、协调、监督查处破坏资源和野生动、植物资源的重大案件。</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4</w:t>
      </w:r>
      <w:r>
        <w:rPr>
          <w:rFonts w:hint="eastAsia" w:ascii="仿宋_GB2312" w:hAnsi="Cambria" w:eastAsia="仿宋_GB2312" w:cs="ArialUnicodeMS"/>
          <w:kern w:val="0"/>
          <w:sz w:val="32"/>
          <w:szCs w:val="32"/>
        </w:rPr>
        <w:t>、指导森林、湿地和陆生野生动物类型自然保护区的建设和管理。</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5</w:t>
      </w:r>
      <w:r>
        <w:rPr>
          <w:rFonts w:hint="eastAsia" w:ascii="仿宋_GB2312" w:hAnsi="Cambria" w:eastAsia="仿宋_GB2312" w:cs="ArialUnicodeMS"/>
          <w:kern w:val="0"/>
          <w:sz w:val="32"/>
          <w:szCs w:val="32"/>
        </w:rPr>
        <w:t>、承担推进全区林业改革，维护农民经营林业合法权益的责任；指导监督农村林地承包经营和林权流转，指导林权纠纷调处和林地承包合同纠纷调处；依法负责退耕还林工作；指导国有林场（苗圃）、森林公园和基层林业站工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组织、协调、指导、监督全区森林防火工作；组织、协调、指导森林火灾的预防与扑救工作，承担满城区森林防火指挥部的具体工作；承担林业综合行政执法监管的责任；指导区森林公安局工作，监督管理森林公安队伍，指导全区林业重大违法案件的查处。</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7</w:t>
      </w:r>
      <w:r>
        <w:rPr>
          <w:rFonts w:hint="eastAsia" w:ascii="仿宋_GB2312" w:hAnsi="Cambria" w:eastAsia="仿宋_GB2312" w:cs="ArialUnicodeMS"/>
          <w:kern w:val="0"/>
          <w:sz w:val="32"/>
          <w:szCs w:val="32"/>
        </w:rPr>
        <w:t>、负责全区果品、蚕桑、花卉的管理工作；组织指导果品、蚕桑、花卉的品种改良、品质提高和标准化生产工作；监督管理果品质量安全。</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8</w:t>
      </w:r>
      <w:r>
        <w:rPr>
          <w:rFonts w:hint="eastAsia" w:ascii="仿宋_GB2312" w:hAnsi="Cambria" w:eastAsia="仿宋_GB2312" w:cs="ArialUnicodeMS"/>
          <w:kern w:val="0"/>
          <w:sz w:val="32"/>
          <w:szCs w:val="32"/>
        </w:rPr>
        <w:t>、指导全区林业的科技、教育工作；组织推广林业适用技术，指导乡、村建立协会组织，培训管理科技人才，健全林业科普网络。</w:t>
      </w:r>
    </w:p>
    <w:p>
      <w:pPr>
        <w:autoSpaceDE w:val="0"/>
        <w:autoSpaceDN w:val="0"/>
        <w:adjustRightInd w:val="0"/>
        <w:spacing w:after="0" w:line="560" w:lineRule="exact"/>
        <w:ind w:firstLine="640" w:firstLineChars="200"/>
        <w:jc w:val="left"/>
        <w:rPr>
          <w:rFonts w:ascii="仿宋_GB2312" w:hAnsi="Cambria" w:eastAsia="仿宋_GB2312" w:cs="ArialUnicodeMS"/>
          <w:kern w:val="0"/>
          <w:sz w:val="32"/>
          <w:szCs w:val="32"/>
        </w:rPr>
      </w:pPr>
      <w:r>
        <w:rPr>
          <w:rFonts w:ascii="仿宋_GB2312" w:hAnsi="Cambria" w:eastAsia="仿宋_GB2312" w:cs="ArialUnicodeMS"/>
          <w:kern w:val="0"/>
          <w:sz w:val="32"/>
          <w:szCs w:val="32"/>
        </w:rPr>
        <w:t>9</w:t>
      </w:r>
      <w:r>
        <w:rPr>
          <w:rFonts w:hint="eastAsia" w:ascii="仿宋_GB2312" w:hAnsi="Cambria" w:eastAsia="仿宋_GB2312" w:cs="ArialUnicodeMS"/>
          <w:kern w:val="0"/>
          <w:sz w:val="32"/>
          <w:szCs w:val="32"/>
        </w:rPr>
        <w:t>、承办区政府交办的其他事项。</w:t>
      </w:r>
    </w:p>
    <w:p>
      <w:pPr>
        <w:autoSpaceDE w:val="0"/>
        <w:autoSpaceDN w:val="0"/>
        <w:adjustRightInd w:val="0"/>
        <w:spacing w:after="0" w:line="560" w:lineRule="exact"/>
        <w:jc w:val="left"/>
        <w:rPr>
          <w:rFonts w:ascii="仿宋_GB2312" w:hAnsi="Cambria" w:eastAsia="仿宋_GB2312" w:cs="ArialUnicodeMS"/>
          <w:kern w:val="0"/>
          <w:sz w:val="32"/>
          <w:szCs w:val="32"/>
        </w:rPr>
      </w:pPr>
    </w:p>
    <w:p>
      <w:pPr>
        <w:pStyle w:val="2"/>
        <w:spacing w:before="0" w:after="0" w:line="600" w:lineRule="exact"/>
        <w:jc w:val="left"/>
        <w:rPr>
          <w:rFonts w:ascii="黑体" w:hAnsi="Cambria" w:eastAsia="黑体" w:cs="黑体"/>
          <w:b w:val="0"/>
          <w:bCs w:val="0"/>
          <w:kern w:val="0"/>
          <w:sz w:val="32"/>
          <w:szCs w:val="32"/>
        </w:rPr>
      </w:pPr>
      <w:r>
        <w:rPr>
          <w:rFonts w:hint="eastAsia" w:ascii="黑体" w:hAnsi="Cambria" w:eastAsia="黑体" w:cs="黑体"/>
          <w:b w:val="0"/>
          <w:bCs w:val="0"/>
          <w:kern w:val="0"/>
          <w:sz w:val="32"/>
          <w:szCs w:val="32"/>
        </w:rPr>
        <w:t>二、机构设置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3 </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402"/>
        <w:gridCol w:w="2696"/>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817"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02"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696"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02"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2</w:t>
            </w:r>
          </w:p>
        </w:tc>
        <w:tc>
          <w:tcPr>
            <w:tcW w:w="3402"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林政资源管理股</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17" w:type="dxa"/>
            <w:vAlign w:val="center"/>
          </w:tcPr>
          <w:p>
            <w:pPr>
              <w:widowControl/>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3</w:t>
            </w:r>
          </w:p>
        </w:tc>
        <w:tc>
          <w:tcPr>
            <w:tcW w:w="3402"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保定市满城区林业局</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林业技术推广站</w:t>
            </w:r>
          </w:p>
        </w:tc>
        <w:tc>
          <w:tcPr>
            <w:tcW w:w="2696" w:type="dxa"/>
            <w:vAlign w:val="center"/>
          </w:tcPr>
          <w:p>
            <w:pPr>
              <w:widowControl/>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财政补助事业单位</w:t>
            </w:r>
          </w:p>
        </w:tc>
        <w:tc>
          <w:tcPr>
            <w:tcW w:w="2665" w:type="dxa"/>
            <w:vAlign w:val="center"/>
          </w:tcPr>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财政性资金</w:t>
            </w:r>
          </w:p>
          <w:p>
            <w:pPr>
              <w:widowControl/>
              <w:spacing w:after="0"/>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基本保证</w:t>
            </w:r>
          </w:p>
        </w:tc>
      </w:tr>
    </w:tbl>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pict>
          <v:shape id="图片 16" o:spid="_x0000_s1039" o:spt="75" alt="2" type="#_x0000_t75" style="position:absolute;left:0pt;margin-left:-80.6pt;margin-top:-104.5pt;height:840.95pt;width:596.15pt;z-index:-251656192;mso-width-relative:page;mso-height-relative:page;" filled="f" o:preferrelative="t" stroked="f" coordsize="21600,21600">
            <v:path/>
            <v:fill on="f" focussize="0,0"/>
            <v:stroke on="f" joinstyle="miter"/>
            <v:imagedata r:id="rId7" o:title=""/>
            <o:lock v:ext="edit" aspectratio="t"/>
          </v:shape>
        </w:pict>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文本框 17" o:spid="_x0000_s1040" o:spt="202" type="#_x0000_t202" style="position:absolute;left:0pt;margin-left:-74.2pt;margin-top:120.3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pict>
                <v:group id="组合 10" o:spid="_x0000_s1041" o:spt="203" style="position:absolute;left:0pt;margin-left:-70.25pt;margin-top:-81.85pt;height:41.2pt;width:243.2pt;mso-position-vertical-relative:page;z-index:251659264;mso-width-relative:page;mso-height-relative:page;" coordorigin="4551,52615" coordsize="8546,1398">
                  <o:lock v:ext="edit"/>
                  <v:rect id="矩形 13" o:spid="_x0000_s1042" o:spt="1" style="position:absolute;left:4551;top:52615;height:1175;width:8546;v-text-anchor:middle;" fillcolor="#96DA9D" filled="t" stroked="f" coordsize="21600,21600">
                    <v:path/>
                    <v:fill on="t" focussize="0,0"/>
                    <v:stroke on="f" weight="2pt"/>
                    <v:imagedata o:title=""/>
                    <o:lock v:ext="edit"/>
                  </v:rect>
                  <v:rect id="矩形 14" o:spid="_x0000_s1043"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148.46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1032.00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2204.20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ascii="宋体" w:cs="宋体"/>
                <w:color w:val="000000"/>
                <w:sz w:val="20"/>
                <w:szCs w:val="20"/>
              </w:rPr>
              <w:t>3390.66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10415" w:type="dxa"/>
        <w:jc w:val="center"/>
        <w:tblLayout w:type="fixed"/>
        <w:tblCellMar>
          <w:top w:w="0" w:type="dxa"/>
          <w:left w:w="0" w:type="dxa"/>
          <w:bottom w:w="0" w:type="dxa"/>
          <w:right w:w="0" w:type="dxa"/>
        </w:tblCellMar>
      </w:tblPr>
      <w:tblGrid>
        <w:gridCol w:w="334"/>
        <w:gridCol w:w="179"/>
        <w:gridCol w:w="457"/>
        <w:gridCol w:w="1914"/>
        <w:gridCol w:w="1302"/>
        <w:gridCol w:w="50"/>
        <w:gridCol w:w="260"/>
        <w:gridCol w:w="685"/>
        <w:gridCol w:w="189"/>
        <w:gridCol w:w="757"/>
        <w:gridCol w:w="32"/>
        <w:gridCol w:w="26"/>
        <w:gridCol w:w="757"/>
        <w:gridCol w:w="58"/>
        <w:gridCol w:w="152"/>
        <w:gridCol w:w="567"/>
        <w:gridCol w:w="38"/>
        <w:gridCol w:w="529"/>
        <w:gridCol w:w="992"/>
        <w:gridCol w:w="543"/>
        <w:gridCol w:w="330"/>
        <w:gridCol w:w="264"/>
      </w:tblGrid>
      <w:tr>
        <w:tblPrEx>
          <w:tblCellMar>
            <w:top w:w="0" w:type="dxa"/>
            <w:left w:w="0" w:type="dxa"/>
            <w:bottom w:w="0" w:type="dxa"/>
            <w:right w:w="0" w:type="dxa"/>
          </w:tblCellMar>
        </w:tblPrEx>
        <w:trPr>
          <w:gridAfter w:val="2"/>
          <w:wAfter w:w="594" w:type="dxa"/>
          <w:trHeight w:val="770" w:hRule="atLeast"/>
          <w:jc w:val="center"/>
        </w:trPr>
        <w:tc>
          <w:tcPr>
            <w:tcW w:w="9821" w:type="dxa"/>
            <w:gridSpan w:val="20"/>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pict>
                <v:group id="组合 34" o:spid="_x0000_s1044" o:spt="203" style="position:absolute;left:0pt;margin-left:-41.75pt;margin-top:-80.1pt;height:41.2pt;width:243.2pt;mso-position-vertical-relative:page;z-index:251659264;mso-width-relative:page;mso-height-relative:page;" coordorigin="4551,52615" coordsize="8546,1398">
                  <o:lock v:ext="edit"/>
                  <v:rect id="矩形 13" o:spid="_x0000_s1045" o:spt="1" style="position:absolute;left:4551;top:52615;height:1175;width:8546;v-text-anchor:middle;" fillcolor="#96DA9D" filled="t" stroked="f" coordsize="21600,21600">
                    <v:path/>
                    <v:fill on="t" focussize="0,0"/>
                    <v:stroke on="f" weight="2pt"/>
                    <v:imagedata o:title=""/>
                    <o:lock v:ext="edit"/>
                  </v:rect>
                  <v:rect id="矩形 14" o:spid="_x0000_s1046" o:spt="1" style="position:absolute;left:4577;top:52890;height:1123;width:8324;v-text-anchor:middle;" fillcolor="#AD002D" filled="t" stroked="t" coordsize="21600,2160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gridAfter w:val="1"/>
          <w:wAfter w:w="264" w:type="dxa"/>
          <w:trHeight w:val="362" w:hRule="atLeast"/>
          <w:jc w:val="center"/>
        </w:trPr>
        <w:tc>
          <w:tcPr>
            <w:tcW w:w="3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4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21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8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4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4"/>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ind w:right="315"/>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4"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302"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99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415" w:type="dxa"/>
            <w:gridSpan w:val="8"/>
            <w:tcBorders>
              <w:top w:val="nil"/>
              <w:left w:val="nil"/>
              <w:bottom w:val="nil"/>
              <w:right w:val="nil"/>
            </w:tcBorders>
            <w:noWrap/>
            <w:tcMar>
              <w:top w:w="15" w:type="dxa"/>
              <w:left w:w="15" w:type="dxa"/>
              <w:right w:w="15" w:type="dxa"/>
            </w:tcMar>
            <w:vAlign w:val="center"/>
          </w:tcPr>
          <w:p>
            <w:pPr>
              <w:widowControl/>
              <w:spacing w:after="0" w:line="240" w:lineRule="atLeast"/>
              <w:ind w:right="630"/>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2"/>
          <w:wAfter w:w="594" w:type="dxa"/>
          <w:trHeight w:val="325" w:hRule="atLeast"/>
          <w:jc w:val="center"/>
        </w:trPr>
        <w:tc>
          <w:tcPr>
            <w:tcW w:w="4186" w:type="dxa"/>
            <w:gridSpan w:val="5"/>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995"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978" w:type="dxa"/>
            <w:gridSpan w:val="3"/>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993" w:type="dxa"/>
            <w:gridSpan w:val="4"/>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567"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567"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92"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543"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gridAfter w:val="2"/>
          <w:wAfter w:w="594" w:type="dxa"/>
          <w:trHeight w:val="626" w:hRule="atLeast"/>
          <w:jc w:val="center"/>
        </w:trPr>
        <w:tc>
          <w:tcPr>
            <w:tcW w:w="970"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3216" w:type="dxa"/>
            <w:gridSpan w:val="2"/>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995"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978" w:type="dxa"/>
            <w:gridSpan w:val="3"/>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3" w:type="dxa"/>
            <w:gridSpan w:val="4"/>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67"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92"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543"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gridAfter w:val="2"/>
          <w:wAfter w:w="594" w:type="dxa"/>
          <w:trHeight w:val="391" w:hRule="atLeast"/>
          <w:jc w:val="center"/>
        </w:trPr>
        <w:tc>
          <w:tcPr>
            <w:tcW w:w="418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99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97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99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56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567"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9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54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gridAfter w:val="2"/>
          <w:wAfter w:w="594" w:type="dxa"/>
          <w:trHeight w:val="90" w:hRule="atLeast"/>
          <w:jc w:val="center"/>
        </w:trPr>
        <w:tc>
          <w:tcPr>
            <w:tcW w:w="4186"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995"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ascii="宋体" w:cs="宋体"/>
                <w:b/>
                <w:color w:val="000000"/>
                <w:sz w:val="18"/>
                <w:szCs w:val="18"/>
              </w:rPr>
              <w:t>3390.66</w:t>
            </w:r>
          </w:p>
        </w:tc>
        <w:tc>
          <w:tcPr>
            <w:tcW w:w="978"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 w:val="18"/>
                <w:szCs w:val="18"/>
              </w:rPr>
            </w:pPr>
            <w:r>
              <w:rPr>
                <w:rFonts w:ascii="宋体" w:cs="宋体"/>
                <w:b/>
                <w:color w:val="000000"/>
                <w:sz w:val="18"/>
                <w:szCs w:val="18"/>
              </w:rPr>
              <w:t>3390.66</w:t>
            </w:r>
          </w:p>
        </w:tc>
        <w:tc>
          <w:tcPr>
            <w:tcW w:w="993" w:type="dxa"/>
            <w:gridSpan w:val="4"/>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67"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92"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543"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49"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7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国有土地使用权出让收入及对应专项债务收入安排的支出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城市建设支出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361" w:hRule="atLeast"/>
          <w:jc w:val="center"/>
        </w:trPr>
        <w:tc>
          <w:tcPr>
            <w:tcW w:w="970"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321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99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78"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p>
        </w:tc>
        <w:tc>
          <w:tcPr>
            <w:tcW w:w="5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gridAfter w:val="2"/>
          <w:wAfter w:w="594" w:type="dxa"/>
          <w:trHeight w:val="481" w:hRule="atLeast"/>
          <w:jc w:val="center"/>
        </w:trPr>
        <w:tc>
          <w:tcPr>
            <w:tcW w:w="9821" w:type="dxa"/>
            <w:gridSpan w:val="20"/>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697"/>
        <w:gridCol w:w="294"/>
        <w:gridCol w:w="803"/>
        <w:gridCol w:w="1115"/>
        <w:gridCol w:w="647"/>
        <w:gridCol w:w="414"/>
        <w:gridCol w:w="992"/>
        <w:gridCol w:w="834"/>
        <w:gridCol w:w="159"/>
        <w:gridCol w:w="959"/>
        <w:gridCol w:w="33"/>
        <w:gridCol w:w="992"/>
        <w:gridCol w:w="95"/>
        <w:gridCol w:w="472"/>
        <w:gridCol w:w="1134"/>
      </w:tblGrid>
      <w:tr>
        <w:tblPrEx>
          <w:tblCellMar>
            <w:top w:w="0" w:type="dxa"/>
            <w:left w:w="0" w:type="dxa"/>
            <w:bottom w:w="0" w:type="dxa"/>
            <w:right w:w="0" w:type="dxa"/>
          </w:tblCellMar>
        </w:tblPrEx>
        <w:trPr>
          <w:trHeight w:val="79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pict>
                <v:group id="组合 38" o:spid="_x0000_s1047" o:spt="203" style="position:absolute;left:0pt;margin-left:-58.65pt;margin-top:-80.1pt;height:41.2pt;width:243.2pt;mso-position-vertical-relative:page;z-index:251659264;mso-width-relative:page;mso-height-relative:page;" coordorigin="4551,52615" coordsize="8546,1398">
                  <o:lock v:ext="edit"/>
                  <v:rect id="矩形 13" o:spid="_x0000_s1048" o:spt="1" style="position:absolute;left:4551;top:52615;height:1175;width:8546;v-text-anchor:middle;" fillcolor="#96DA9D" filled="t" stroked="f" coordsize="21600,21600">
                    <v:path/>
                    <v:fill on="t" focussize="0,0"/>
                    <v:stroke on="f" weight="2pt"/>
                    <v:imagedata o:title=""/>
                    <o:lock v:ext="edit"/>
                  </v:rect>
                  <v:rect id="矩形 14" o:spid="_x0000_s104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69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9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3"/>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6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55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406"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34"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72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80" w:hRule="atLeast"/>
        </w:trPr>
        <w:tc>
          <w:tcPr>
            <w:tcW w:w="3970"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99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992"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567"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13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696" w:hRule="atLeast"/>
        </w:trPr>
        <w:tc>
          <w:tcPr>
            <w:tcW w:w="991"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992"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567"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13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229"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99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99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99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56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13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262" w:hRule="atLeast"/>
        </w:trPr>
        <w:tc>
          <w:tcPr>
            <w:tcW w:w="3970"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3390.66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b/>
                <w:color w:val="000000"/>
                <w:szCs w:val="21"/>
              </w:rPr>
            </w:pPr>
            <w:r>
              <w:rPr>
                <w:rFonts w:ascii="宋体" w:cs="宋体"/>
                <w:b/>
                <w:color w:val="000000"/>
                <w:szCs w:val="21"/>
              </w:rPr>
              <w:t>2270.07</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45"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2120803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城市建设支出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1083.61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1041.61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136.63</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104.71</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927.11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4.45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16.05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85.00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879.25</w:t>
            </w: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33" w:hRule="atLeast"/>
        </w:trPr>
        <w:tc>
          <w:tcPr>
            <w:tcW w:w="991"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2979" w:type="dxa"/>
            <w:gridSpan w:val="4"/>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99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99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56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1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64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pict>
                <v:group id="组合 43" o:spid="_x0000_s1050" o:spt="203" style="position:absolute;left:0pt;margin-left:-80.9pt;margin-top:-81.1pt;height:41.2pt;width:243.2pt;mso-position-vertical-relative:page;z-index:251659264;mso-width-relative:page;mso-height-relative:page;" coordorigin="4551,52615" coordsize="8546,1398">
                  <o:lock v:ext="edit"/>
                  <v:rect id="矩形 13" o:spid="_x0000_s1051" o:spt="1" style="position:absolute;left:4551;top:52615;height:1175;width:8546;v-text-anchor:middle;" fillcolor="#96DA9D" filled="t" stroked="f" coordsize="21600,21600">
                    <v:path/>
                    <v:fill on="t" focussize="0,0"/>
                    <v:stroke on="f" weight="2pt"/>
                    <v:imagedata o:title=""/>
                    <o:lock v:ext="edit"/>
                  </v:rect>
                  <v:rect id="矩形 14" o:spid="_x0000_s105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153"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6.00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6.00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148.46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148.46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2204.20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2201.20</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231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3390.66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2358.66</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r>
              <w:rPr>
                <w:rFonts w:ascii="宋体" w:cs="宋体"/>
                <w:color w:val="000000"/>
                <w:sz w:val="18"/>
                <w:szCs w:val="18"/>
              </w:rPr>
              <w:t>1032.00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pict>
                <v:group id="组合 46" o:spid="_x0000_s1053" o:spt="203" style="position:absolute;left:0pt;margin-left:-80.9pt;margin-top:-81.1pt;height:41.2pt;width:243.2pt;mso-position-vertical-relative:page;z-index:251659264;mso-width-relative:page;mso-height-relative:page;" coordorigin="4551,52615" coordsize="8546,1398">
                  <o:lock v:ext="edit"/>
                  <v:rect id="矩形 13" o:spid="_x0000_s1054" o:spt="1" style="position:absolute;left:4551;top:52615;height:1175;width:8546;v-text-anchor:middle;" fillcolor="#96DA9D" filled="t" stroked="f" coordsize="21600,21600">
                    <v:path/>
                    <v:fill on="t" focussize="0,0"/>
                    <v:stroke on="f" weight="2pt"/>
                    <v:imagedata o:title=""/>
                    <o:lock v:ext="edit"/>
                  </v:rect>
                  <v:rect id="矩形 14" o:spid="_x0000_s105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2358.66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r>
              <w:rPr>
                <w:rFonts w:ascii="宋体" w:cs="宋体"/>
                <w:b/>
                <w:color w:val="000000"/>
                <w:szCs w:val="21"/>
              </w:rPr>
              <w:t>1238.07</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其他科学技术支出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2069901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科技奖励</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6.00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节能环保支出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148.46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天然林保护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其他天然林保护支出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退耕还林</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2110602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退耕现金</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147.02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农林水支出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2204.20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1083.61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林业</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2162.20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1120.59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1041.61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136.63</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136.63</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林业事业机构</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104.71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104.71</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森林培育</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927.11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927.11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2130208</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森林资源监测</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4.45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4.45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2130209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森林生态效益补偿</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16.05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16.05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2130213</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林业执法与监督</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9.00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9.00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2130234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林业防灾减灾</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85.00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2130299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其他林业支出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879.25</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879.25</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hint="eastAsia" w:ascii="宋体" w:hAnsi="宋体" w:cs="Arial"/>
                <w:color w:val="000000"/>
                <w:kern w:val="0"/>
                <w:sz w:val="20"/>
                <w:szCs w:val="20"/>
              </w:rPr>
              <w:t>扶贫</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2130599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Arial"/>
                <w:color w:val="000000"/>
                <w:kern w:val="0"/>
                <w:sz w:val="20"/>
                <w:szCs w:val="20"/>
              </w:rPr>
            </w:pPr>
            <w:r>
              <w:rPr>
                <w:rFonts w:ascii="宋体" w:hAnsi="宋体" w:cs="Arial"/>
                <w:color w:val="000000"/>
                <w:kern w:val="0"/>
                <w:sz w:val="20"/>
                <w:szCs w:val="20"/>
              </w:rPr>
              <w:t xml:space="preserve">  </w:t>
            </w:r>
            <w:r>
              <w:rPr>
                <w:rFonts w:hint="eastAsia" w:ascii="宋体" w:hAnsi="宋体" w:cs="Arial"/>
                <w:color w:val="000000"/>
                <w:kern w:val="0"/>
                <w:sz w:val="20"/>
                <w:szCs w:val="20"/>
              </w:rPr>
              <w:t>其他扶贫支出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0"/>
                <w:szCs w:val="20"/>
              </w:rPr>
            </w:pPr>
            <w:r>
              <w:rPr>
                <w:rFonts w:ascii="宋体" w:cs="宋体"/>
                <w:color w:val="000000"/>
                <w:sz w:val="20"/>
                <w:szCs w:val="20"/>
              </w:rPr>
              <w:t>42.00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20"/>
                <w:szCs w:val="20"/>
              </w:rPr>
            </w:pPr>
            <w:r>
              <w:rPr>
                <w:rFonts w:ascii="宋体" w:cs="宋体"/>
                <w:color w:val="000000"/>
                <w:sz w:val="20"/>
                <w:szCs w:val="20"/>
              </w:rPr>
              <w:t>42.00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保定市满城区林业局</w:t>
            </w:r>
            <w:r>
              <w:pict>
                <v:group id="组合 49" o:spid="_x0000_s1056" o:spt="203" style="position:absolute;left:0pt;margin-left:-73.25pt;margin-top:-129.4pt;height:41.2pt;width:243.2pt;mso-position-vertical-relative:page;z-index:251659264;mso-width-relative:page;mso-height-relative:page;" coordorigin="4551,52615" coordsize="8546,1398">
                  <o:lock v:ext="edit"/>
                  <v:rect id="矩形 13" o:spid="_x0000_s1057" o:spt="1" style="position:absolute;left:4551;top:52615;height:1175;width:8546;v-text-anchor:middle;" fillcolor="#96DA9D" filled="t" stroked="f" coordsize="21600,21600">
                    <v:path/>
                    <v:fill on="t" focussize="0,0"/>
                    <v:stroke on="f" weight="2pt"/>
                    <v:imagedata o:title=""/>
                    <o:lock v:ext="edit"/>
                  </v:rect>
                  <v:rect id="矩形 14" o:spid="_x0000_s105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1068.71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49.24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504.41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32.21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27.42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123.16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0.06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214.17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0.57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86.55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3.24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26.98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1.48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30.02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3.47</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1.37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50.91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1.62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2.65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10.31</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1071.35</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r>
              <w:rPr>
                <w:rFonts w:ascii="宋体" w:cs="宋体"/>
                <w:color w:val="000000"/>
                <w:sz w:val="16"/>
                <w:szCs w:val="16"/>
              </w:rPr>
              <w:t>49.24</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pict>
                <v:group id="组合 52" o:spid="_x0000_s1059" o:spt="203" style="position:absolute;left:0pt;margin-left:-82.75pt;margin-top:-81.1pt;height:41.2pt;width:243.2pt;mso-position-vertical-relative:page;z-index:251659264;mso-width-relative:page;mso-height-relative:page;" coordorigin="4551,52615" coordsize="8546,1398">
                  <o:lock v:ext="edit"/>
                  <v:rect id="矩形 13" o:spid="_x0000_s1060" o:spt="1" style="position:absolute;left:4551;top:52615;height:1175;width:8546;v-text-anchor:middle;" fillcolor="#96DA9D" filled="t" stroked="f" coordsize="21600,21600">
                    <v:path/>
                    <v:fill on="t" focussize="0,0"/>
                    <v:stroke on="f" weight="2pt"/>
                    <v:imagedata o:title=""/>
                    <o:lock v:ext="edit"/>
                  </v:rect>
                  <v:rect id="矩形 14" o:spid="_x0000_s106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部门：保定市满城区林业局</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12.89</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ascii="宋体" w:cs="宋体"/>
                <w:color w:val="000000"/>
                <w:szCs w:val="21"/>
              </w:rPr>
              <w:t>12.5</w:t>
            </w:r>
            <w:r>
              <w:rPr>
                <w:rFonts w:hint="eastAsia" w:ascii="宋体" w:cs="宋体"/>
                <w:color w:val="000000"/>
                <w:szCs w:val="21"/>
                <w:lang w:val="en-US" w:eastAsia="zh-CN"/>
              </w:rPr>
              <w:t>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eastAsia" w:ascii="宋体" w:eastAsia="宋体" w:cs="宋体"/>
                <w:color w:val="000000"/>
                <w:szCs w:val="21"/>
                <w:lang w:val="en-US" w:eastAsia="zh-CN"/>
              </w:rPr>
            </w:pPr>
            <w:r>
              <w:rPr>
                <w:rFonts w:ascii="宋体" w:cs="宋体"/>
                <w:color w:val="000000"/>
                <w:szCs w:val="21"/>
              </w:rPr>
              <w:t>12.5</w:t>
            </w:r>
            <w:r>
              <w:rPr>
                <w:rFonts w:hint="eastAsia" w:ascii="宋体" w:cs="宋体"/>
                <w:color w:val="000000"/>
                <w:szCs w:val="21"/>
                <w:lang w:val="en-US" w:eastAsia="zh-CN"/>
              </w:rPr>
              <w:t>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0.39</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r>
              <w:rPr>
                <w:rFonts w:ascii="宋体" w:cs="宋体"/>
                <w:color w:val="000000"/>
                <w:szCs w:val="21"/>
              </w:rPr>
              <w:t>10.31</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640" w:type="dxa"/>
        <w:tblInd w:w="-411" w:type="dxa"/>
        <w:tblLayout w:type="fixed"/>
        <w:tblCellMar>
          <w:top w:w="0" w:type="dxa"/>
          <w:left w:w="0" w:type="dxa"/>
          <w:bottom w:w="0" w:type="dxa"/>
          <w:right w:w="0" w:type="dxa"/>
        </w:tblCellMar>
      </w:tblPr>
      <w:tblGrid>
        <w:gridCol w:w="707"/>
        <w:gridCol w:w="191"/>
        <w:gridCol w:w="95"/>
        <w:gridCol w:w="384"/>
        <w:gridCol w:w="669"/>
        <w:gridCol w:w="932"/>
        <w:gridCol w:w="992"/>
        <w:gridCol w:w="992"/>
        <w:gridCol w:w="657"/>
        <w:gridCol w:w="477"/>
        <w:gridCol w:w="715"/>
        <w:gridCol w:w="561"/>
        <w:gridCol w:w="631"/>
        <w:gridCol w:w="645"/>
        <w:gridCol w:w="992"/>
      </w:tblGrid>
      <w:tr>
        <w:tblPrEx>
          <w:tblCellMar>
            <w:top w:w="0" w:type="dxa"/>
            <w:left w:w="0" w:type="dxa"/>
            <w:bottom w:w="0" w:type="dxa"/>
            <w:right w:w="0" w:type="dxa"/>
          </w:tblCellMar>
        </w:tblPrEx>
        <w:trPr>
          <w:trHeight w:val="707"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pict>
                <v:group id="组合 55" o:spid="_x0000_s1062" o:spt="203" style="position:absolute;left:0pt;margin-left:-62.1pt;margin-top:-79.1pt;height:41.2pt;width:243.2pt;mso-position-vertical-relative:page;z-index:251659264;mso-width-relative:page;mso-height-relative:page;" coordorigin="4551,52615" coordsize="8546,1398">
                  <o:lock v:ext="edit"/>
                  <v:rect id="矩形 13" o:spid="_x0000_s1063" o:spt="1" style="position:absolute;left:4551;top:52615;height:1175;width:8546;v-text-anchor:middle;" fillcolor="#96DA9D" filled="t" stroked="f" coordsize="21600,21600">
                    <v:path/>
                    <v:fill on="t" focussize="0,0"/>
                    <v:stroke on="f" weight="2pt"/>
                    <v:imagedata o:title=""/>
                    <o:lock v:ext="edit"/>
                  </v:rect>
                  <v:rect id="矩形 14" o:spid="_x0000_s106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70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24"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637"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970" w:type="dxa"/>
            <w:gridSpan w:val="7"/>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保定市满城区林业局</w:t>
            </w:r>
          </w:p>
        </w:tc>
        <w:tc>
          <w:tcPr>
            <w:tcW w:w="9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57"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829" w:type="dxa"/>
            <w:gridSpan w:val="4"/>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477" w:hRule="atLeast"/>
        </w:trPr>
        <w:tc>
          <w:tcPr>
            <w:tcW w:w="2978"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686"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99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985" w:type="dxa"/>
            <w:gridSpan w:val="3"/>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276"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985" w:type="dxa"/>
            <w:gridSpan w:val="3"/>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34"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76"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99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93"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99" w:hRule="atLeast"/>
        </w:trPr>
        <w:tc>
          <w:tcPr>
            <w:tcW w:w="2978"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r>
              <w:rPr>
                <w:rFonts w:ascii="宋体" w:cs="宋体"/>
                <w:b/>
                <w:color w:val="000000"/>
                <w:szCs w:val="21"/>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402"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hint="eastAsia" w:ascii="宋体" w:cs="宋体"/>
                <w:color w:val="000000"/>
                <w:sz w:val="20"/>
                <w:szCs w:val="20"/>
              </w:rPr>
              <w:t>城乡社区支出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113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21208</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hint="eastAsia" w:ascii="宋体" w:cs="宋体"/>
                <w:color w:val="000000"/>
                <w:sz w:val="20"/>
                <w:szCs w:val="20"/>
              </w:rPr>
              <w:t>国有土地使用权出让收入及对应专项债务收入安排的支出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11"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 w:val="20"/>
                <w:szCs w:val="20"/>
              </w:rPr>
            </w:pPr>
            <w:r>
              <w:rPr>
                <w:rFonts w:ascii="宋体" w:cs="宋体"/>
                <w:color w:val="000000"/>
                <w:sz w:val="20"/>
                <w:szCs w:val="20"/>
              </w:rPr>
              <w:t>2120803</w:t>
            </w:r>
          </w:p>
        </w:tc>
        <w:tc>
          <w:tcPr>
            <w:tcW w:w="1985"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ind w:firstLine="100" w:firstLineChars="50"/>
              <w:jc w:val="left"/>
              <w:rPr>
                <w:rFonts w:ascii="宋体" w:cs="宋体"/>
                <w:color w:val="000000"/>
                <w:sz w:val="20"/>
                <w:szCs w:val="20"/>
              </w:rPr>
            </w:pPr>
            <w:r>
              <w:rPr>
                <w:rFonts w:ascii="宋体" w:cs="宋体"/>
                <w:color w:val="000000"/>
                <w:sz w:val="20"/>
                <w:szCs w:val="20"/>
              </w:rPr>
              <w:t xml:space="preserve"> </w:t>
            </w:r>
            <w:r>
              <w:rPr>
                <w:rFonts w:hint="eastAsia" w:ascii="宋体" w:cs="宋体"/>
                <w:color w:val="000000"/>
                <w:sz w:val="20"/>
                <w:szCs w:val="20"/>
              </w:rPr>
              <w:t>城市建设支出</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13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c>
          <w:tcPr>
            <w:tcW w:w="12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r>
              <w:rPr>
                <w:rFonts w:ascii="宋体" w:cs="宋体"/>
                <w:color w:val="000000"/>
                <w:sz w:val="20"/>
                <w:szCs w:val="20"/>
              </w:rPr>
              <w:t>1032.00</w:t>
            </w:r>
          </w:p>
        </w:tc>
        <w:tc>
          <w:tcPr>
            <w:tcW w:w="9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24" w:hRule="atLeast"/>
        </w:trPr>
        <w:tc>
          <w:tcPr>
            <w:tcW w:w="9640" w:type="dxa"/>
            <w:gridSpan w:val="15"/>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pict>
                <v:group id="组合 58" o:spid="_x0000_s1065" o:spt="203" style="position:absolute;left:0pt;margin-left:-80.9pt;margin-top:-81.1pt;height:41.2pt;width:243.2pt;mso-position-vertical-relative:page;z-index:251659264;mso-width-relative:page;mso-height-relative:page;" coordorigin="4551,52615" coordsize="8546,1398">
                  <o:lock v:ext="edit"/>
                  <v:rect id="矩形 13" o:spid="_x0000_s1066" o:spt="1" style="position:absolute;left:4551;top:52615;height:1175;width:8546;v-text-anchor:middle;" fillcolor="#96DA9D" filled="t" stroked="f" coordsize="21600,21600">
                    <v:path/>
                    <v:fill on="t" focussize="0,0"/>
                    <v:stroke on="f" weight="2pt"/>
                    <v:imagedata o:title=""/>
                    <o:lock v:ext="edit"/>
                  </v:rect>
                  <v:rect id="矩形 14" o:spid="_x0000_s1067"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保定市满城区林业局</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ind w:firstLine="440" w:firstLineChars="200"/>
              <w:jc w:val="left"/>
              <w:textAlignment w:val="center"/>
              <w:rPr>
                <w:rFonts w:ascii="宋体" w:cs="宋体"/>
                <w:color w:val="000000"/>
                <w:sz w:val="22"/>
                <w:szCs w:val="22"/>
              </w:rPr>
            </w:pPr>
            <w:r>
              <w:rPr>
                <w:rFonts w:hint="eastAsia" w:ascii="宋体" w:hAnsi="宋体" w:cs="宋体"/>
                <w:color w:val="000000"/>
                <w:kern w:val="0"/>
                <w:sz w:val="22"/>
                <w:szCs w:val="22"/>
              </w:rPr>
              <w:t>本部门本年度无相关支出情况，按要求空表列示。</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pict>
                <v:group id="组合 61" o:spid="_x0000_s1068" o:spt="203" style="position:absolute;left:0pt;margin-left:-80.9pt;margin-top:-81.1pt;height:41.2pt;width:243.2pt;mso-position-vertical-relative:page;z-index:251659264;mso-width-relative:page;mso-height-relative:page;" coordorigin="4551,52615" coordsize="8546,1398">
                  <o:lock v:ext="edit"/>
                  <v:rect id="矩形 13" o:spid="_x0000_s1069" o:spt="1" style="position:absolute;left:4551;top:52615;height:1175;width:8546;v-text-anchor:middle;" fillcolor="#96DA9D" filled="t" stroked="f" coordsize="21600,21600">
                    <v:path/>
                    <v:fill on="t" focussize="0,0"/>
                    <v:stroke on="f" weight="2pt"/>
                    <v:imagedata o:title=""/>
                    <o:lock v:ext="edit"/>
                  </v:rect>
                  <v:rect id="矩形 14" o:spid="_x0000_s1070"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保定市满城区林业局</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p>
            <w:pPr>
              <w:widowControl/>
              <w:adjustRightInd w:val="0"/>
              <w:snapToGrid w:val="0"/>
              <w:spacing w:after="0" w:line="240" w:lineRule="auto"/>
              <w:ind w:firstLine="420" w:firstLineChars="200"/>
              <w:jc w:val="left"/>
              <w:textAlignment w:val="center"/>
              <w:rPr>
                <w:rFonts w:ascii="宋体" w:cs="宋体"/>
                <w:color w:val="000000"/>
                <w:szCs w:val="21"/>
              </w:rPr>
            </w:pPr>
            <w:r>
              <w:rPr>
                <w:rFonts w:hint="eastAsia" w:ascii="宋体" w:hAnsi="宋体" w:cs="宋体"/>
                <w:color w:val="000000"/>
                <w:kern w:val="0"/>
                <w:szCs w:val="21"/>
              </w:rPr>
              <w:t>本部门本年度无相关采购情况，按要求空表列示。</w:t>
            </w:r>
          </w:p>
        </w:tc>
      </w:tr>
    </w:tbl>
    <w:p>
      <w:pPr>
        <w:widowControl/>
        <w:spacing w:after="0" w:line="560" w:lineRule="exact"/>
        <w:jc w:val="left"/>
        <w:rPr>
          <w:rFonts w:ascii="仿宋_GB2312" w:hAnsi="宋体" w:eastAsia="仿宋_GB2312"/>
          <w:b/>
          <w:sz w:val="28"/>
          <w:szCs w:val="28"/>
          <w:highlight w:val="yellow"/>
        </w:rPr>
      </w:pP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4" o:spid="_x0000_s1071"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5" o:spid="_x0000_s1072"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w:pict>
          <v:group id="组合 18" o:spid="_x0000_s1073" o:spt="203" style="position:absolute;left:0pt;margin-left:-79.5pt;margin-top:29.3pt;height:43.95pt;width:301.85pt;mso-position-vertical-relative:page;z-index:251659264;mso-width-relative:page;mso-height-relative:page;" coordorigin="4551,52615" coordsize="8546,1398">
            <o:lock v:ext="edit"/>
            <v:rect id="矩形 13" o:spid="_x0000_s1074" o:spt="1" style="position:absolute;left:4551;top:52615;height:1175;width:8546;v-text-anchor:middle;" fillcolor="#96DA9D" filled="t" stroked="f" coordsize="21600,21600">
              <v:path/>
              <v:fill on="t" focussize="0,0"/>
              <v:stroke on="f" weight="2pt"/>
              <v:imagedata o:title=""/>
              <o:lock v:ext="edit"/>
            </v:rect>
            <v:rect id="矩形 14" o:spid="_x0000_s107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年度收入总计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万元。与</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年度决算相比，收入各增加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年度支出总计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万元。与</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年度决算相比，支出各增加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年度本年收入合计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万元，其中：财政拨款收入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100%</w:t>
      </w:r>
      <w:r>
        <w:rPr>
          <w:rFonts w:hint="eastAsia" w:ascii="仿宋_GB2312" w:hAnsi="Cambria" w:eastAsia="仿宋_GB2312" w:cs="ArialUnicodeMS"/>
          <w:kern w:val="0"/>
          <w:sz w:val="32"/>
          <w:szCs w:val="32"/>
        </w:rPr>
        <w:t>；事业收入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；经营收入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；其他收入</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。如图所示：</w:t>
      </w:r>
    </w:p>
    <w:p>
      <w:pPr>
        <w:pStyle w:val="3"/>
        <w:spacing w:before="0" w:after="0" w:line="580" w:lineRule="exact"/>
        <w:rPr>
          <w:rFonts w:ascii="仿宋_GB2312" w:hAnsi="Times New Roman" w:eastAsia="仿宋_GB2312" w:cs="DengXian-Regular"/>
          <w:b w:val="0"/>
          <w:bCs w:val="0"/>
        </w:rPr>
      </w:pPr>
    </w:p>
    <w:p>
      <w:pPr>
        <w:jc w:val="center"/>
      </w:pPr>
      <w:r>
        <w:pict>
          <v:shape id="_x0000_i1025" o:spt="75" type="#_x0000_t75" style="height:154.05pt;width:279.65pt;" filled="f" o:preferrelative="t" stroked="f" coordsize="21600,21600">
            <v:path/>
            <v:fill on="f" focussize="0,0"/>
            <v:stroke on="f" joinstyle="miter"/>
            <v:imagedata r:id="rId8" o:title=""/>
            <o:lock v:ext="edit" aspectratio="t"/>
            <w10:wrap type="none"/>
            <w10:anchorlock/>
          </v:shape>
        </w:pict>
      </w:r>
    </w:p>
    <w:p>
      <w:r>
        <w:pict>
          <v:shape id="文本框 32" o:spid="_x0000_s1076" o:spt="202" type="#_x0000_t202" style="position:absolute;left:0pt;margin-left:107.5pt;margin-top:23.9pt;height:32.1pt;width:194.1pt;z-index:251659264;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1</w:t>
                  </w:r>
                  <w:r>
                    <w:rPr>
                      <w:rFonts w:hint="eastAsia" w:ascii="仿宋_GB2312" w:eastAsia="仿宋_GB2312" w:cs="DengXian-Regular"/>
                      <w:sz w:val="28"/>
                      <w:szCs w:val="28"/>
                    </w:rPr>
                    <w:t>：收入构成情况</w:t>
                  </w:r>
                </w:p>
                <w:p>
                  <w:pPr>
                    <w:rPr>
                      <w:sz w:val="20"/>
                      <w:szCs w:val="22"/>
                    </w:rPr>
                  </w:pPr>
                </w:p>
              </w:txbxContent>
            </v:textbox>
          </v:shape>
        </w:pict>
      </w:r>
    </w:p>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年度本年支出合计</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万元，其中：基本支出</w:t>
      </w:r>
      <w:r>
        <w:rPr>
          <w:rFonts w:ascii="仿宋_GB2312" w:hAnsi="Cambria" w:eastAsia="仿宋_GB2312" w:cs="ArialUnicodeMS"/>
          <w:kern w:val="0"/>
          <w:sz w:val="32"/>
          <w:szCs w:val="32"/>
        </w:rPr>
        <w:t>1120.59</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33.05%</w:t>
      </w:r>
      <w:r>
        <w:rPr>
          <w:rFonts w:hint="eastAsia" w:ascii="仿宋_GB2312" w:hAnsi="Cambria" w:eastAsia="仿宋_GB2312" w:cs="ArialUnicodeMS"/>
          <w:kern w:val="0"/>
          <w:sz w:val="32"/>
          <w:szCs w:val="32"/>
        </w:rPr>
        <w:t>；项目支出</w:t>
      </w:r>
      <w:r>
        <w:rPr>
          <w:rFonts w:ascii="仿宋_GB2312" w:hAnsi="Cambria" w:eastAsia="仿宋_GB2312" w:cs="ArialUnicodeMS"/>
          <w:kern w:val="0"/>
          <w:sz w:val="32"/>
          <w:szCs w:val="32"/>
        </w:rPr>
        <w:t>2270.07</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66.95%</w:t>
      </w:r>
      <w:r>
        <w:rPr>
          <w:rFonts w:hint="eastAsia" w:ascii="仿宋_GB2312" w:hAnsi="Cambria" w:eastAsia="仿宋_GB2312" w:cs="ArialUnicodeMS"/>
          <w:kern w:val="0"/>
          <w:sz w:val="32"/>
          <w:szCs w:val="32"/>
        </w:rPr>
        <w:t>；经营支出</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w:t>
      </w:r>
      <w:r>
        <w:rPr>
          <w:rFonts w:hint="eastAsia" w:ascii="仿宋_GB2312" w:hAnsi="Cambria" w:eastAsia="仿宋_GB2312" w:cs="ArialUnicodeMS"/>
          <w:kern w:val="0"/>
          <w:sz w:val="32"/>
          <w:szCs w:val="32"/>
        </w:rPr>
        <w:t>。如图所示：</w:t>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r>
        <w:pict>
          <v:group id="组合 70" o:spid="_x0000_s1077" o:spt="203" style="position:absolute;left:0pt;margin-left:-79.5pt;margin-top:29.3pt;height:43.95pt;width:301.85pt;mso-position-vertical-relative:page;z-index:251659264;mso-width-relative:page;mso-height-relative:page;" coordorigin="4551,52615" coordsize="8546,1398">
            <o:lock v:ext="edit"/>
            <v:rect id="矩形 13" o:spid="_x0000_s1078" o:spt="1" style="position:absolute;left:4551;top:52615;height:1175;width:8546;v-text-anchor:middle;" fillcolor="#96DA9D" filled="t" stroked="f" coordsize="21600,21600">
              <v:path/>
              <v:fill on="t" focussize="0,0"/>
              <v:stroke on="f" weight="2pt"/>
              <v:imagedata o:title=""/>
              <o:lock v:ext="edit"/>
            </v:rect>
            <v:rect id="矩形 14" o:spid="_x0000_s107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pStyle w:val="3"/>
        <w:spacing w:before="0" w:after="0" w:line="580" w:lineRule="exact"/>
        <w:ind w:firstLine="643" w:firstLineChars="200"/>
        <w:jc w:val="center"/>
        <w:rPr>
          <w:rFonts w:ascii="黑体" w:eastAsia="黑体"/>
        </w:rPr>
      </w:pPr>
      <w:r>
        <w:pict>
          <v:shape id="图片 1" o:spid="_x0000_s1080" o:spt="75" type="#_x0000_t75" style="position:absolute;left:0pt;margin-left:108.85pt;margin-top:-107.15pt;height:130.6pt;width:256.2pt;z-index:251659264;mso-width-relative:page;mso-height-relative:page;" filled="f" o:preferrelative="t" stroked="f" coordsize="21600,21600">
            <v:path/>
            <v:fill on="f" focussize="0,0"/>
            <v:stroke on="f" joinstyle="miter"/>
            <v:imagedata r:id="rId9" o:title=""/>
            <o:lock v:ext="edit" aspectratio="t"/>
          </v:shape>
        </w:pict>
      </w:r>
    </w:p>
    <w:p>
      <w:pPr>
        <w:pStyle w:val="3"/>
        <w:spacing w:before="0" w:after="0" w:line="580" w:lineRule="exact"/>
        <w:ind w:firstLine="643" w:firstLineChars="200"/>
        <w:rPr>
          <w:rFonts w:ascii="黑体" w:eastAsia="黑体"/>
          <w:b w:val="0"/>
          <w:bCs w:val="0"/>
        </w:rPr>
      </w:pPr>
      <w:r>
        <w:pict>
          <v:shape id="文本框 30" o:spid="_x0000_s1081" o:spt="202" type="#_x0000_t202" style="position:absolute;left:0pt;margin-left:106.85pt;margin-top:21.1pt;height:42.2pt;width:248.7pt;z-index:-251656192;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2</w:t>
                  </w:r>
                  <w:r>
                    <w:rPr>
                      <w:rFonts w:hint="eastAsia" w:ascii="仿宋_GB2312" w:eastAsia="仿宋_GB2312" w:cs="DengXian-Regular"/>
                      <w:sz w:val="28"/>
                      <w:szCs w:val="28"/>
                    </w:rPr>
                    <w:t>：支出构成情况（按支出性质）</w:t>
                  </w:r>
                </w:p>
                <w:p>
                  <w:pPr>
                    <w:rPr>
                      <w:sz w:val="20"/>
                      <w:szCs w:val="22"/>
                    </w:rPr>
                  </w:pPr>
                </w:p>
              </w:txbxContent>
            </v:textbox>
          </v:shape>
        </w:pic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hAnsi="Cambria" w:eastAsia="黑体" w:cs="黑体"/>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年度财政拨款本年收入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w:t>
      </w:r>
      <w:r>
        <w:rPr>
          <w:rFonts w:ascii="仿宋_GB2312" w:hAnsi="Cambria" w:eastAsia="仿宋_GB2312" w:cs="ArialUnicodeMS"/>
          <w:kern w:val="0"/>
          <w:sz w:val="32"/>
          <w:szCs w:val="32"/>
        </w:rPr>
        <w:t>,</w:t>
      </w:r>
      <w:r>
        <w:rPr>
          <w:rFonts w:hint="eastAsia" w:ascii="仿宋_GB2312" w:hAnsi="Cambria" w:eastAsia="仿宋_GB2312" w:cs="ArialUnicodeMS"/>
          <w:kern w:val="0"/>
          <w:sz w:val="32"/>
          <w:szCs w:val="32"/>
        </w:rPr>
        <w:t>比</w:t>
      </w:r>
      <w:r>
        <w:rPr>
          <w:rFonts w:ascii="仿宋_GB2312" w:hAnsi="Cambria" w:eastAsia="仿宋_GB2312" w:cs="ArialUnicodeMS"/>
          <w:kern w:val="0"/>
          <w:sz w:val="32"/>
          <w:szCs w:val="32"/>
        </w:rPr>
        <w:t>2017</w:t>
      </w:r>
      <w:r>
        <w:rPr>
          <w:rFonts w:hint="eastAsia" w:ascii="仿宋_GB2312" w:hAnsi="Cambria" w:eastAsia="仿宋_GB2312" w:cs="ArialUnicodeMS"/>
          <w:kern w:val="0"/>
          <w:sz w:val="32"/>
          <w:szCs w:val="32"/>
        </w:rPr>
        <w:t>年度增加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万元，增加</w:t>
      </w:r>
      <w:r>
        <w:rPr>
          <w:rFonts w:ascii="仿宋_GB2312" w:hAnsi="Cambria" w:eastAsia="仿宋_GB2312" w:cs="ArialUnicodeMS"/>
          <w:kern w:val="0"/>
          <w:sz w:val="32"/>
          <w:szCs w:val="32"/>
        </w:rPr>
        <w:t>1928.22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131.85%</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其中：一般公共预算财政拨款本年收入</w:t>
      </w:r>
      <w:r>
        <w:rPr>
          <w:rFonts w:ascii="仿宋_GB2312" w:hAnsi="Cambria" w:eastAsia="仿宋_GB2312" w:cs="ArialUnicodeMS"/>
          <w:kern w:val="0"/>
          <w:sz w:val="32"/>
          <w:szCs w:val="32"/>
        </w:rPr>
        <w:t>2358.66</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896.22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2358.66</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896.22</w:t>
      </w:r>
      <w:r>
        <w:rPr>
          <w:rFonts w:hint="eastAsia" w:ascii="仿宋_GB2312" w:hAnsi="Cambria" w:eastAsia="仿宋_GB2312" w:cs="ArialUnicodeMS"/>
          <w:kern w:val="0"/>
          <w:sz w:val="32"/>
          <w:szCs w:val="32"/>
        </w:rPr>
        <w:t>万元，增长</w:t>
      </w:r>
      <w:r>
        <w:rPr>
          <w:rFonts w:ascii="仿宋_GB2312" w:hAnsi="Cambria" w:eastAsia="仿宋_GB2312" w:cs="ArialUnicodeMS"/>
          <w:kern w:val="0"/>
          <w:sz w:val="32"/>
          <w:szCs w:val="32"/>
        </w:rPr>
        <w:t>61.28%</w:t>
      </w:r>
      <w:r>
        <w:rPr>
          <w:rFonts w:hint="eastAsia" w:ascii="仿宋_GB2312" w:hAnsi="Cambria" w:eastAsia="仿宋_GB2312" w:cs="ArialUnicodeMS"/>
          <w:kern w:val="0"/>
          <w:sz w:val="32"/>
          <w:szCs w:val="32"/>
        </w:rPr>
        <w:t>，主要是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年度项目投入大，导致项目资金增加；人员工资涨幅大，导致基本支出增大。政府性基金预算财政拨款本年收入</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年度项目投入大，导致项目资金增加；本年支出</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万元，比上年增加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w:t>
      </w:r>
    </w:p>
    <w:p>
      <w:pPr>
        <w:adjustRightInd w:val="0"/>
        <w:snapToGrid w:val="0"/>
        <w:spacing w:after="0" w:line="580" w:lineRule="exact"/>
        <w:ind w:firstLine="420" w:firstLineChars="200"/>
        <w:rPr>
          <w:rFonts w:ascii="仿宋_GB2312" w:eastAsia="仿宋_GB2312" w:cs="DengXian-Regular"/>
          <w:sz w:val="32"/>
          <w:szCs w:val="32"/>
        </w:rPr>
      </w:pPr>
      <w:r>
        <w:pict>
          <v:group id="_x0000_s1082" o:spid="_x0000_s1082" o:spt="203" style="position:absolute;left:0pt;margin-left:51.3pt;margin-top:2.55pt;height:249.95pt;width:331.1pt;z-index:251659264;mso-width-relative:page;mso-height-relative:page;" coordorigin="2614,6789" coordsize="6622,4999">
            <o:lock v:ext="edit"/>
            <v:shape id="文本框 66" o:spid="_x0000_s1083" o:spt="202" type="#_x0000_t202" style="position:absolute;left:2614;top:10945;height:843;width:6622;"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3</w:t>
                    </w:r>
                    <w:r>
                      <w:rPr>
                        <w:rFonts w:hint="eastAsia" w:ascii="仿宋_GB2312" w:eastAsia="仿宋_GB2312" w:cs="DengXian-Regular"/>
                        <w:sz w:val="28"/>
                        <w:szCs w:val="28"/>
                      </w:rPr>
                      <w:t>：</w:t>
                    </w:r>
                    <w:r>
                      <w:rPr>
                        <w:rFonts w:ascii="仿宋_GB2312" w:eastAsia="仿宋_GB2312" w:cs="DengXian-Regular"/>
                        <w:sz w:val="28"/>
                        <w:szCs w:val="28"/>
                      </w:rPr>
                      <w:t>2017-2018</w:t>
                    </w:r>
                    <w:r>
                      <w:rPr>
                        <w:rFonts w:hint="eastAsia" w:ascii="仿宋_GB2312" w:eastAsia="仿宋_GB2312" w:cs="DengXian-Regular"/>
                        <w:sz w:val="28"/>
                        <w:szCs w:val="28"/>
                      </w:rPr>
                      <w:t>年财政拨款收支情况</w:t>
                    </w:r>
                  </w:p>
                  <w:p>
                    <w:pPr>
                      <w:rPr>
                        <w:sz w:val="20"/>
                        <w:szCs w:val="22"/>
                      </w:rPr>
                    </w:pPr>
                  </w:p>
                </w:txbxContent>
              </v:textbox>
            </v:shape>
            <v:shape id="_x0000_s1084" o:spid="_x0000_s1084" o:spt="75" type="#_x0000_t75" style="position:absolute;left:3198;top:6789;height:3927;width:5626;" filled="f" o:preferrelative="t" stroked="f" coordsize="21600,21600">
              <v:path/>
              <v:fill on="f" focussize="0,0"/>
              <v:stroke on="f" joinstyle="miter"/>
              <v:imagedata r:id="rId10" o:title=""/>
              <o:lock v:ext="edit" aspectratio="t"/>
            </v:shape>
          </v:group>
        </w:pict>
      </w: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jc w:val="center"/>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本部门</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年度财政拨款本年收入</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万元，完成年初预算的</w:t>
      </w:r>
      <w:r>
        <w:rPr>
          <w:rFonts w:ascii="仿宋_GB2312" w:hAnsi="Cambria" w:eastAsia="仿宋_GB2312" w:cs="ArialUnicodeMS"/>
          <w:kern w:val="0"/>
          <w:sz w:val="32"/>
          <w:szCs w:val="32"/>
        </w:rPr>
        <w:t>239.35%,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1974.05</w:t>
      </w:r>
      <w:r>
        <w:rPr>
          <w:rFonts w:hint="eastAsia" w:ascii="仿宋_GB2312" w:hAnsi="Cambria" w:eastAsia="仿宋_GB2312" w:cs="ArialUnicodeMS"/>
          <w:kern w:val="0"/>
          <w:sz w:val="32"/>
          <w:szCs w:val="32"/>
        </w:rPr>
        <w:t>万元，决算数大于预算数主要原因是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年度项目投入大，导致项目资金增加；人员工资涨幅大，导致基本支出增大；本年支出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万元，完成年初预算的</w:t>
      </w:r>
      <w:r>
        <w:rPr>
          <w:rFonts w:ascii="仿宋_GB2312" w:hAnsi="Cambria" w:eastAsia="仿宋_GB2312" w:cs="ArialUnicodeMS"/>
          <w:kern w:val="0"/>
          <w:sz w:val="32"/>
          <w:szCs w:val="32"/>
        </w:rPr>
        <w:t>239.35%,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1974.05</w:t>
      </w:r>
      <w:r>
        <w:rPr>
          <w:rFonts w:hint="eastAsia" w:ascii="仿宋_GB2312" w:hAnsi="Cambria" w:eastAsia="仿宋_GB2312" w:cs="ArialUnicodeMS"/>
          <w:kern w:val="0"/>
          <w:sz w:val="32"/>
          <w:szCs w:val="32"/>
        </w:rPr>
        <w:t>万元，决算数大于预算数主要原因是主要是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其中，一般公共预算财政拨款本年收入完成年初预算</w:t>
      </w:r>
      <w:r>
        <w:rPr>
          <w:rFonts w:ascii="仿宋_GB2312" w:hAnsi="Cambria" w:eastAsia="仿宋_GB2312" w:cs="ArialUnicodeMS"/>
          <w:kern w:val="0"/>
          <w:sz w:val="32"/>
          <w:szCs w:val="32"/>
        </w:rPr>
        <w:t>166.5%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942.05</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年度项目投入大，导致项目资金增加；人员工资涨幅大，导致基本支出增大；支出完成年初预算</w:t>
      </w:r>
      <w:r>
        <w:rPr>
          <w:rFonts w:ascii="仿宋_GB2312" w:hAnsi="Cambria" w:eastAsia="仿宋_GB2312" w:cs="ArialUnicodeMS"/>
          <w:kern w:val="0"/>
          <w:sz w:val="32"/>
          <w:szCs w:val="32"/>
        </w:rPr>
        <w:t>166.5%</w:t>
      </w:r>
      <w:r>
        <w:rPr>
          <w:rFonts w:hint="eastAsia" w:ascii="仿宋_GB2312" w:hAnsi="Cambria" w:eastAsia="仿宋_GB2312" w:cs="ArialUnicodeMS"/>
          <w:kern w:val="0"/>
          <w:sz w:val="32"/>
          <w:szCs w:val="32"/>
        </w:rPr>
        <w:t>，比年初预算增加</w:t>
      </w:r>
      <w:r>
        <w:rPr>
          <w:rFonts w:ascii="仿宋_GB2312" w:hAnsi="Cambria" w:eastAsia="仿宋_GB2312" w:cs="ArialUnicodeMS"/>
          <w:kern w:val="0"/>
          <w:sz w:val="32"/>
          <w:szCs w:val="32"/>
        </w:rPr>
        <w:t>942.05</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年度项目投入大，导致项目资金增加；人员工资涨幅大，导致基本支出增大。政府性基金预算财政拨款本年收入比年初预算增加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年度项目投入大，导致项目资金增加；人员工资涨幅大，导致基本支出增大；支出比年初预算增加</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万元，主要是</w:t>
      </w:r>
      <w:r>
        <w:rPr>
          <w:rFonts w:ascii="仿宋_GB2312" w:hAnsi="Cambria" w:eastAsia="仿宋_GB2312" w:cs="ArialUnicodeMS"/>
          <w:kern w:val="0"/>
          <w:sz w:val="32"/>
          <w:szCs w:val="32"/>
        </w:rPr>
        <w:t>2018</w:t>
      </w:r>
      <w:r>
        <w:rPr>
          <w:rFonts w:hint="eastAsia" w:ascii="仿宋_GB2312" w:hAnsi="Cambria" w:eastAsia="仿宋_GB2312" w:cs="ArialUnicodeMS"/>
          <w:kern w:val="0"/>
          <w:sz w:val="32"/>
          <w:szCs w:val="32"/>
        </w:rPr>
        <w:t>年度项目投入大，导致项目资金增加；人员工资涨幅大，导致基本支出增大。</w:t>
      </w:r>
    </w:p>
    <w:p>
      <w:pPr>
        <w:adjustRightInd w:val="0"/>
        <w:snapToGrid w:val="0"/>
        <w:spacing w:after="0" w:line="580" w:lineRule="exact"/>
        <w:ind w:firstLine="420" w:firstLineChars="200"/>
        <w:rPr>
          <w:rFonts w:ascii="仿宋_GB2312" w:eastAsia="仿宋_GB2312" w:cs="DengXian-Regular"/>
          <w:sz w:val="32"/>
          <w:szCs w:val="32"/>
        </w:rPr>
      </w:pPr>
      <w:r>
        <w:pict>
          <v:group id="_x0000_s1085" o:spid="_x0000_s1085" o:spt="203" style="position:absolute;left:0pt;margin-left:46pt;margin-top:-0.15pt;height:237.75pt;width:343.15pt;z-index:251659264;mso-width-relative:page;mso-height-relative:page;" coordorigin="2508,10215" coordsize="6863,4755">
            <o:lock v:ext="edit"/>
            <v:shape id="文本框 28" o:spid="_x0000_s1086" o:spt="202" type="#_x0000_t202" style="position:absolute;left:2508;top:14191;height:779;width:6863;"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w:t>
                    </w:r>
                    <w:r>
                      <w:rPr>
                        <w:rFonts w:ascii="仿宋_GB2312" w:eastAsia="仿宋_GB2312" w:cs="DengXian-Regular"/>
                        <w:sz w:val="24"/>
                      </w:rPr>
                      <w:t>4</w:t>
                    </w:r>
                    <w:r>
                      <w:rPr>
                        <w:rFonts w:hint="eastAsia" w:ascii="仿宋_GB2312" w:eastAsia="仿宋_GB2312" w:cs="DengXian-Regular"/>
                        <w:sz w:val="24"/>
                      </w:rPr>
                      <w:t>：财政拨款收支预决算对比情况</w:t>
                    </w:r>
                  </w:p>
                  <w:p>
                    <w:pPr>
                      <w:rPr>
                        <w:sz w:val="18"/>
                        <w:szCs w:val="21"/>
                      </w:rPr>
                    </w:pPr>
                  </w:p>
                </w:txbxContent>
              </v:textbox>
            </v:shape>
            <v:shape id="_x0000_s1087" o:spid="_x0000_s1087" o:spt="75" type="#_x0000_t75" style="position:absolute;left:3265;top:10215;height:3976;width:5643;" filled="f" o:preferrelative="t" stroked="f" coordsize="21600,21600">
              <v:path/>
              <v:fill on="f" focussize="0,0"/>
              <v:stroke on="f" joinstyle="miter"/>
              <v:imagedata r:id="rId11" o:title=""/>
              <o:lock v:ext="edit" aspectratio="t"/>
            </v:shape>
          </v:group>
        </w:pic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jc w:val="center"/>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年度财政拨款支出</w:t>
      </w:r>
      <w:r>
        <w:rPr>
          <w:rFonts w:ascii="仿宋_GB2312" w:hAnsi="Cambria" w:eastAsia="仿宋_GB2312" w:cs="ArialUnicodeMS"/>
          <w:kern w:val="0"/>
          <w:sz w:val="32"/>
          <w:szCs w:val="32"/>
        </w:rPr>
        <w:t>3390.66</w:t>
      </w:r>
      <w:r>
        <w:rPr>
          <w:rFonts w:hint="eastAsia" w:ascii="仿宋_GB2312" w:hAnsi="Cambria" w:eastAsia="仿宋_GB2312" w:cs="ArialUnicodeMS"/>
          <w:kern w:val="0"/>
          <w:sz w:val="32"/>
          <w:szCs w:val="32"/>
        </w:rPr>
        <w:t>万元，主要用于以下方面科学技术支出</w:t>
      </w:r>
      <w:r>
        <w:rPr>
          <w:rFonts w:ascii="仿宋_GB2312" w:hAnsi="Cambria" w:eastAsia="仿宋_GB2312" w:cs="ArialUnicodeMS"/>
          <w:kern w:val="0"/>
          <w:sz w:val="32"/>
          <w:szCs w:val="32"/>
        </w:rPr>
        <w:t>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0.18%</w:t>
      </w:r>
      <w:r>
        <w:rPr>
          <w:rFonts w:hint="eastAsia" w:ascii="仿宋_GB2312" w:hAnsi="Cambria" w:eastAsia="仿宋_GB2312" w:cs="ArialUnicodeMS"/>
          <w:kern w:val="0"/>
          <w:sz w:val="32"/>
          <w:szCs w:val="32"/>
        </w:rPr>
        <w:t>；节能环保支出</w:t>
      </w:r>
      <w:r>
        <w:rPr>
          <w:rFonts w:ascii="仿宋_GB2312" w:hAnsi="Cambria" w:eastAsia="仿宋_GB2312" w:cs="ArialUnicodeMS"/>
          <w:kern w:val="0"/>
          <w:sz w:val="32"/>
          <w:szCs w:val="32"/>
        </w:rPr>
        <w:t>148.46</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4.38%</w:t>
      </w:r>
      <w:r>
        <w:rPr>
          <w:rFonts w:hint="eastAsia" w:ascii="仿宋_GB2312" w:hAnsi="Cambria" w:eastAsia="仿宋_GB2312" w:cs="ArialUnicodeMS"/>
          <w:kern w:val="0"/>
          <w:sz w:val="32"/>
          <w:szCs w:val="32"/>
        </w:rPr>
        <w:t>；城乡社区支出</w:t>
      </w:r>
      <w:r>
        <w:rPr>
          <w:rFonts w:ascii="仿宋_GB2312" w:hAnsi="Cambria" w:eastAsia="仿宋_GB2312" w:cs="ArialUnicodeMS"/>
          <w:kern w:val="0"/>
          <w:sz w:val="32"/>
          <w:szCs w:val="32"/>
        </w:rPr>
        <w:t>1032</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30.43%</w:t>
      </w:r>
      <w:r>
        <w:rPr>
          <w:rFonts w:hint="eastAsia" w:ascii="仿宋_GB2312" w:hAnsi="Cambria" w:eastAsia="仿宋_GB2312" w:cs="ArialUnicodeMS"/>
          <w:kern w:val="0"/>
          <w:sz w:val="32"/>
          <w:szCs w:val="32"/>
        </w:rPr>
        <w:t>；农林水支出</w:t>
      </w:r>
      <w:r>
        <w:rPr>
          <w:rFonts w:ascii="仿宋_GB2312" w:hAnsi="Cambria" w:eastAsia="仿宋_GB2312" w:cs="ArialUnicodeMS"/>
          <w:kern w:val="0"/>
          <w:sz w:val="32"/>
          <w:szCs w:val="32"/>
        </w:rPr>
        <w:t>2204.2</w:t>
      </w:r>
      <w:r>
        <w:rPr>
          <w:rFonts w:hint="eastAsia" w:ascii="仿宋_GB2312" w:hAnsi="Cambria" w:eastAsia="仿宋_GB2312" w:cs="ArialUnicodeMS"/>
          <w:kern w:val="0"/>
          <w:sz w:val="32"/>
          <w:szCs w:val="32"/>
        </w:rPr>
        <w:t>万元，占</w:t>
      </w:r>
      <w:r>
        <w:rPr>
          <w:rFonts w:ascii="仿宋_GB2312" w:hAnsi="Cambria" w:eastAsia="仿宋_GB2312" w:cs="ArialUnicodeMS"/>
          <w:kern w:val="0"/>
          <w:sz w:val="32"/>
          <w:szCs w:val="32"/>
        </w:rPr>
        <w:t>65.01%</w:t>
      </w:r>
      <w:r>
        <w:rPr>
          <w:rFonts w:hint="eastAsia" w:ascii="仿宋_GB2312" w:hAnsi="Cambria" w:eastAsia="仿宋_GB2312" w:cs="ArialUnicodeMS"/>
          <w:kern w:val="0"/>
          <w:sz w:val="32"/>
          <w:szCs w:val="32"/>
        </w:rPr>
        <w:t>。</w: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jc w:val="center"/>
        <w:rPr>
          <w:rFonts w:ascii="楷体_GB2312" w:eastAsia="楷体_GB2312" w:cs="DengXian-Bold"/>
          <w:b/>
          <w:bCs/>
          <w:sz w:val="32"/>
          <w:szCs w:val="32"/>
        </w:rPr>
      </w:pPr>
      <w:r>
        <w:pict>
          <v:shape id="_x0000_s1088" o:spid="_x0000_s1088" o:spt="75" type="#_x0000_t75" style="position:absolute;left:0pt;margin-left:104.05pt;margin-top:-97.8pt;height:121.4pt;width:254.5pt;z-index:251659264;mso-width-relative:page;mso-height-relative:page;" filled="f" o:preferrelative="t" stroked="f" coordsize="21600,21600">
            <v:path/>
            <v:fill on="f" focussize="0,0"/>
            <v:stroke on="f" joinstyle="miter"/>
            <v:imagedata r:id="rId12" o:title=""/>
            <o:lock v:ext="edit" aspectratio="t"/>
          </v:shape>
        </w:pict>
      </w:r>
    </w:p>
    <w:p>
      <w:pPr>
        <w:adjustRightInd w:val="0"/>
        <w:snapToGrid w:val="0"/>
        <w:spacing w:after="0" w:line="580" w:lineRule="exact"/>
        <w:ind w:left="420" w:leftChars="200"/>
        <w:rPr>
          <w:rFonts w:ascii="楷体_GB2312" w:eastAsia="楷体_GB2312" w:cs="DengXian-Bold"/>
          <w:b/>
          <w:bCs/>
          <w:sz w:val="32"/>
          <w:szCs w:val="32"/>
        </w:rPr>
      </w:pPr>
      <w:r>
        <w:pict>
          <v:shape id="_x0000_s1089" o:spid="_x0000_s1089" o:spt="202" type="#_x0000_t202" style="position:absolute;left:0pt;margin-left:86.35pt;margin-top:13.95pt;height:52pt;width:296.35pt;z-index:-251656192;mso-width-relative:page;mso-height-relative:page;" fillcolor="#C8ECCC" filled="t" stroked="f" coordsize="21600,2160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w:t>
                  </w:r>
                  <w:r>
                    <w:rPr>
                      <w:rFonts w:ascii="仿宋_GB2312" w:eastAsia="仿宋_GB2312" w:cs="DengXian-Regular"/>
                      <w:sz w:val="28"/>
                      <w:szCs w:val="28"/>
                    </w:rPr>
                    <w:t>5</w:t>
                  </w:r>
                  <w:r>
                    <w:rPr>
                      <w:rFonts w:hint="eastAsia" w:ascii="仿宋_GB2312" w:eastAsia="仿宋_GB2312" w:cs="DengXian-Regular"/>
                      <w:sz w:val="28"/>
                      <w:szCs w:val="28"/>
                    </w:rPr>
                    <w:t>：财政拨款支出决算结构（按功能分类）</w:t>
                  </w:r>
                </w:p>
                <w:p>
                  <w:pPr>
                    <w:rPr>
                      <w:sz w:val="20"/>
                      <w:szCs w:val="22"/>
                    </w:rPr>
                  </w:pPr>
                </w:p>
              </w:txbxContent>
            </v:textbox>
          </v:shape>
        </w:pic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pict>
          <v:group id="组合 79" o:spid="_x0000_s1090" o:spt="203" style="position:absolute;left:0pt;margin-left:-79.5pt;margin-top:29.3pt;height:43.95pt;width:301.85pt;mso-position-vertical-relative:page;z-index:251659264;mso-width-relative:page;mso-height-relative:page;" coordorigin="4551,52615" coordsize="8546,1398">
            <o:lock v:ext="edit"/>
            <v:rect id="矩形 13" o:spid="_x0000_s1091" o:spt="1" style="position:absolute;left:4551;top:52615;height:1175;width:8546;v-text-anchor:middle;" fillcolor="#96DA9D" filled="t" stroked="f" coordsize="21600,21600">
              <v:path/>
              <v:fill on="t" focussize="0,0"/>
              <v:stroke on="f" weight="2pt"/>
              <v:imagedata o:title=""/>
              <o:lock v:ext="edit"/>
            </v:rect>
            <v:rect id="矩形 14" o:spid="_x0000_s109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pict>
          <v:group id="组合 23" o:spid="_x0000_s1093" o:spt="203" style="position:absolute;left:0pt;margin-left:-79.5pt;margin-top:29.3pt;height:43.95pt;width:301.85pt;mso-position-vertical-relative:page;z-index:251659264;mso-width-relative:page;mso-height-relative:page;" coordorigin="4551,52615" coordsize="8546,1398">
            <o:lock v:ext="edit"/>
            <v:rect id="矩形 13" o:spid="_x0000_s1094" o:spt="1" style="position:absolute;left:4551;top:52615;height:1175;width:8546;v-text-anchor:middle;" fillcolor="#96DA9D" filled="t" stroked="f" coordsize="21600,21600">
              <v:path/>
              <v:fill on="t" focussize="0,0"/>
              <v:stroke on="f" weight="2pt"/>
              <v:imagedata o:title=""/>
              <o:lock v:ext="edit"/>
            </v:rect>
            <v:rect id="矩形 14" o:spid="_x0000_s109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hAnsi="Cambria" w:eastAsia="仿宋_GB2312" w:cs="ArialUnicodeMS"/>
          <w:kern w:val="0"/>
          <w:sz w:val="32"/>
          <w:szCs w:val="32"/>
        </w:rPr>
      </w:pP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年度一般公共预算财政拨款基本支出</w:t>
      </w:r>
      <w:r>
        <w:rPr>
          <w:rFonts w:ascii="仿宋_GB2312" w:hAnsi="Cambria" w:eastAsia="仿宋_GB2312" w:cs="ArialUnicodeMS"/>
          <w:kern w:val="0"/>
          <w:sz w:val="32"/>
          <w:szCs w:val="32"/>
        </w:rPr>
        <w:t>1120.59</w:t>
      </w:r>
      <w:r>
        <w:rPr>
          <w:rFonts w:hint="eastAsia" w:ascii="仿宋_GB2312" w:hAnsi="Cambria" w:eastAsia="仿宋_GB2312" w:cs="ArialUnicodeMS"/>
          <w:kern w:val="0"/>
          <w:sz w:val="32"/>
          <w:szCs w:val="32"/>
        </w:rPr>
        <w:t>万元，其中：人员经费</w:t>
      </w:r>
      <w:r>
        <w:rPr>
          <w:rFonts w:ascii="仿宋_GB2312" w:hAnsi="Cambria" w:eastAsia="仿宋_GB2312" w:cs="ArialUnicodeMS"/>
          <w:kern w:val="0"/>
          <w:sz w:val="32"/>
          <w:szCs w:val="32"/>
        </w:rPr>
        <w:t>1071.35</w:t>
      </w:r>
      <w:r>
        <w:rPr>
          <w:rFonts w:hint="eastAsia" w:ascii="仿宋_GB2312" w:hAnsi="Cambria" w:eastAsia="仿宋_GB2312" w:cs="ArialUnicodeMS"/>
          <w:kern w:val="0"/>
          <w:sz w:val="32"/>
          <w:szCs w:val="32"/>
        </w:rPr>
        <w:t>万元，主要包括基本工资、津贴补贴、奖金、绩效工资、机关事业单位基本养老保险缴费、职业年金缴费、职工基本医疗保险缴费、住房公积金、其他社会保障缴费、其他工资福利支出、生活补助；公用经费</w:t>
      </w:r>
      <w:r>
        <w:rPr>
          <w:rFonts w:ascii="仿宋_GB2312" w:hAnsi="Cambria" w:eastAsia="仿宋_GB2312" w:cs="ArialUnicodeMS"/>
          <w:kern w:val="0"/>
          <w:sz w:val="32"/>
          <w:szCs w:val="32"/>
        </w:rPr>
        <w:t>49.24</w:t>
      </w:r>
      <w:r>
        <w:rPr>
          <w:rFonts w:hint="eastAsia" w:ascii="仿宋_GB2312" w:hAnsi="Cambria" w:eastAsia="仿宋_GB2312" w:cs="ArialUnicodeMS"/>
          <w:kern w:val="0"/>
          <w:sz w:val="32"/>
          <w:szCs w:val="32"/>
        </w:rPr>
        <w:t>万元，主要包括办公费、手续费、水费、电费、邮电费、差旅费、公务用车运行维护费。</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hAnsi="仿宋" w:eastAsia="仿宋_GB2312" w:cs="DengXian-Regular"/>
          <w:sz w:val="32"/>
          <w:szCs w:val="32"/>
        </w:rPr>
      </w:pPr>
      <w:r>
        <w:rPr>
          <w:rFonts w:hint="eastAsia" w:ascii="仿宋_GB2312" w:hAnsi="仿宋" w:eastAsia="仿宋_GB2312" w:cs="DengXian-Regular"/>
          <w:sz w:val="32"/>
          <w:szCs w:val="32"/>
        </w:rPr>
        <w:t>本部门</w:t>
      </w:r>
      <w:r>
        <w:rPr>
          <w:rFonts w:ascii="仿宋_GB2312" w:hAnsi="仿宋" w:eastAsia="仿宋_GB2312" w:cs="DengXian-Regular"/>
          <w:sz w:val="32"/>
          <w:szCs w:val="32"/>
        </w:rPr>
        <w:t>2018</w:t>
      </w:r>
      <w:r>
        <w:rPr>
          <w:rFonts w:hint="eastAsia" w:ascii="仿宋_GB2312" w:hAnsi="仿宋" w:eastAsia="仿宋_GB2312" w:cs="DengXian-Regular"/>
          <w:sz w:val="32"/>
          <w:szCs w:val="32"/>
        </w:rPr>
        <w:t>年度</w:t>
      </w:r>
      <w:r>
        <w:rPr>
          <w:rFonts w:ascii="仿宋_GB2312" w:hAnsi="仿宋" w:eastAsia="仿宋_GB2312" w:cs="DengXian-Regular"/>
          <w:sz w:val="32"/>
          <w:szCs w:val="32"/>
        </w:rPr>
        <w:t xml:space="preserve"> </w:t>
      </w:r>
      <w:r>
        <w:rPr>
          <w:rFonts w:hint="eastAsia" w:ascii="仿宋_GB2312" w:hAnsi="仿宋" w:eastAsia="仿宋_GB2312" w:cs="DengXian-Regular"/>
          <w:sz w:val="32"/>
          <w:szCs w:val="32"/>
        </w:rPr>
        <w:t>“三公”经费支出共计</w:t>
      </w:r>
      <w:r>
        <w:rPr>
          <w:rFonts w:ascii="仿宋_GB2312" w:hAnsi="仿宋" w:eastAsia="仿宋_GB2312" w:cs="DengXian-Regular"/>
          <w:sz w:val="32"/>
          <w:szCs w:val="32"/>
        </w:rPr>
        <w:t>10.31</w:t>
      </w:r>
      <w:r>
        <w:rPr>
          <w:rFonts w:hint="eastAsia" w:ascii="仿宋_GB2312" w:hAnsi="仿宋" w:eastAsia="仿宋_GB2312" w:cs="DengXian-Regular"/>
          <w:sz w:val="32"/>
          <w:szCs w:val="32"/>
        </w:rPr>
        <w:t>万元，</w:t>
      </w:r>
      <w:r>
        <w:rPr>
          <w:rFonts w:hint="eastAsia" w:ascii="仿宋_GB2312" w:hAnsi="仿宋" w:eastAsia="仿宋_GB2312" w:cs="DengXian-Regular"/>
          <w:b/>
          <w:bCs/>
          <w:sz w:val="32"/>
          <w:szCs w:val="32"/>
        </w:rPr>
        <w:t>较年初预算减少</w:t>
      </w:r>
      <w:r>
        <w:rPr>
          <w:rFonts w:ascii="仿宋_GB2312" w:hAnsi="仿宋" w:eastAsia="仿宋_GB2312" w:cs="DengXian-Regular"/>
          <w:b/>
          <w:bCs/>
          <w:sz w:val="32"/>
          <w:szCs w:val="32"/>
        </w:rPr>
        <w:t>2.58</w:t>
      </w:r>
      <w:r>
        <w:rPr>
          <w:rFonts w:hint="eastAsia" w:ascii="仿宋_GB2312" w:hAnsi="仿宋" w:eastAsia="仿宋_GB2312" w:cs="DengXian-Regular"/>
          <w:b/>
          <w:bCs/>
          <w:sz w:val="32"/>
          <w:szCs w:val="32"/>
        </w:rPr>
        <w:t>万元，降低</w:t>
      </w:r>
      <w:r>
        <w:rPr>
          <w:rFonts w:ascii="仿宋_GB2312" w:hAnsi="仿宋" w:eastAsia="仿宋_GB2312" w:cs="DengXian-Regular"/>
          <w:b/>
          <w:bCs/>
          <w:sz w:val="32"/>
          <w:szCs w:val="32"/>
        </w:rPr>
        <w:t>20.02%</w:t>
      </w:r>
      <w:r>
        <w:rPr>
          <w:rFonts w:hint="eastAsia" w:ascii="仿宋_GB2312" w:hAnsi="仿宋" w:eastAsia="仿宋_GB2312" w:cs="DengXian-Regular"/>
          <w:b/>
          <w:bCs/>
          <w:sz w:val="32"/>
          <w:szCs w:val="32"/>
        </w:rPr>
        <w:t>，</w:t>
      </w:r>
      <w:r>
        <w:rPr>
          <w:rFonts w:hint="eastAsia" w:ascii="仿宋_GB2312" w:hAnsi="仿宋" w:eastAsia="仿宋_GB2312" w:cs="DengXian-Regular"/>
          <w:sz w:val="32"/>
          <w:szCs w:val="32"/>
        </w:rPr>
        <w:t>主要是认真贯彻落实中央</w:t>
      </w:r>
      <w:bookmarkStart w:id="0" w:name="_GoBack"/>
      <w:bookmarkEnd w:id="0"/>
      <w:r>
        <w:rPr>
          <w:rFonts w:hint="eastAsia" w:ascii="仿宋_GB2312" w:hAnsi="仿宋" w:eastAsia="仿宋_GB2312" w:cs="DengXian-Regular"/>
          <w:sz w:val="32"/>
          <w:szCs w:val="32"/>
        </w:rPr>
        <w:t>八项规定精神和厉行节约要求，从严控制“三公”经费开支，全年实际支出比预算有所节约。具体情况如下：</w:t>
      </w:r>
    </w:p>
    <w:p>
      <w:pPr>
        <w:adjustRightInd w:val="0"/>
        <w:snapToGrid w:val="0"/>
        <w:spacing w:after="0" w:line="580" w:lineRule="exact"/>
        <w:ind w:firstLine="643" w:firstLineChars="200"/>
        <w:rPr>
          <w:rFonts w:ascii="仿宋_GB2312" w:hAnsi="仿宋" w:eastAsia="仿宋_GB2312" w:cs="DengXian-Regular"/>
          <w:sz w:val="32"/>
          <w:szCs w:val="32"/>
        </w:rPr>
      </w:pPr>
      <w:r>
        <w:rPr>
          <w:rFonts w:hint="eastAsia" w:ascii="楷体_GB2312" w:eastAsia="楷体_GB2312" w:cs="DengXian-Bold"/>
          <w:b/>
          <w:bCs/>
          <w:sz w:val="32"/>
          <w:szCs w:val="32"/>
        </w:rPr>
        <w:t>（</w:t>
      </w:r>
      <w:r>
        <w:pict>
          <v:group id="组合 82" o:spid="_x0000_s1096" o:spt="203" style="position:absolute;left:0pt;margin-left:-79.5pt;margin-top:29.3pt;height:43.95pt;width:301.85pt;mso-position-vertical-relative:page;z-index:251659264;mso-width-relative:page;mso-height-relative:page;" coordorigin="4551,52615" coordsize="8546,1398">
            <o:lock v:ext="edit"/>
            <v:rect id="矩形 13" o:spid="_x0000_s1097" o:spt="1" style="position:absolute;left:4551;top:52615;height:1175;width:8546;v-text-anchor:middle;" fillcolor="#96DA9D" filled="t" stroked="f" coordsize="21600,21600">
              <v:path/>
              <v:fill on="t" focussize="0,0"/>
              <v:stroke on="f" weight="2pt"/>
              <v:imagedata o:title=""/>
              <o:lock v:ext="edit"/>
            </v:rect>
            <v:rect id="矩形 14" o:spid="_x0000_s1098"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rPr>
          <w:rFonts w:hint="eastAsia" w:ascii="仿宋_GB2312" w:hAnsi="仿宋" w:eastAsia="仿宋_GB2312" w:cs="DengXian-Regular"/>
          <w:sz w:val="32"/>
          <w:szCs w:val="32"/>
        </w:rPr>
        <w:t>本部门</w:t>
      </w:r>
      <w:r>
        <w:rPr>
          <w:rFonts w:ascii="仿宋_GB2312" w:hAnsi="仿宋" w:eastAsia="仿宋_GB2312" w:cs="DengXian-Regular"/>
          <w:sz w:val="32"/>
          <w:szCs w:val="32"/>
        </w:rPr>
        <w:t>2018</w:t>
      </w:r>
      <w:r>
        <w:rPr>
          <w:rFonts w:hint="eastAsia" w:ascii="仿宋_GB2312" w:hAnsi="仿宋" w:eastAsia="仿宋_GB2312" w:cs="DengXian-Regular"/>
          <w:sz w:val="32"/>
          <w:szCs w:val="32"/>
        </w:rPr>
        <w:t>年度未发生因公出国（境）费用。</w:t>
      </w:r>
    </w:p>
    <w:p>
      <w:pPr>
        <w:adjustRightInd w:val="0"/>
        <w:snapToGrid w:val="0"/>
        <w:spacing w:after="0" w:line="580" w:lineRule="exact"/>
        <w:ind w:firstLine="643" w:firstLineChars="200"/>
        <w:rPr>
          <w:rFonts w:ascii="仿宋_GB2312" w:hAnsi="宋体" w:eastAsia="仿宋_GB2312" w:cs="DengXian-Bold"/>
          <w:b/>
          <w:bCs/>
          <w:sz w:val="32"/>
          <w:szCs w:val="32"/>
        </w:rPr>
      </w:pPr>
      <w:r>
        <w:rPr>
          <w:rFonts w:hint="eastAsia" w:ascii="楷体_GB2312" w:eastAsia="楷体_GB2312" w:cs="DengXian-Bold"/>
          <w:b/>
          <w:bCs/>
          <w:sz w:val="32"/>
          <w:szCs w:val="32"/>
        </w:rPr>
        <w:t>（二）公务用车购置及运行维护费支出</w:t>
      </w:r>
      <w:r>
        <w:rPr>
          <w:rFonts w:ascii="楷体_GB2312" w:eastAsia="楷体_GB2312" w:cs="DengXian-Bold"/>
          <w:b/>
          <w:bCs/>
          <w:sz w:val="32"/>
          <w:szCs w:val="32"/>
        </w:rPr>
        <w:t>10.31</w:t>
      </w:r>
      <w:r>
        <w:rPr>
          <w:rFonts w:hint="eastAsia" w:ascii="楷体_GB2312" w:eastAsia="楷体_GB2312" w:cs="DengXian-Bold"/>
          <w:b/>
          <w:bCs/>
          <w:sz w:val="32"/>
          <w:szCs w:val="32"/>
        </w:rPr>
        <w:t>万元。</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年度公务用车购置及运行维护费较年初预算减少</w:t>
      </w:r>
      <w:r>
        <w:rPr>
          <w:rFonts w:ascii="仿宋_GB2312" w:hAnsi="宋体" w:eastAsia="仿宋_GB2312" w:cs="DengXian-Regular"/>
          <w:sz w:val="32"/>
          <w:szCs w:val="32"/>
        </w:rPr>
        <w:t>2.19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17.52%,</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r>
        <w:rPr>
          <w:rFonts w:hint="eastAsia" w:ascii="仿宋_GB2312" w:hAnsi="宋体" w:eastAsia="仿宋_GB2312" w:cs="DengXian-Bold"/>
          <w:b/>
          <w:bCs/>
          <w:sz w:val="32"/>
          <w:szCs w:val="32"/>
        </w:rPr>
        <w:t>其中：</w:t>
      </w:r>
    </w:p>
    <w:p>
      <w:pPr>
        <w:adjustRightInd w:val="0"/>
        <w:snapToGrid w:val="0"/>
        <w:spacing w:after="0" w:line="580" w:lineRule="exact"/>
        <w:ind w:firstLine="643" w:firstLineChars="200"/>
        <w:rPr>
          <w:rFonts w:ascii="仿宋_GB2312" w:hAnsi="宋体" w:eastAsia="仿宋_GB2312" w:cs="DengXian-Regular"/>
          <w:sz w:val="32"/>
          <w:szCs w:val="32"/>
        </w:rPr>
      </w:pPr>
      <w:r>
        <w:rPr>
          <w:rFonts w:hint="eastAsia" w:ascii="仿宋_GB2312" w:hAnsi="宋体" w:eastAsia="仿宋_GB2312" w:cs="DengXian-Regular"/>
          <w:b/>
          <w:sz w:val="32"/>
          <w:szCs w:val="32"/>
        </w:rPr>
        <w:t>公务用车购置费：</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年度未发生公务用车购置经费支出，与年初预算持平。</w:t>
      </w:r>
    </w:p>
    <w:p>
      <w:pPr>
        <w:adjustRightInd w:val="0"/>
        <w:snapToGrid w:val="0"/>
        <w:spacing w:after="0" w:line="580" w:lineRule="exact"/>
        <w:ind w:firstLine="643" w:firstLineChars="200"/>
        <w:rPr>
          <w:rFonts w:ascii="仿宋_GB2312" w:hAnsi="宋体"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年度单位公务用车保有量</w:t>
      </w:r>
      <w:r>
        <w:rPr>
          <w:rFonts w:ascii="仿宋_GB2312" w:hAnsi="宋体" w:eastAsia="仿宋_GB2312" w:cs="DengXian-Regular"/>
          <w:sz w:val="32"/>
          <w:szCs w:val="32"/>
        </w:rPr>
        <w:t>7</w:t>
      </w:r>
      <w:r>
        <w:rPr>
          <w:rFonts w:hint="eastAsia" w:ascii="仿宋_GB2312" w:hAnsi="宋体" w:eastAsia="仿宋_GB2312" w:cs="DengXian-Regular"/>
          <w:sz w:val="32"/>
          <w:szCs w:val="32"/>
        </w:rPr>
        <w:t>辆。公车运行维护费支出较年初预算减少</w:t>
      </w:r>
      <w:r>
        <w:rPr>
          <w:rFonts w:ascii="仿宋_GB2312" w:hAnsi="宋体" w:eastAsia="仿宋_GB2312" w:cs="DengXian-Regular"/>
          <w:sz w:val="32"/>
          <w:szCs w:val="32"/>
        </w:rPr>
        <w:t>2.19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17.52%,</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（三）公务接待费支出</w:t>
      </w:r>
      <w:r>
        <w:rPr>
          <w:rFonts w:ascii="楷体_GB2312" w:eastAsia="楷体_GB2312" w:cs="DengXian-Bold"/>
          <w:b/>
          <w:bCs/>
          <w:sz w:val="32"/>
          <w:szCs w:val="32"/>
        </w:rPr>
        <w:t>0</w:t>
      </w:r>
      <w:r>
        <w:rPr>
          <w:rFonts w:hint="eastAsia" w:ascii="楷体_GB2312" w:eastAsia="楷体_GB2312" w:cs="DengXian-Bold"/>
          <w:b/>
          <w:bCs/>
          <w:sz w:val="32"/>
          <w:szCs w:val="32"/>
        </w:rPr>
        <w:t>万元。</w:t>
      </w:r>
      <w:r>
        <w:pict>
          <v:group id="组合 85" o:spid="_x0000_s1099" o:spt="203" style="position:absolute;left:0pt;margin-left:-79.5pt;margin-top:29.3pt;height:43.95pt;width:301.85pt;mso-position-vertical-relative:page;z-index:251659264;mso-width-relative:page;mso-height-relative:page;" coordorigin="4551,52615" coordsize="8546,1398">
            <o:lock v:ext="edit"/>
            <v:rect id="矩形 13" o:spid="_x0000_s1100" o:spt="1" style="position:absolute;left:4551;top:52615;height:1175;width:8546;v-text-anchor:middle;" fillcolor="#96DA9D" filled="t" stroked="f" coordsize="21600,21600">
              <v:path/>
              <v:fill on="t" focussize="0,0"/>
              <v:stroke on="f" weight="2pt"/>
              <v:imagedata o:title=""/>
              <o:lock v:ext="edit"/>
            </v:rect>
            <v:rect id="矩形 14" o:spid="_x0000_s1101"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年度未发生公务接待费用支出。公务接待费支出较年初预算减少</w:t>
      </w:r>
      <w:r>
        <w:rPr>
          <w:rFonts w:ascii="仿宋_GB2312" w:hAnsi="宋体" w:eastAsia="仿宋_GB2312" w:cs="DengXian-Regular"/>
          <w:sz w:val="32"/>
          <w:szCs w:val="32"/>
        </w:rPr>
        <w:t>0.39</w:t>
      </w:r>
      <w:r>
        <w:rPr>
          <w:rFonts w:hint="eastAsia" w:ascii="仿宋_GB2312" w:hAnsi="宋体" w:eastAsia="仿宋_GB2312" w:cs="DengXian-Regular"/>
          <w:sz w:val="32"/>
          <w:szCs w:val="32"/>
        </w:rPr>
        <w:t>万元，降低</w:t>
      </w:r>
      <w:r>
        <w:rPr>
          <w:rFonts w:ascii="仿宋_GB2312" w:hAnsi="宋体" w:eastAsia="仿宋_GB2312" w:cs="DengXian-Regular"/>
          <w:sz w:val="32"/>
          <w:szCs w:val="32"/>
        </w:rPr>
        <w:t>100%,</w:t>
      </w:r>
      <w:r>
        <w:rPr>
          <w:rFonts w:hint="eastAsia" w:ascii="仿宋_GB2312" w:hAnsi="宋体" w:eastAsia="仿宋_GB2312" w:cs="DengXian-Regular"/>
          <w:sz w:val="32"/>
          <w:szCs w:val="32"/>
        </w:rPr>
        <w:t>主要是认真贯彻落实中央八项规定精神和厉行节约要求，从严控制“三公”经费开支，全年实际支出比预算有所节约。</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（一）预算绩效管理工作开展情况。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根据预算绩效管理要求，我单位组织对</w:t>
      </w:r>
      <w:r>
        <w:rPr>
          <w:rFonts w:ascii="仿宋_GB2312" w:eastAsia="仿宋_GB2312" w:cs="DengXian-Regular"/>
          <w:sz w:val="32"/>
          <w:szCs w:val="32"/>
        </w:rPr>
        <w:t>2018</w:t>
      </w:r>
      <w:r>
        <w:rPr>
          <w:rFonts w:hint="eastAsia" w:ascii="仿宋_GB2312" w:eastAsia="仿宋_GB2312" w:cs="DengXian-Regular"/>
          <w:sz w:val="32"/>
          <w:szCs w:val="32"/>
        </w:rPr>
        <w:t>年度一般公共预算项目支出全面开展绩效自评，其中，一级项目</w:t>
      </w:r>
      <w:r>
        <w:rPr>
          <w:rFonts w:ascii="仿宋_GB2312" w:eastAsia="仿宋_GB2312" w:cs="DengXian-Regular"/>
          <w:sz w:val="32"/>
          <w:szCs w:val="32"/>
        </w:rPr>
        <w:t>8</w:t>
      </w:r>
      <w:r>
        <w:rPr>
          <w:rFonts w:hint="eastAsia" w:ascii="仿宋_GB2312" w:eastAsia="仿宋_GB2312" w:cs="DengXian-Regular"/>
          <w:sz w:val="32"/>
          <w:szCs w:val="32"/>
        </w:rPr>
        <w:t>个，共涉及资金</w:t>
      </w:r>
      <w:r>
        <w:rPr>
          <w:rFonts w:ascii="仿宋_GB2312" w:eastAsia="仿宋_GB2312" w:cs="DengXian-Regular"/>
          <w:sz w:val="32"/>
          <w:szCs w:val="32"/>
        </w:rPr>
        <w:t>1238.07</w:t>
      </w:r>
      <w:r>
        <w:rPr>
          <w:rFonts w:hint="eastAsia" w:ascii="仿宋_GB2312" w:eastAsia="仿宋_GB2312" w:cs="DengXian-Regular"/>
          <w:sz w:val="32"/>
          <w:szCs w:val="32"/>
        </w:rPr>
        <w:t>万元，占一般公共预算项目支出总额的</w:t>
      </w:r>
      <w:r>
        <w:rPr>
          <w:rFonts w:ascii="仿宋_GB2312" w:eastAsia="仿宋_GB2312" w:cs="DengXian-Regular"/>
          <w:sz w:val="32"/>
          <w:szCs w:val="32"/>
        </w:rPr>
        <w:t>100%</w:t>
      </w:r>
      <w:r>
        <w:rPr>
          <w:rFonts w:hint="eastAsia" w:ascii="仿宋_GB2312" w:eastAsia="仿宋_GB2312" w:cs="DengXian-Regular"/>
          <w:sz w:val="32"/>
          <w:szCs w:val="32"/>
        </w:rPr>
        <w:t>。组织对</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1</w:t>
      </w:r>
      <w:r>
        <w:rPr>
          <w:rFonts w:hint="eastAsia" w:ascii="仿宋_GB2312" w:eastAsia="仿宋_GB2312" w:cs="DengXian-Regular"/>
          <w:sz w:val="32"/>
          <w:szCs w:val="32"/>
        </w:rPr>
        <w:t>个政府性基金预算项目支出开展绩效自评，共涉及资金</w:t>
      </w:r>
      <w:r>
        <w:rPr>
          <w:rFonts w:ascii="仿宋_GB2312" w:eastAsia="仿宋_GB2312" w:cs="DengXian-Regular"/>
          <w:sz w:val="32"/>
          <w:szCs w:val="32"/>
        </w:rPr>
        <w:t>1032</w:t>
      </w:r>
      <w:r>
        <w:rPr>
          <w:rFonts w:hint="eastAsia" w:ascii="仿宋_GB2312" w:eastAsia="仿宋_GB2312" w:cs="DengXian-Regular"/>
          <w:sz w:val="32"/>
          <w:szCs w:val="32"/>
        </w:rPr>
        <w:t>万元，占政府性基金预算项目支出总额的</w:t>
      </w:r>
      <w:r>
        <w:rPr>
          <w:rFonts w:ascii="仿宋_GB2312" w:eastAsia="仿宋_GB2312" w:cs="DengXian-Regular"/>
          <w:sz w:val="32"/>
          <w:szCs w:val="32"/>
        </w:rPr>
        <w:t>100%</w:t>
      </w:r>
      <w:r>
        <w:rPr>
          <w:rFonts w:hint="eastAsia" w:ascii="仿宋_GB2312" w:eastAsia="仿宋_GB2312" w:cs="DengXian-Regular"/>
          <w:sz w:val="32"/>
          <w:szCs w:val="32"/>
        </w:rPr>
        <w:t>。组织对森林培育等</w:t>
      </w:r>
      <w:r>
        <w:rPr>
          <w:rFonts w:ascii="仿宋_GB2312" w:eastAsia="仿宋_GB2312" w:cs="DengXian-Regular"/>
          <w:sz w:val="32"/>
          <w:szCs w:val="32"/>
        </w:rPr>
        <w:t>8</w:t>
      </w:r>
      <w:r>
        <w:rPr>
          <w:rFonts w:hint="eastAsia" w:ascii="仿宋_GB2312" w:eastAsia="仿宋_GB2312" w:cs="DengXian-Regular"/>
          <w:sz w:val="32"/>
          <w:szCs w:val="32"/>
        </w:rPr>
        <w:t>个项目开展了部门评价，涉及一般公共预算支出</w:t>
      </w:r>
      <w:r>
        <w:rPr>
          <w:rFonts w:ascii="仿宋_GB2312" w:eastAsia="仿宋_GB2312" w:cs="DengXian-Regular"/>
          <w:sz w:val="32"/>
          <w:szCs w:val="32"/>
        </w:rPr>
        <w:t>1238.07</w:t>
      </w:r>
      <w:r>
        <w:rPr>
          <w:rFonts w:hint="eastAsia" w:ascii="仿宋_GB2312" w:eastAsia="仿宋_GB2312" w:cs="DengXian-Regular"/>
          <w:sz w:val="32"/>
          <w:szCs w:val="32"/>
        </w:rPr>
        <w:t>万元，政府性基金预算支出</w:t>
      </w:r>
      <w:r>
        <w:rPr>
          <w:rFonts w:ascii="仿宋_GB2312" w:eastAsia="仿宋_GB2312" w:cs="DengXian-Regular"/>
          <w:sz w:val="32"/>
          <w:szCs w:val="32"/>
        </w:rPr>
        <w:t>1032</w:t>
      </w:r>
      <w:r>
        <w:rPr>
          <w:rFonts w:hint="eastAsia" w:ascii="仿宋_GB2312" w:eastAsia="仿宋_GB2312" w:cs="DengXian-Regular"/>
          <w:sz w:val="32"/>
          <w:szCs w:val="32"/>
        </w:rPr>
        <w:t>万元。</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（二）项目绩效自评结果。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我单位在今年部门决算公开中反映</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森林培育项目及城市建设项目</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after="0"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森林培育项目自评综述：根据年初设定的绩效目标，森林培育项目绩效自评得分为</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分。全年预算数为</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。项目绩效目标完成情况：一是完成人工造林</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万亩；二是及时拨付造林资金</w:t>
      </w:r>
      <w:r>
        <w:rPr>
          <w:rFonts w:ascii="仿宋_GB2312" w:hAnsi="仿宋_GB2312" w:eastAsia="仿宋_GB2312" w:cs="仿宋_GB2312"/>
          <w:sz w:val="32"/>
          <w:szCs w:val="32"/>
        </w:rPr>
        <w:t>927.11</w:t>
      </w:r>
      <w:r>
        <w:rPr>
          <w:rFonts w:hint="eastAsia" w:ascii="仿宋_GB2312" w:hAnsi="仿宋_GB2312" w:eastAsia="仿宋_GB2312" w:cs="仿宋_GB2312"/>
          <w:sz w:val="32"/>
          <w:szCs w:val="32"/>
        </w:rPr>
        <w:t>万元。发现的主要问题及原因：一是资金下达不及时；二是造林的成活率有待提高。下一步改进措施：一是继续加大对造林的补贴资金；二是提高造林的成活率。</w:t>
      </w:r>
    </w:p>
    <w:p>
      <w:pPr>
        <w:numPr>
          <w:ilvl w:val="0"/>
          <w:numId w:val="2"/>
        </w:numPr>
        <w:adjustRightInd w:val="0"/>
        <w:snapToGrid w:val="0"/>
        <w:spacing w:after="0"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城市建设项目自评综述：根据年初设定的绩效目标，森林培育项目绩效自评得分为</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分。全年预算数为</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万元，执行数为</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万元，完成预算的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。项目绩效目标完成情况：一是完成廊道绿化四处；二是及时拨付廊道绿化资金</w:t>
      </w:r>
      <w:r>
        <w:rPr>
          <w:rFonts w:ascii="仿宋_GB2312" w:hAnsi="仿宋_GB2312" w:eastAsia="仿宋_GB2312" w:cs="仿宋_GB2312"/>
          <w:sz w:val="32"/>
          <w:szCs w:val="32"/>
        </w:rPr>
        <w:t>1032</w:t>
      </w:r>
      <w:r>
        <w:rPr>
          <w:rFonts w:hint="eastAsia" w:ascii="仿宋_GB2312" w:hAnsi="仿宋_GB2312" w:eastAsia="仿宋_GB2312" w:cs="仿宋_GB2312"/>
          <w:sz w:val="32"/>
          <w:szCs w:val="32"/>
        </w:rPr>
        <w:t>万元。发现的主要问题及原因：一是资金紧张下达不及时；二是廊道绿化造林成活率有待提高。下一步改进措施：一是继续加大对廊道绿化资金的投入；二是提高廊道绿化造林的成活率。</w:t>
      </w:r>
    </w:p>
    <w:p>
      <w:pPr>
        <w:adjustRightInd w:val="0"/>
        <w:snapToGrid w:val="0"/>
        <w:spacing w:after="0" w:line="580" w:lineRule="exact"/>
        <w:ind w:left="640"/>
        <w:rPr>
          <w:rFonts w:hint="eastAsia" w:ascii="楷体_GB2312" w:eastAsia="楷体_GB2312" w:cs="DengXian-Bold"/>
          <w:b/>
          <w:bCs/>
          <w:sz w:val="32"/>
          <w:szCs w:val="32"/>
        </w:rPr>
      </w:pPr>
      <w:r>
        <w:rPr>
          <w:rFonts w:hint="eastAsia" w:ascii="楷体_GB2312" w:eastAsia="楷体_GB2312" w:cs="DengXian-Bold"/>
          <w:b/>
          <w:bCs/>
          <w:sz w:val="32"/>
          <w:szCs w:val="32"/>
        </w:rPr>
        <w:t>（三）财政评价项目绩效评价结果。</w:t>
      </w:r>
    </w:p>
    <w:p>
      <w:pPr>
        <w:adjustRightInd w:val="0"/>
        <w:snapToGrid w:val="0"/>
        <w:spacing w:after="0" w:line="580" w:lineRule="exact"/>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hAnsi="宋体" w:eastAsia="仿宋_GB2312" w:cs="DengXian-Regular"/>
          <w:sz w:val="32"/>
          <w:szCs w:val="32"/>
        </w:rPr>
      </w:pPr>
      <w:r>
        <w:rPr>
          <w:rFonts w:hint="eastAsia" w:ascii="仿宋_GB2312" w:hAnsi="宋体" w:eastAsia="仿宋_GB2312" w:cs="DengXian-Regular"/>
          <w:sz w:val="32"/>
          <w:szCs w:val="32"/>
        </w:rPr>
        <w:t>本部门</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年度机关运行经费支出</w:t>
      </w:r>
      <w:r>
        <w:rPr>
          <w:rFonts w:ascii="仿宋_GB2312" w:hAnsi="宋体" w:eastAsia="仿宋_GB2312" w:cs="DengXian-Regular"/>
          <w:sz w:val="32"/>
          <w:szCs w:val="32"/>
        </w:rPr>
        <w:t>49.24</w:t>
      </w:r>
      <w:r>
        <w:rPr>
          <w:rFonts w:hint="eastAsia" w:ascii="仿宋_GB2312" w:hAnsi="宋体" w:eastAsia="仿宋_GB2312" w:cs="DengXian-Regular"/>
          <w:sz w:val="32"/>
          <w:szCs w:val="32"/>
        </w:rPr>
        <w:t>万元，比年初预算数增加</w:t>
      </w:r>
      <w:r>
        <w:rPr>
          <w:rFonts w:ascii="仿宋_GB2312" w:hAnsi="宋体" w:eastAsia="仿宋_GB2312" w:cs="DengXian-Regular"/>
          <w:sz w:val="32"/>
          <w:szCs w:val="32"/>
        </w:rPr>
        <w:t>12.43</w:t>
      </w:r>
      <w:r>
        <w:rPr>
          <w:rFonts w:hint="eastAsia" w:ascii="仿宋_GB2312" w:hAnsi="宋体" w:eastAsia="仿宋_GB2312" w:cs="DengXian-Regular"/>
          <w:sz w:val="32"/>
          <w:szCs w:val="32"/>
        </w:rPr>
        <w:t>万元，增长</w:t>
      </w:r>
      <w:r>
        <w:rPr>
          <w:rFonts w:ascii="仿宋_GB2312" w:hAnsi="宋体" w:eastAsia="仿宋_GB2312" w:cs="DengXian-Regular"/>
          <w:sz w:val="32"/>
          <w:szCs w:val="32"/>
        </w:rPr>
        <w:t>33.77%</w:t>
      </w:r>
      <w:r>
        <w:rPr>
          <w:rFonts w:hint="eastAsia" w:ascii="仿宋_GB2312" w:hAnsi="宋体" w:eastAsia="仿宋_GB2312" w:cs="DengXian-Regular"/>
          <w:sz w:val="32"/>
          <w:szCs w:val="32"/>
        </w:rPr>
        <w:t>。主要原因是</w:t>
      </w:r>
      <w:r>
        <w:rPr>
          <w:rFonts w:ascii="仿宋_GB2312" w:hAnsi="宋体" w:eastAsia="仿宋_GB2312" w:cs="DengXian-Regular"/>
          <w:sz w:val="32"/>
          <w:szCs w:val="32"/>
        </w:rPr>
        <w:t>2018</w:t>
      </w:r>
      <w:r>
        <w:rPr>
          <w:rFonts w:hint="eastAsia" w:ascii="仿宋_GB2312" w:hAnsi="宋体" w:eastAsia="仿宋_GB2312" w:cs="DengXian-Regular"/>
          <w:sz w:val="32"/>
          <w:szCs w:val="32"/>
        </w:rPr>
        <w:t>年度临时性工作增加，导致办公经费增加。</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000000"/>
          <w:kern w:val="0"/>
          <w:sz w:val="32"/>
          <w:szCs w:val="32"/>
        </w:rPr>
      </w:pPr>
      <w:r>
        <w:rPr>
          <w:rFonts w:hint="eastAsia" w:ascii="仿宋_GB2312" w:hAnsi="Times New Roman" w:eastAsia="仿宋_GB2312" w:cs="DengXian-Regular"/>
          <w:b w:val="0"/>
          <w:bCs w:val="0"/>
          <w:sz w:val="32"/>
          <w:szCs w:val="32"/>
        </w:rPr>
        <w:t>本部门</w:t>
      </w:r>
      <w:r>
        <w:rPr>
          <w:rFonts w:ascii="仿宋_GB2312" w:hAnsi="Times New Roman" w:eastAsia="仿宋_GB2312" w:cs="DengXian-Regular"/>
          <w:b w:val="0"/>
          <w:bCs w:val="0"/>
          <w:sz w:val="32"/>
          <w:szCs w:val="32"/>
        </w:rPr>
        <w:t>2019</w:t>
      </w:r>
      <w:r>
        <w:rPr>
          <w:rFonts w:hint="eastAsia" w:ascii="仿宋_GB2312" w:hAnsi="Times New Roman" w:eastAsia="仿宋_GB2312" w:cs="DengXian-Regular"/>
          <w:b w:val="0"/>
          <w:bCs w:val="0"/>
          <w:sz w:val="32"/>
          <w:szCs w:val="32"/>
        </w:rPr>
        <w:t>年度政府采购支出总额</w:t>
      </w:r>
      <w:r>
        <w:rPr>
          <w:rFonts w:hint="eastAsia" w:ascii="仿宋_GB2312" w:hAnsi="Times New Roman" w:eastAsia="仿宋_GB2312" w:cs="DengXian-Regular"/>
          <w:b w:val="0"/>
          <w:bCs w:val="0"/>
          <w:sz w:val="32"/>
          <w:szCs w:val="32"/>
          <w:lang w:val="en-US" w:eastAsia="zh-CN"/>
        </w:rPr>
        <w:t>0</w:t>
      </w:r>
      <w:r>
        <w:rPr>
          <w:rFonts w:hint="eastAsia" w:ascii="仿宋_GB2312" w:hAnsi="Times New Roman" w:eastAsia="仿宋_GB2312" w:cs="DengXian-Regular"/>
          <w:b w:val="0"/>
          <w:bCs w:val="0"/>
          <w:sz w:val="32"/>
          <w:szCs w:val="32"/>
        </w:rPr>
        <w:t>万元，从采购类型来看，</w:t>
      </w:r>
      <w:r>
        <w:rPr>
          <w:rFonts w:hint="eastAsia" w:ascii="仿宋_GB2312" w:hAnsi="仿宋_GB2312" w:eastAsia="仿宋_GB2312" w:cs="仿宋_GB2312"/>
          <w:b w:val="0"/>
          <w:bCs w:val="0"/>
          <w:color w:val="000000"/>
          <w:kern w:val="0"/>
          <w:sz w:val="32"/>
          <w:szCs w:val="32"/>
        </w:rPr>
        <w:t>政府采购货物支出</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rPr>
        <w:t>万元、政府采购工程支出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万元、政府采购服务支出</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万元。授予中小企业合同金</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，其中授予小微企业合同金额</w:t>
      </w:r>
      <w:r>
        <w:rPr>
          <w:rFonts w:hint="eastAsia" w:ascii="仿宋_GB2312" w:hAnsi="仿宋_GB2312" w:eastAsia="仿宋_GB2312" w:cs="仿宋_GB2312"/>
          <w:b w:val="0"/>
          <w:bCs w:val="0"/>
          <w:color w:val="000000"/>
          <w:kern w:val="0"/>
          <w:sz w:val="32"/>
          <w:szCs w:val="32"/>
          <w:lang w:val="en-US" w:eastAsia="zh-CN"/>
        </w:rPr>
        <w:t>0</w:t>
      </w:r>
      <w:r>
        <w:rPr>
          <w:rFonts w:hint="eastAsia" w:ascii="仿宋_GB2312" w:hAnsi="仿宋_GB2312" w:eastAsia="仿宋_GB2312" w:cs="仿宋_GB2312"/>
          <w:b w:val="0"/>
          <w:bCs w:val="0"/>
          <w:color w:val="000000"/>
          <w:kern w:val="0"/>
          <w:sz w:val="32"/>
          <w:szCs w:val="32"/>
        </w:rPr>
        <w:t>万元，占政府采购支出总额的</w:t>
      </w:r>
      <w:r>
        <w:rPr>
          <w:rFonts w:ascii="仿宋_GB2312" w:hAnsi="仿宋_GB2312" w:eastAsia="仿宋_GB2312" w:cs="仿宋_GB2312"/>
          <w:b w:val="0"/>
          <w:bCs w:val="0"/>
          <w:color w:val="000000"/>
          <w:kern w:val="0"/>
          <w:sz w:val="32"/>
          <w:szCs w:val="32"/>
        </w:rPr>
        <w:t xml:space="preserve"> </w:t>
      </w:r>
      <w:r>
        <w:rPr>
          <w:rFonts w:hint="eastAsia" w:ascii="仿宋_GB2312" w:hAnsi="仿宋_GB2312" w:eastAsia="仿宋_GB2312" w:cs="仿宋_GB2312"/>
          <w:b w:val="0"/>
          <w:bCs w:val="0"/>
          <w:color w:val="000000"/>
          <w:kern w:val="0"/>
          <w:sz w:val="32"/>
          <w:szCs w:val="32"/>
          <w:lang w:val="en-US" w:eastAsia="zh-CN"/>
        </w:rPr>
        <w:t>0</w:t>
      </w:r>
      <w:r>
        <w:rPr>
          <w:rFonts w:ascii="仿宋_GB2312" w:hAnsi="仿宋_GB2312" w:eastAsia="仿宋_GB2312" w:cs="仿宋_GB2312"/>
          <w:b w:val="0"/>
          <w:bCs w:val="0"/>
          <w:color w:val="000000"/>
          <w:kern w:val="0"/>
          <w:sz w:val="32"/>
          <w:szCs w:val="32"/>
        </w:rPr>
        <w:t>%</w:t>
      </w:r>
      <w:r>
        <w:rPr>
          <w:rFonts w:hint="eastAsia" w:ascii="仿宋_GB2312" w:hAnsi="仿宋_GB2312" w:eastAsia="仿宋_GB2312" w:cs="仿宋_GB2312"/>
          <w:b w:val="0"/>
          <w:bCs w:val="0"/>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ascii="仿宋_GB2312" w:eastAsia="仿宋_GB2312" w:cs="DengXian-Regular"/>
          <w:sz w:val="32"/>
          <w:szCs w:val="32"/>
        </w:rPr>
        <w:t>7</w:t>
      </w:r>
      <w:r>
        <w:rPr>
          <w:rFonts w:hint="eastAsia" w:ascii="仿宋_GB2312" w:eastAsia="仿宋_GB2312" w:cs="DengXian-Regular"/>
          <w:sz w:val="32"/>
          <w:szCs w:val="32"/>
        </w:rPr>
        <w:t>辆，比上年增加</w:t>
      </w:r>
      <w:r>
        <w:rPr>
          <w:rFonts w:ascii="仿宋_GB2312" w:eastAsia="仿宋_GB2312" w:cs="DengXian-Regular"/>
          <w:sz w:val="32"/>
          <w:szCs w:val="32"/>
        </w:rPr>
        <w:t>2</w:t>
      </w:r>
      <w:r>
        <w:rPr>
          <w:rFonts w:hint="eastAsia" w:ascii="仿宋_GB2312" w:eastAsia="仿宋_GB2312" w:cs="DengXian-Regular"/>
          <w:sz w:val="32"/>
          <w:szCs w:val="32"/>
        </w:rPr>
        <w:t>辆，主要是上级部门调配</w:t>
      </w:r>
      <w:r>
        <w:rPr>
          <w:rFonts w:ascii="仿宋_GB2312" w:eastAsia="仿宋_GB2312" w:cs="DengXian-Regular"/>
          <w:sz w:val="32"/>
          <w:szCs w:val="32"/>
        </w:rPr>
        <w:t>2</w:t>
      </w:r>
      <w:r>
        <w:rPr>
          <w:rFonts w:hint="eastAsia" w:ascii="仿宋_GB2312" w:eastAsia="仿宋_GB2312" w:cs="DengXian-Regular"/>
          <w:sz w:val="32"/>
          <w:szCs w:val="32"/>
        </w:rPr>
        <w:t>辆防火专用特种车。其中，机要通信用车</w:t>
      </w:r>
      <w:r>
        <w:rPr>
          <w:rFonts w:ascii="仿宋_GB2312" w:eastAsia="仿宋_GB2312" w:cs="DengXian-Regular"/>
          <w:sz w:val="32"/>
          <w:szCs w:val="32"/>
        </w:rPr>
        <w:t>2</w:t>
      </w:r>
      <w:r>
        <w:rPr>
          <w:rFonts w:hint="eastAsia" w:ascii="仿宋_GB2312" w:eastAsia="仿宋_GB2312" w:cs="DengXian-Regular"/>
          <w:sz w:val="32"/>
          <w:szCs w:val="32"/>
        </w:rPr>
        <w:t>辆，执法执勤用车</w:t>
      </w:r>
      <w:r>
        <w:rPr>
          <w:rFonts w:ascii="仿宋_GB2312" w:eastAsia="仿宋_GB2312" w:cs="DengXian-Regular"/>
          <w:sz w:val="32"/>
          <w:szCs w:val="32"/>
        </w:rPr>
        <w:t>2</w:t>
      </w:r>
      <w:r>
        <w:rPr>
          <w:rFonts w:hint="eastAsia" w:ascii="仿宋_GB2312" w:eastAsia="仿宋_GB2312" w:cs="DengXian-Regular"/>
          <w:sz w:val="32"/>
          <w:szCs w:val="32"/>
        </w:rPr>
        <w:t>辆，特种专业技术用车</w:t>
      </w:r>
      <w:r>
        <w:rPr>
          <w:rFonts w:ascii="仿宋_GB2312" w:eastAsia="仿宋_GB2312" w:cs="DengXian-Regular"/>
          <w:sz w:val="32"/>
          <w:szCs w:val="32"/>
        </w:rPr>
        <w:t>3</w:t>
      </w:r>
      <w:r>
        <w:rPr>
          <w:rFonts w:hint="eastAsia" w:ascii="仿宋_GB2312" w:eastAsia="仿宋_GB2312" w:cs="DengXian-Regular"/>
          <w:sz w:val="32"/>
          <w:szCs w:val="32"/>
        </w:rPr>
        <w:t>辆；单位价值</w:t>
      </w:r>
      <w:r>
        <w:rPr>
          <w:rFonts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ascii="仿宋_GB2312" w:eastAsia="仿宋_GB2312" w:cs="DengXian-Regular"/>
          <w:sz w:val="32"/>
          <w:szCs w:val="32"/>
        </w:rPr>
        <w:t>0</w:t>
      </w:r>
      <w:r>
        <w:rPr>
          <w:rFonts w:hint="eastAsia" w:ascii="仿宋_GB2312" w:eastAsia="仿宋_GB2312" w:cs="DengXian-Regular"/>
          <w:sz w:val="32"/>
          <w:szCs w:val="32"/>
        </w:rPr>
        <w:t>台（套），与上年持平，单位价值</w:t>
      </w:r>
      <w:r>
        <w:rPr>
          <w:rFonts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ascii="仿宋_GB2312" w:eastAsia="仿宋_GB2312" w:cs="DengXian-Regular"/>
          <w:sz w:val="32"/>
          <w:szCs w:val="32"/>
        </w:rPr>
        <w:t>0</w:t>
      </w:r>
      <w:r>
        <w:rPr>
          <w:rFonts w:hint="eastAsia" w:ascii="仿宋_GB2312" w:eastAsia="仿宋_GB2312" w:cs="DengXian-Regular"/>
          <w:sz w:val="32"/>
          <w:szCs w:val="32"/>
        </w:rPr>
        <w:t>台（套），与上年持平。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年度国有资本经营和政府采购无收支及结转结余情况，故国有资本经营预算财政拨款支出决算表、政府采购情况表以空表列示。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w:pict>
          <v:group id="组合 91" o:spid="_x0000_s1102" o:spt="203" style="position:absolute;left:0pt;margin-left:-79.5pt;margin-top:29.3pt;height:43.95pt;width:301.85pt;mso-position-vertical-relative:page;z-index:251659264;mso-width-relative:page;mso-height-relative:page;" coordorigin="4551,52615" coordsize="8546,1398">
            <o:lock v:ext="edit"/>
            <v:rect id="矩形 13" o:spid="_x0000_s1103" o:spt="1" style="position:absolute;left:4551;top:52615;height:1175;width:8546;v-text-anchor:middle;" fillcolor="#96DA9D" filled="t" stroked="f" coordsize="21600,21600">
              <v:path/>
              <v:fill on="t" focussize="0,0"/>
              <v:stroke on="f" weight="2pt"/>
              <v:imagedata o:title=""/>
              <o:lock v:ext="edit"/>
            </v:rect>
            <v:rect id="矩形 14" o:spid="_x0000_s1104"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pict>
          <v:shape id="图片 21" o:spid="_x0000_s1105" o:spt="75" alt="2" type="#_x0000_t75" style="position:absolute;left:0pt;margin-left:-79.45pt;margin-top:-105.35pt;height:840.95pt;width:594.5pt;z-index:-251656192;mso-width-relative:page;mso-height-relative:page;" filled="f" o:preferrelative="t" stroked="f" coordsize="21600,21600">
            <v:path/>
            <v:fill on="f" focussize="0,0"/>
            <v:stroke on="f" joinstyle="miter"/>
            <v:imagedata r:id="rId7" o:title=""/>
            <o:lock v:ext="edit" aspectratio="t"/>
          </v:shape>
        </w:pict>
      </w:r>
      <w:r>
        <w:pict>
          <v:shape id="文本框 22" o:spid="_x0000_s1106" o:spt="202" type="#_x0000_t202" style="position:absolute;left:0pt;margin-left:-78.7pt;margin-top:232.8pt;height:159.1pt;width:596.2pt;z-index:251659264;mso-width-relative:page;mso-height-relative:page;" filled="f" stroked="f" coordsize="21600,21600">
            <v:path/>
            <v:fill on="f" focussize="0,0"/>
            <v:stroke on="f" weight="0.5pt" joinstyle="miter"/>
            <v:imagedata o:title=""/>
            <o:lock v:ext="edit"/>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w:t>
      </w:r>
      <w:r>
        <w:rPr>
          <w:rFonts w:hint="eastAsia" w:ascii="宋体" w:hAnsi="宋体"/>
          <w:b/>
          <w:bCs/>
          <w:color w:val="000000"/>
          <w:kern w:val="0"/>
          <w:sz w:val="32"/>
          <w:szCs w:val="32"/>
        </w:rPr>
        <w:t>末</w:t>
      </w:r>
      <w:r>
        <w:rPr>
          <w:rFonts w:hint="eastAsia" w:ascii="仿宋_GB2312" w:hAnsi="宋体" w:eastAsia="仿宋_GB2312"/>
          <w:b/>
          <w:bCs/>
          <w:color w:val="000000"/>
          <w:kern w:val="0"/>
          <w:sz w:val="32"/>
          <w:szCs w:val="32"/>
        </w:rPr>
        <w:t>结转和结</w:t>
      </w:r>
      <w:r>
        <w:pict>
          <v:group id="组合 149" o:spid="_x0000_s1107" o:spt="203" style="position:absolute;left:0pt;margin-left:-81.05pt;margin-top:39.65pt;height:43.95pt;width:264.85pt;mso-position-vertical-relative:page;z-index:251659264;mso-width-relative:page;mso-height-relative:page;" coordorigin="4551,52615" coordsize="8546,1398">
            <o:lock v:ext="edit"/>
            <v:rect id="矩形 13" o:spid="_x0000_s1108" o:spt="1" style="position:absolute;left:4551;top:52615;height:1175;width:8546;v-text-anchor:middle;" fillcolor="#96DA9D" filled="t" stroked="f" coordsize="21600,21600">
              <v:path/>
              <v:fill on="t" focussize="0,0"/>
              <v:stroke on="f" weight="2pt"/>
              <v:imagedata o:title=""/>
              <o:lock v:ext="edit"/>
            </v:rect>
            <v:rect id="矩形 14" o:spid="_x0000_s1109"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pict>
          <v:group id="组合 94" o:spid="_x0000_s1110" o:spt="203" style="position:absolute;left:0pt;margin-left:-81.05pt;margin-top:39.65pt;height:43.95pt;width:264.85pt;mso-position-vertical-relative:page;z-index:251659264;mso-width-relative:page;mso-height-relative:page;" coordorigin="4551,52615" coordsize="8546,1398">
            <o:lock v:ext="edit"/>
            <v:rect id="矩形 13" o:spid="_x0000_s1111" o:spt="1" style="position:absolute;left:4551;top:52615;height:1175;width:8546;v-text-anchor:middle;" fillcolor="#96DA9D" filled="t" stroked="f" coordsize="21600,21600">
              <v:path/>
              <v:fill on="t" focussize="0,0"/>
              <v:stroke on="f" weight="2pt"/>
              <v:imagedata o:title=""/>
              <o:lock v:ext="edit"/>
            </v:rect>
            <v:rect id="矩形 14" o:spid="_x0000_s1112"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w:pict>
          <v:group id="组合 97" o:spid="_x0000_s1113" o:spt="203" style="position:absolute;left:0pt;margin-left:-81.05pt;margin-top:39.65pt;height:43.95pt;width:264.85pt;mso-position-vertical-relative:page;z-index:251659264;mso-width-relative:page;mso-height-relative:page;" coordorigin="4551,52615" coordsize="8546,1398">
            <o:lock v:ext="edit"/>
            <v:rect id="矩形 13" o:spid="_x0000_s1114" o:spt="1" style="position:absolute;left:4551;top:52615;height:1175;width:8546;v-text-anchor:middle;" fillcolor="#96DA9D" filled="t" stroked="f" coordsize="21600,21600">
              <v:path/>
              <v:fill on="t" focussize="0,0"/>
              <v:stroke on="f" weight="2pt"/>
              <v:imagedata o:title=""/>
              <o:lock v:ext="edit"/>
            </v:rect>
            <v:rect id="矩形 14" o:spid="_x0000_s1115" o:spt="1" style="position:absolute;left:4577;top:52890;height:1123;width:8324;v-text-anchor:middle;" fillcolor="#AD002D" filled="t" stroked="t" coordsize="21600,2160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pict>
          <v:shape id="图片 101" o:spid="_x0000_s1116" o:spt="75" alt="3" type="#_x0000_t75" style="position:absolute;left:0pt;margin-left:-78pt;margin-top:-106.7pt;height:845.35pt;width:597.65pt;z-index:-251656192;mso-width-relative:page;mso-height-relative:page;" filled="f" o:preferrelative="t" stroked="f" coordsize="21600,21600">
            <v:path/>
            <v:fill on="f" focussize="0,0"/>
            <v:stroke on="f" joinstyle="miter"/>
            <v:imagedata r:id="rId13" o:title=""/>
            <o:lock v:ext="edit" aspectratio="t"/>
          </v:shape>
        </w:pict>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70A716-92D3-4888-89A1-4C54D8E60DF2}"/>
  </w:font>
  <w:font w:name="Arial">
    <w:panose1 w:val="020B0604020202020204"/>
    <w:charset w:val="01"/>
    <w:family w:val="swiss"/>
    <w:pitch w:val="default"/>
    <w:sig w:usb0="E0002EFF" w:usb1="C000785B" w:usb2="00000009" w:usb3="00000000" w:csb0="400001FF" w:csb1="FFFF0000"/>
    <w:embedRegular r:id="rId2" w:fontKey="{2875DAF7-E220-4611-B2EA-4CD61CCC4C3E}"/>
  </w:font>
  <w:font w:name="黑体">
    <w:panose1 w:val="02010609060101010101"/>
    <w:charset w:val="86"/>
    <w:family w:val="auto"/>
    <w:pitch w:val="default"/>
    <w:sig w:usb0="800002BF" w:usb1="38CF7CFA" w:usb2="00000016" w:usb3="00000000" w:csb0="00040001" w:csb1="00000000"/>
    <w:embedRegular r:id="rId3" w:fontKey="{1C92E350-AD92-4419-96C0-A71253E1F4A6}"/>
  </w:font>
  <w:font w:name="Courier New">
    <w:panose1 w:val="02070309020205020404"/>
    <w:charset w:val="01"/>
    <w:family w:val="modern"/>
    <w:pitch w:val="default"/>
    <w:sig w:usb0="E0002EFF" w:usb1="C0007843" w:usb2="00000009" w:usb3="00000000" w:csb0="400001FF" w:csb1="FFFF0000"/>
    <w:embedRegular r:id="rId4" w:fontKey="{65C52628-F7F8-4C73-8A0D-3FAAF5373F86}"/>
  </w:font>
  <w:font w:name="Symbol">
    <w:panose1 w:val="05050102010706020507"/>
    <w:charset w:val="02"/>
    <w:family w:val="roman"/>
    <w:pitch w:val="default"/>
    <w:sig w:usb0="00000000" w:usb1="00000000" w:usb2="00000000" w:usb3="00000000" w:csb0="80000000" w:csb1="00000000"/>
    <w:embedRegular r:id="rId5" w:fontKey="{11FDD41C-454E-4B36-A68F-69362521C864}"/>
  </w:font>
  <w:font w:name="Calibri">
    <w:panose1 w:val="020F0502020204030204"/>
    <w:charset w:val="00"/>
    <w:family w:val="swiss"/>
    <w:pitch w:val="default"/>
    <w:sig w:usb0="E4002EFF" w:usb1="C000247B" w:usb2="00000009" w:usb3="00000000" w:csb0="200001FF" w:csb1="00000000"/>
    <w:embedRegular r:id="rId6" w:fontKey="{C16F4C80-EC39-40BF-BD91-323B9C348D6C}"/>
  </w:font>
  <w:font w:name="Cambria">
    <w:panose1 w:val="02040503050406030204"/>
    <w:charset w:val="00"/>
    <w:family w:val="roman"/>
    <w:pitch w:val="default"/>
    <w:sig w:usb0="E00006FF" w:usb1="420024FF" w:usb2="02000000" w:usb3="00000000" w:csb0="2000019F" w:csb1="00000000"/>
    <w:embedRegular r:id="rId7" w:fontKey="{5510DBCA-5E6A-44D7-BBD0-2A172506F59E}"/>
  </w:font>
  <w:font w:name="楷体">
    <w:panose1 w:val="02010609060101010101"/>
    <w:charset w:val="86"/>
    <w:family w:val="modern"/>
    <w:pitch w:val="default"/>
    <w:sig w:usb0="800002BF" w:usb1="38CF7CFA" w:usb2="00000016" w:usb3="00000000" w:csb0="00040001" w:csb1="00000000"/>
    <w:embedRegular r:id="rId8" w:fontKey="{EE1ABD81-3C9A-4FFD-B697-B7542EBEC54D}"/>
  </w:font>
  <w:font w:name="仿宋_GB2312">
    <w:altName w:val="仿宋"/>
    <w:panose1 w:val="00000000000000000000"/>
    <w:charset w:val="86"/>
    <w:family w:val="modern"/>
    <w:pitch w:val="default"/>
    <w:sig w:usb0="00000000" w:usb1="00000000" w:usb2="00000010" w:usb3="00000000" w:csb0="00040000" w:csb1="00000000"/>
    <w:embedRegular r:id="rId9" w:fontKey="{27E0DD59-A203-4A2D-9968-F36F14E57635}"/>
  </w:font>
  <w:font w:name="仿宋">
    <w:panose1 w:val="02010609060101010101"/>
    <w:charset w:val="86"/>
    <w:family w:val="auto"/>
    <w:pitch w:val="default"/>
    <w:sig w:usb0="800002BF" w:usb1="38CF7CFA" w:usb2="00000016" w:usb3="00000000" w:csb0="00040001" w:csb1="00000000"/>
    <w:embedRegular r:id="rId10" w:fontKey="{E1413AF9-0FBA-4A16-99C6-D81037AAF37A}"/>
  </w:font>
  <w:font w:name="MS Gothic">
    <w:panose1 w:val="020B0609070205080204"/>
    <w:charset w:val="80"/>
    <w:family w:val="modern"/>
    <w:pitch w:val="default"/>
    <w:sig w:usb0="E00002FF" w:usb1="6AC7FDFB" w:usb2="08000012" w:usb3="00000000" w:csb0="4002009F" w:csb1="DFD70000"/>
    <w:embedRegular r:id="rId11" w:fontKey="{DF56A861-1D73-47B5-9EAE-1154F9FBB83D}"/>
  </w:font>
  <w:font w:name="ArialUnicodeMS">
    <w:altName w:val="Malgun Gothic"/>
    <w:panose1 w:val="00000000000000000000"/>
    <w:charset w:val="81"/>
    <w:family w:val="auto"/>
    <w:pitch w:val="default"/>
    <w:sig w:usb0="00000000" w:usb1="00000000" w:usb2="00000010" w:usb3="00000000" w:csb0="00080000" w:csb1="00000000"/>
    <w:embedRegular r:id="rId12" w:fontKey="{D0C13316-DE7B-4EB4-A4D1-6E4CD8D563E8}"/>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7F247DE3-9C37-4C77-B86E-359100FA91D5}"/>
  </w:font>
  <w:font w:name="DengXian-Regular">
    <w:altName w:val="宋体"/>
    <w:panose1 w:val="00000000000000000000"/>
    <w:charset w:val="86"/>
    <w:family w:val="auto"/>
    <w:pitch w:val="default"/>
    <w:sig w:usb0="00000000" w:usb1="00000000" w:usb2="00000010" w:usb3="00000000" w:csb0="00040000" w:csb1="00000000"/>
    <w:embedRegular r:id="rId14" w:fontKey="{C89AA73D-A554-4353-B984-EA8EF10FFFDC}"/>
  </w:font>
  <w:font w:name="楷体_GB2312">
    <w:altName w:val="楷体"/>
    <w:panose1 w:val="00000000000000000000"/>
    <w:charset w:val="86"/>
    <w:family w:val="modern"/>
    <w:pitch w:val="default"/>
    <w:sig w:usb0="00000000" w:usb1="00000000" w:usb2="00000010" w:usb3="00000000" w:csb0="00040000" w:csb1="00000000"/>
    <w:embedRegular r:id="rId15" w:fontKey="{4A9FA598-1710-448F-A993-F51C5614395D}"/>
  </w:font>
  <w:font w:name="DengXian-Bold">
    <w:altName w:val="宋体"/>
    <w:panose1 w:val="00000000000000000000"/>
    <w:charset w:val="86"/>
    <w:family w:val="auto"/>
    <w:pitch w:val="default"/>
    <w:sig w:usb0="00000000" w:usb1="00000000" w:usb2="00000010" w:usb3="00000000" w:csb0="00040000" w:csb1="00000000"/>
    <w:embedRegular r:id="rId16" w:fontKey="{1D70B95A-E5A4-4505-B014-432A4ECD666A}"/>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embedTrueTypeFonts/>
  <w:bordersDoNotSurroundHeader w:val="1"/>
  <w:bordersDoNotSurroundFooter w:val="1"/>
  <w:doNotTrackMoves/>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1413"/>
    <w:rsid w:val="00024E7F"/>
    <w:rsid w:val="00040968"/>
    <w:rsid w:val="00042870"/>
    <w:rsid w:val="000475A0"/>
    <w:rsid w:val="0005458F"/>
    <w:rsid w:val="00077678"/>
    <w:rsid w:val="000838C3"/>
    <w:rsid w:val="000B2446"/>
    <w:rsid w:val="000D7C65"/>
    <w:rsid w:val="000E1F12"/>
    <w:rsid w:val="000E2F81"/>
    <w:rsid w:val="000E576B"/>
    <w:rsid w:val="000E64AF"/>
    <w:rsid w:val="00117946"/>
    <w:rsid w:val="00117E2C"/>
    <w:rsid w:val="00126A1F"/>
    <w:rsid w:val="00146C47"/>
    <w:rsid w:val="00152FB8"/>
    <w:rsid w:val="00171575"/>
    <w:rsid w:val="00176658"/>
    <w:rsid w:val="0018239E"/>
    <w:rsid w:val="00182695"/>
    <w:rsid w:val="001A29BD"/>
    <w:rsid w:val="001B3410"/>
    <w:rsid w:val="001C030D"/>
    <w:rsid w:val="001C4A84"/>
    <w:rsid w:val="001C6069"/>
    <w:rsid w:val="001D22A4"/>
    <w:rsid w:val="001E5902"/>
    <w:rsid w:val="001F1D8C"/>
    <w:rsid w:val="0020443D"/>
    <w:rsid w:val="00226D7E"/>
    <w:rsid w:val="00233705"/>
    <w:rsid w:val="00235AD9"/>
    <w:rsid w:val="002455AB"/>
    <w:rsid w:val="00264A4B"/>
    <w:rsid w:val="00275CA2"/>
    <w:rsid w:val="002817B0"/>
    <w:rsid w:val="00290500"/>
    <w:rsid w:val="002A65A5"/>
    <w:rsid w:val="002A67A7"/>
    <w:rsid w:val="002C04C4"/>
    <w:rsid w:val="002C2F08"/>
    <w:rsid w:val="002D08B0"/>
    <w:rsid w:val="002D0A2A"/>
    <w:rsid w:val="002D1AE3"/>
    <w:rsid w:val="002F2ECE"/>
    <w:rsid w:val="003079FA"/>
    <w:rsid w:val="00316BA7"/>
    <w:rsid w:val="0033253A"/>
    <w:rsid w:val="003345EA"/>
    <w:rsid w:val="00341C8F"/>
    <w:rsid w:val="003536C5"/>
    <w:rsid w:val="0035463A"/>
    <w:rsid w:val="00382E52"/>
    <w:rsid w:val="00391D9D"/>
    <w:rsid w:val="003A570E"/>
    <w:rsid w:val="003B6C51"/>
    <w:rsid w:val="003C1413"/>
    <w:rsid w:val="003C549F"/>
    <w:rsid w:val="003D5A16"/>
    <w:rsid w:val="003E7DB3"/>
    <w:rsid w:val="004021B9"/>
    <w:rsid w:val="00424EF4"/>
    <w:rsid w:val="00431175"/>
    <w:rsid w:val="00435C58"/>
    <w:rsid w:val="004427E1"/>
    <w:rsid w:val="00482269"/>
    <w:rsid w:val="00487CDE"/>
    <w:rsid w:val="004A01AE"/>
    <w:rsid w:val="004B6E37"/>
    <w:rsid w:val="004C32BA"/>
    <w:rsid w:val="004D6D8F"/>
    <w:rsid w:val="004D6EC3"/>
    <w:rsid w:val="004E1BA1"/>
    <w:rsid w:val="004E2763"/>
    <w:rsid w:val="00515627"/>
    <w:rsid w:val="00524396"/>
    <w:rsid w:val="00540439"/>
    <w:rsid w:val="00575922"/>
    <w:rsid w:val="00594635"/>
    <w:rsid w:val="005A6C90"/>
    <w:rsid w:val="005B28CA"/>
    <w:rsid w:val="005D5CA2"/>
    <w:rsid w:val="005D7825"/>
    <w:rsid w:val="005E3FB0"/>
    <w:rsid w:val="005F4B66"/>
    <w:rsid w:val="005F5208"/>
    <w:rsid w:val="00601D0D"/>
    <w:rsid w:val="00604F91"/>
    <w:rsid w:val="006226EB"/>
    <w:rsid w:val="00623803"/>
    <w:rsid w:val="00635800"/>
    <w:rsid w:val="00641318"/>
    <w:rsid w:val="00642872"/>
    <w:rsid w:val="0064405D"/>
    <w:rsid w:val="00650243"/>
    <w:rsid w:val="00661F71"/>
    <w:rsid w:val="00680834"/>
    <w:rsid w:val="00694F0F"/>
    <w:rsid w:val="00695557"/>
    <w:rsid w:val="006A49AC"/>
    <w:rsid w:val="006A7B79"/>
    <w:rsid w:val="006C18D6"/>
    <w:rsid w:val="006C3CB4"/>
    <w:rsid w:val="006D4EA7"/>
    <w:rsid w:val="006D6CB4"/>
    <w:rsid w:val="006D77C2"/>
    <w:rsid w:val="006E3DF2"/>
    <w:rsid w:val="0070012A"/>
    <w:rsid w:val="0070664B"/>
    <w:rsid w:val="007071B8"/>
    <w:rsid w:val="00711E85"/>
    <w:rsid w:val="00713BF7"/>
    <w:rsid w:val="007414DE"/>
    <w:rsid w:val="0074187B"/>
    <w:rsid w:val="00777464"/>
    <w:rsid w:val="007905A9"/>
    <w:rsid w:val="00790E06"/>
    <w:rsid w:val="00794FE0"/>
    <w:rsid w:val="007B0E8E"/>
    <w:rsid w:val="007B256E"/>
    <w:rsid w:val="007C6DA3"/>
    <w:rsid w:val="007E21C0"/>
    <w:rsid w:val="007E47E6"/>
    <w:rsid w:val="007E5500"/>
    <w:rsid w:val="007F0442"/>
    <w:rsid w:val="007F055B"/>
    <w:rsid w:val="00811C2F"/>
    <w:rsid w:val="00833D46"/>
    <w:rsid w:val="00834705"/>
    <w:rsid w:val="00840A97"/>
    <w:rsid w:val="008448FE"/>
    <w:rsid w:val="0085743F"/>
    <w:rsid w:val="008947EC"/>
    <w:rsid w:val="008B2CF6"/>
    <w:rsid w:val="008C0149"/>
    <w:rsid w:val="008D31F9"/>
    <w:rsid w:val="008D5DED"/>
    <w:rsid w:val="008E25CA"/>
    <w:rsid w:val="008E6064"/>
    <w:rsid w:val="008F34FC"/>
    <w:rsid w:val="008F36D4"/>
    <w:rsid w:val="0091084D"/>
    <w:rsid w:val="00912504"/>
    <w:rsid w:val="00920530"/>
    <w:rsid w:val="00922643"/>
    <w:rsid w:val="009333D5"/>
    <w:rsid w:val="00944CD7"/>
    <w:rsid w:val="00966A2F"/>
    <w:rsid w:val="009831B2"/>
    <w:rsid w:val="009A1ABE"/>
    <w:rsid w:val="009D5BE4"/>
    <w:rsid w:val="009E21A4"/>
    <w:rsid w:val="009F22C6"/>
    <w:rsid w:val="009F53B4"/>
    <w:rsid w:val="00A07E50"/>
    <w:rsid w:val="00A11941"/>
    <w:rsid w:val="00A15397"/>
    <w:rsid w:val="00A35CE0"/>
    <w:rsid w:val="00A4462E"/>
    <w:rsid w:val="00A44AA4"/>
    <w:rsid w:val="00A61623"/>
    <w:rsid w:val="00A82208"/>
    <w:rsid w:val="00A84687"/>
    <w:rsid w:val="00A84EA7"/>
    <w:rsid w:val="00A85AB8"/>
    <w:rsid w:val="00AB0A0E"/>
    <w:rsid w:val="00AC1F2B"/>
    <w:rsid w:val="00AD2263"/>
    <w:rsid w:val="00AD3B6E"/>
    <w:rsid w:val="00AF0BFD"/>
    <w:rsid w:val="00B014FA"/>
    <w:rsid w:val="00B1751F"/>
    <w:rsid w:val="00B210C0"/>
    <w:rsid w:val="00B3300C"/>
    <w:rsid w:val="00B43FC3"/>
    <w:rsid w:val="00B54B50"/>
    <w:rsid w:val="00B560BB"/>
    <w:rsid w:val="00B56722"/>
    <w:rsid w:val="00B67C6A"/>
    <w:rsid w:val="00B715F9"/>
    <w:rsid w:val="00B74D39"/>
    <w:rsid w:val="00B91DA4"/>
    <w:rsid w:val="00B93E84"/>
    <w:rsid w:val="00BA3C4E"/>
    <w:rsid w:val="00BC058C"/>
    <w:rsid w:val="00C07E4C"/>
    <w:rsid w:val="00C12630"/>
    <w:rsid w:val="00C21BA1"/>
    <w:rsid w:val="00C34562"/>
    <w:rsid w:val="00C3774E"/>
    <w:rsid w:val="00C57456"/>
    <w:rsid w:val="00C65387"/>
    <w:rsid w:val="00C76393"/>
    <w:rsid w:val="00C87FAB"/>
    <w:rsid w:val="00C91FF7"/>
    <w:rsid w:val="00C94E53"/>
    <w:rsid w:val="00CA5CD9"/>
    <w:rsid w:val="00CA687A"/>
    <w:rsid w:val="00CB24C1"/>
    <w:rsid w:val="00CC46BD"/>
    <w:rsid w:val="00CD0AB9"/>
    <w:rsid w:val="00CF0F9C"/>
    <w:rsid w:val="00CF481C"/>
    <w:rsid w:val="00CF5595"/>
    <w:rsid w:val="00D0048E"/>
    <w:rsid w:val="00D232A1"/>
    <w:rsid w:val="00D23E7A"/>
    <w:rsid w:val="00D330FA"/>
    <w:rsid w:val="00D60956"/>
    <w:rsid w:val="00D61063"/>
    <w:rsid w:val="00D64A1E"/>
    <w:rsid w:val="00D75F9E"/>
    <w:rsid w:val="00D769F2"/>
    <w:rsid w:val="00D97EB5"/>
    <w:rsid w:val="00DB2DB8"/>
    <w:rsid w:val="00DB35AF"/>
    <w:rsid w:val="00DD3BF3"/>
    <w:rsid w:val="00DD72D7"/>
    <w:rsid w:val="00DF5B88"/>
    <w:rsid w:val="00DF5C90"/>
    <w:rsid w:val="00E0589E"/>
    <w:rsid w:val="00E241FA"/>
    <w:rsid w:val="00E2595E"/>
    <w:rsid w:val="00E35374"/>
    <w:rsid w:val="00E43691"/>
    <w:rsid w:val="00E50C19"/>
    <w:rsid w:val="00E558F3"/>
    <w:rsid w:val="00E64655"/>
    <w:rsid w:val="00E73081"/>
    <w:rsid w:val="00E856C9"/>
    <w:rsid w:val="00EA392F"/>
    <w:rsid w:val="00EA41BB"/>
    <w:rsid w:val="00EB6A8B"/>
    <w:rsid w:val="00EC7C63"/>
    <w:rsid w:val="00EF38C6"/>
    <w:rsid w:val="00F14342"/>
    <w:rsid w:val="00F16540"/>
    <w:rsid w:val="00F62BBF"/>
    <w:rsid w:val="00F679C7"/>
    <w:rsid w:val="00F7711A"/>
    <w:rsid w:val="00F939C9"/>
    <w:rsid w:val="00FA0D58"/>
    <w:rsid w:val="00FA56F4"/>
    <w:rsid w:val="00FB4EDA"/>
    <w:rsid w:val="00FC3BA9"/>
    <w:rsid w:val="00FC4766"/>
    <w:rsid w:val="00FD0068"/>
    <w:rsid w:val="00FD3BD5"/>
    <w:rsid w:val="00FE3DC8"/>
    <w:rsid w:val="02A86279"/>
    <w:rsid w:val="04073F84"/>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B96314"/>
    <w:rsid w:val="53A44FAF"/>
    <w:rsid w:val="557E33BD"/>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99" w:semiHidden="0" w:name="Subtitle"/>
    <w:lsdException w:uiPriority="99" w:name="Salutation" w:locked="1"/>
    <w:lsdException w:qFormat="1" w:unhideWhenUsed="0" w:uiPriority="99"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标题 1 Char"/>
    <w:basedOn w:val="14"/>
    <w:link w:val="2"/>
    <w:qFormat/>
    <w:locked/>
    <w:uiPriority w:val="99"/>
    <w:rPr>
      <w:rFonts w:ascii="Times New Roman" w:hAnsi="Times New Roman" w:eastAsia="宋体" w:cs="Times New Roman"/>
      <w:b/>
      <w:bCs/>
      <w:kern w:val="44"/>
      <w:sz w:val="44"/>
      <w:szCs w:val="44"/>
    </w:rPr>
  </w:style>
  <w:style w:type="character" w:customStyle="1" w:styleId="16">
    <w:name w:val="标题 2 Char"/>
    <w:basedOn w:val="14"/>
    <w:link w:val="3"/>
    <w:qFormat/>
    <w:locked/>
    <w:uiPriority w:val="99"/>
    <w:rPr>
      <w:rFonts w:ascii="Calibri" w:hAnsi="Calibri" w:eastAsia="宋体" w:cs="Times New Roman"/>
      <w:b/>
      <w:bCs/>
      <w:sz w:val="32"/>
      <w:szCs w:val="32"/>
    </w:rPr>
  </w:style>
  <w:style w:type="character" w:customStyle="1" w:styleId="17">
    <w:name w:val="标题 3 Char"/>
    <w:basedOn w:val="14"/>
    <w:link w:val="4"/>
    <w:qFormat/>
    <w:locked/>
    <w:uiPriority w:val="99"/>
    <w:rPr>
      <w:rFonts w:ascii="Times New Roman" w:hAnsi="Times New Roman" w:eastAsia="宋体" w:cs="Times New Roman"/>
      <w:b/>
      <w:bCs/>
      <w:sz w:val="32"/>
      <w:szCs w:val="32"/>
    </w:rPr>
  </w:style>
  <w:style w:type="character" w:customStyle="1" w:styleId="18">
    <w:name w:val="标题 4 Char"/>
    <w:basedOn w:val="14"/>
    <w:link w:val="5"/>
    <w:qFormat/>
    <w:locked/>
    <w:uiPriority w:val="99"/>
    <w:rPr>
      <w:rFonts w:ascii="Calibri" w:hAnsi="Calibri" w:eastAsia="宋体" w:cs="Times New Roman"/>
      <w:b/>
      <w:bCs/>
      <w:sz w:val="28"/>
      <w:szCs w:val="28"/>
    </w:rPr>
  </w:style>
  <w:style w:type="character" w:customStyle="1" w:styleId="19">
    <w:name w:val="日期 Char"/>
    <w:basedOn w:val="14"/>
    <w:link w:val="6"/>
    <w:semiHidden/>
    <w:qFormat/>
    <w:locked/>
    <w:uiPriority w:val="99"/>
    <w:rPr>
      <w:rFonts w:ascii="Times New Roman" w:hAnsi="Times New Roman" w:eastAsia="宋体" w:cs="Times New Roman"/>
      <w:sz w:val="24"/>
      <w:szCs w:val="24"/>
    </w:rPr>
  </w:style>
  <w:style w:type="character" w:customStyle="1" w:styleId="20">
    <w:name w:val="批注框文本 Char"/>
    <w:basedOn w:val="14"/>
    <w:link w:val="7"/>
    <w:semiHidden/>
    <w:qFormat/>
    <w:locked/>
    <w:uiPriority w:val="99"/>
    <w:rPr>
      <w:rFonts w:ascii="Times New Roman" w:hAnsi="Times New Roman" w:eastAsia="宋体" w:cs="Times New Roman"/>
      <w:sz w:val="18"/>
      <w:szCs w:val="18"/>
    </w:rPr>
  </w:style>
  <w:style w:type="character" w:customStyle="1" w:styleId="21">
    <w:name w:val="页脚 Char"/>
    <w:basedOn w:val="14"/>
    <w:link w:val="8"/>
    <w:qFormat/>
    <w:locked/>
    <w:uiPriority w:val="99"/>
    <w:rPr>
      <w:rFonts w:cs="Times New Roman"/>
      <w:sz w:val="18"/>
      <w:szCs w:val="18"/>
    </w:rPr>
  </w:style>
  <w:style w:type="character" w:customStyle="1" w:styleId="22">
    <w:name w:val="页眉 Char"/>
    <w:basedOn w:val="14"/>
    <w:link w:val="9"/>
    <w:qFormat/>
    <w:locked/>
    <w:uiPriority w:val="99"/>
    <w:rPr>
      <w:rFonts w:cs="Times New Roman"/>
      <w:sz w:val="18"/>
      <w:szCs w:val="18"/>
    </w:rPr>
  </w:style>
  <w:style w:type="character" w:customStyle="1" w:styleId="23">
    <w:name w:val="副标题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标题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sz w:val="22"/>
      <w:szCs w:val="22"/>
      <w:lang w:val="en-US" w:eastAsia="zh-CN" w:bidi="ar-SA"/>
    </w:rPr>
  </w:style>
  <w:style w:type="character" w:customStyle="1" w:styleId="26">
    <w:name w:val="无间隔 Char"/>
    <w:basedOn w:val="14"/>
    <w:link w:val="25"/>
    <w:qFormat/>
    <w:locked/>
    <w:uiPriority w:val="99"/>
    <w:rPr>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9"/>
    <customShpInfo spid="_x0000_s1030"/>
    <customShpInfo spid="_x0000_s1028"/>
    <customShpInfo spid="_x0000_s1032"/>
    <customShpInfo spid="_x0000_s1033"/>
    <customShpInfo spid="_x0000_s1031"/>
    <customShpInfo spid="_x0000_s1034"/>
    <customShpInfo spid="_x0000_s1035"/>
    <customShpInfo spid="_x0000_s1037"/>
    <customShpInfo spid="_x0000_s1038"/>
    <customShpInfo spid="_x0000_s1036"/>
    <customShpInfo spid="_x0000_s1039"/>
    <customShpInfo spid="_x0000_s1040"/>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6"/>
    <customShpInfo spid="_x0000_s1060"/>
    <customShpInfo spid="_x0000_s1061"/>
    <customShpInfo spid="_x0000_s1059"/>
    <customShpInfo spid="_x0000_s1063"/>
    <customShpInfo spid="_x0000_s1064"/>
    <customShpInfo spid="_x0000_s1062"/>
    <customShpInfo spid="_x0000_s1066"/>
    <customShpInfo spid="_x0000_s1067"/>
    <customShpInfo spid="_x0000_s1065"/>
    <customShpInfo spid="_x0000_s1069"/>
    <customShpInfo spid="_x0000_s1070"/>
    <customShpInfo spid="_x0000_s1068"/>
    <customShpInfo spid="_x0000_s1071"/>
    <customShpInfo spid="_x0000_s1072"/>
    <customShpInfo spid="_x0000_s1074"/>
    <customShpInfo spid="_x0000_s1075"/>
    <customShpInfo spid="_x0000_s1073"/>
    <customShpInfo spid="_x0000_s1076"/>
    <customShpInfo spid="_x0000_s1078"/>
    <customShpInfo spid="_x0000_s1079"/>
    <customShpInfo spid="_x0000_s1077"/>
    <customShpInfo spid="_x0000_s1080"/>
    <customShpInfo spid="_x0000_s1081"/>
    <customShpInfo spid="_x0000_s1083"/>
    <customShpInfo spid="_x0000_s1084"/>
    <customShpInfo spid="_x0000_s1082"/>
    <customShpInfo spid="_x0000_s1086"/>
    <customShpInfo spid="_x0000_s1087"/>
    <customShpInfo spid="_x0000_s1085"/>
    <customShpInfo spid="_x0000_s1088"/>
    <customShpInfo spid="_x0000_s1089"/>
    <customShpInfo spid="_x0000_s1091"/>
    <customShpInfo spid="_x0000_s1092"/>
    <customShpInfo spid="_x0000_s1090"/>
    <customShpInfo spid="_x0000_s1094"/>
    <customShpInfo spid="_x0000_s1095"/>
    <customShpInfo spid="_x0000_s1093"/>
    <customShpInfo spid="_x0000_s1097"/>
    <customShpInfo spid="_x0000_s1098"/>
    <customShpInfo spid="_x0000_s1096"/>
    <customShpInfo spid="_x0000_s1100"/>
    <customShpInfo spid="_x0000_s1101"/>
    <customShpInfo spid="_x0000_s1099"/>
    <customShpInfo spid="_x0000_s1103"/>
    <customShpInfo spid="_x0000_s1104"/>
    <customShpInfo spid="_x0000_s1102"/>
    <customShpInfo spid="_x0000_s1105"/>
    <customShpInfo spid="_x0000_s1106"/>
    <customShpInfo spid="_x0000_s1108"/>
    <customShpInfo spid="_x0000_s1109"/>
    <customShpInfo spid="_x0000_s1107"/>
    <customShpInfo spid="_x0000_s1111"/>
    <customShpInfo spid="_x0000_s1112"/>
    <customShpInfo spid="_x0000_s1110"/>
    <customShpInfo spid="_x0000_s1114"/>
    <customShpInfo spid="_x0000_s1115"/>
    <customShpInfo spid="_x0000_s1113"/>
    <customShpInfo spid="_x0000_s111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2032</Words>
  <Characters>11583</Characters>
  <Lines>96</Lines>
  <Paragraphs>27</Paragraphs>
  <TotalTime>5</TotalTime>
  <ScaleCrop>false</ScaleCrop>
  <LinksUpToDate>false</LinksUpToDate>
  <CharactersWithSpaces>13588</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Administrator</cp:lastModifiedBy>
  <cp:lastPrinted>2019-08-02T01:01:00Z</cp:lastPrinted>
  <dcterms:modified xsi:type="dcterms:W3CDTF">2023-06-05T07:12:06Z</dcterms:modified>
  <dc:subject>石家庄市xxx部门</dc:subject>
  <dc:title>2017年度部门决算</dc:title>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B94643F5C9C348A7B14B6924EEC5E297</vt:lpwstr>
  </property>
</Properties>
</file>