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5408" behindDoc="0" locked="0" layoutInCell="1" allowOverlap="1">
            <wp:simplePos x="0" y="0"/>
            <wp:positionH relativeFrom="column">
              <wp:posOffset>-1001395</wp:posOffset>
            </wp:positionH>
            <wp:positionV relativeFrom="paragraph">
              <wp:posOffset>-1423670</wp:posOffset>
            </wp:positionV>
            <wp:extent cx="8766810" cy="10819765"/>
            <wp:effectExtent l="0" t="0" r="11430" b="635"/>
            <wp:wrapNone/>
            <wp:docPr id="5" name="图片 5" descr="8bd76a8acbeef0e9e8cb627bffe2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bd76a8acbeef0e9e8cb627bffe2a76"/>
                    <pic:cNvPicPr>
                      <a:picLocks noChangeAspect="1"/>
                    </pic:cNvPicPr>
                  </pic:nvPicPr>
                  <pic:blipFill>
                    <a:blip r:embed="rId13"/>
                    <a:stretch>
                      <a:fillRect/>
                    </a:stretch>
                  </pic:blipFill>
                  <pic:spPr>
                    <a:xfrm>
                      <a:off x="0" y="0"/>
                      <a:ext cx="8766810" cy="10819765"/>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中共保定市满城区委宣传部</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djustRightInd w:val="0"/>
        <w:snapToGrid w:val="0"/>
        <w:spacing w:line="600" w:lineRule="exact"/>
        <w:ind w:firstLine="608" w:firstLineChars="200"/>
        <w:textAlignment w:val="baseline"/>
        <w:rPr>
          <w:rFonts w:ascii="仿宋_GB2312" w:eastAsia="仿宋_GB2312"/>
          <w:spacing w:val="-8"/>
          <w:sz w:val="32"/>
          <w:szCs w:val="32"/>
        </w:rPr>
      </w:pPr>
      <w:r>
        <w:rPr>
          <w:rFonts w:hint="eastAsia" w:ascii="仿宋_GB2312" w:hAnsi="仿宋" w:eastAsia="仿宋_GB2312" w:cs="仿宋"/>
          <w:spacing w:val="-8"/>
          <w:sz w:val="32"/>
          <w:szCs w:val="32"/>
        </w:rPr>
        <w:t>区委宣传部现有机关行政编制13名，实际在编人员10名，</w:t>
      </w:r>
      <w:r>
        <w:rPr>
          <w:rFonts w:hint="eastAsia" w:ascii="仿宋_GB2312" w:hAnsi="仿宋" w:eastAsia="仿宋_GB2312" w:cs="仿宋"/>
          <w:color w:val="000000"/>
          <w:spacing w:val="-8"/>
          <w:sz w:val="32"/>
          <w:szCs w:val="32"/>
          <w:lang w:val="zh-CN"/>
        </w:rPr>
        <w:t>其中部长1名，副部长2名， 股级干部4名</w:t>
      </w:r>
      <w:r>
        <w:rPr>
          <w:rFonts w:hint="eastAsia" w:ascii="仿宋_GB2312" w:hAnsi="仿宋" w:eastAsia="仿宋_GB2312" w:cs="仿宋"/>
          <w:spacing w:val="-8"/>
          <w:sz w:val="32"/>
          <w:szCs w:val="32"/>
        </w:rPr>
        <w:t>；退休人员3名。</w:t>
      </w:r>
    </w:p>
    <w:p>
      <w:pPr>
        <w:pStyle w:val="9"/>
        <w:adjustRightInd w:val="0"/>
        <w:snapToGrid w:val="0"/>
        <w:spacing w:line="600" w:lineRule="exact"/>
        <w:ind w:firstLine="608" w:firstLineChars="200"/>
        <w:jc w:val="both"/>
        <w:rPr>
          <w:rFonts w:ascii="仿宋_GB2312" w:hAnsi="仿宋" w:eastAsia="仿宋_GB2312" w:cs="仿宋"/>
          <w:spacing w:val="-8"/>
          <w:sz w:val="32"/>
          <w:szCs w:val="32"/>
          <w:lang w:eastAsia="zh-CN"/>
        </w:rPr>
      </w:pPr>
      <w:r>
        <w:rPr>
          <w:rFonts w:hint="eastAsia" w:ascii="仿宋_GB2312" w:hAnsi="仿宋" w:eastAsia="仿宋_GB2312" w:cs="仿宋"/>
          <w:spacing w:val="-8"/>
          <w:sz w:val="32"/>
          <w:szCs w:val="32"/>
          <w:lang w:eastAsia="zh-CN"/>
        </w:rPr>
        <w:t>根据《中共保定市委办公厅保定市人民政府办公厅关于印发&lt;保定市满城区机构改革方案&gt;的通知》（保办字[2018]68号），设置中共保定市满城区委宣传部。现将我部门职责说明如下：</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1.拟订全区宣传思想文化工作重大方针和事业发展总体规划，统筹协调推进宣传思想文化领域法治建设，按照区委统一部署，协调宣传思想文化系统各单位之间的工作。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2.统筹协调全区党的意识形态工作，贯彻落实区委关于意识形态工作决策部署，组织协调意识形态工作责任制落实和日常监督检查，结合巡视巡察工作开展专项检查。</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3.统筹指导协调全区理论研究、理论学习、理论宣传工作，组织推动理论武装工作，推动落实马克思主义理论研究和建设工程任务，负责区委理论学习中心组理论学习的有关工作。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pStyle w:val="10"/>
        <w:spacing w:line="600" w:lineRule="exact"/>
        <w:ind w:firstLine="608"/>
        <w:rPr>
          <w:rFonts w:ascii="仿宋_GB2312" w:eastAsia="仿宋_GB2312"/>
          <w:spacing w:val="-8"/>
          <w:sz w:val="32"/>
          <w:szCs w:val="32"/>
        </w:rPr>
      </w:pPr>
      <w:r>
        <w:rPr>
          <w:rFonts w:hint="eastAsia" w:ascii="仿宋_GB2312" w:eastAsia="仿宋_GB2312"/>
          <w:spacing w:val="-8"/>
          <w:sz w:val="32"/>
          <w:szCs w:val="32"/>
        </w:rPr>
        <w:t>5.统筹分析研判和引导全区社会舆论，指导协调区直各新闻单位的工作，组织全区突发公共事件应急新闻工作。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7.从宏观上统筹指导协调全区互联网宣传和信息内容管理工作。统筹数字新媒体的建设和管理。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8.从宏观上统筹指导协调推动全区精神文化产品的创作和生产，协调组织中华优秀传统文化传承发展有关工作，指导协调推动群众文化建设。</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9.负责管理全区电影行政事务，指导监管电影制片、发行、放映工作，组织对电影内容进行审查，指导协调全区性重大电影活动。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10.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11.统筹指导全区舆情信息工作，组织协调开展区内外舆情信息收集分析研判工作，跟踪了解、研究掌握宣传舆情动态。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12.统筹研究拟定有关全区精神文明建设的方针、政策。规划部署全区精神文明建设工作，组织指导全区群众性精神文明创建活动。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13.统筹协调全区对外宣传工作。指导协调有关部门研究拟订全区对外宣传事业发展规划，组织协调我区对外宣传文化交流活动，会同有关部门做好境外记者采访事务方面工作。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14.统筹协调组织开展新闻发布工作。承担区委新闻发布有关组织协调工作，负责区政府新闻发布组织实施工作。指导协调区政府各部门的新闻发布工作，推动新闻发言人制度落实。拟订我区重大问题对外宣传口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15.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16.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spacing w:line="600" w:lineRule="exact"/>
        <w:ind w:firstLine="608" w:firstLineChars="200"/>
        <w:rPr>
          <w:rFonts w:ascii="仿宋_GB2312" w:eastAsia="仿宋_GB2312"/>
          <w:spacing w:val="-8"/>
        </w:rPr>
      </w:pPr>
      <w:r>
        <w:rPr>
          <w:rFonts w:hint="eastAsia" w:ascii="仿宋_GB2312" w:eastAsia="仿宋_GB2312"/>
          <w:spacing w:val="-8"/>
          <w:sz w:val="32"/>
          <w:szCs w:val="32"/>
        </w:rPr>
        <w:t>17.完成区委交办的其他工作任务。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年度本部门决算汇编范围的独立核算单位（以下简称“单位”）共1个，具体情况如下：</w:t>
      </w:r>
    </w:p>
    <w:p>
      <w:pPr>
        <w:spacing w:line="580" w:lineRule="exact"/>
        <w:ind w:firstLine="640" w:firstLineChars="200"/>
        <w:rPr>
          <w:rFonts w:ascii="仿宋_GB2312" w:hAnsi="Calibri" w:eastAsia="仿宋_GB2312" w:cs="Arial Black"/>
          <w:kern w:val="0"/>
          <w:sz w:val="32"/>
          <w:szCs w:val="32"/>
        </w:rPr>
      </w:pP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676"/>
        <w:gridCol w:w="215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67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15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67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中共保定市满城区委宣传部</w:t>
            </w:r>
          </w:p>
        </w:tc>
        <w:tc>
          <w:tcPr>
            <w:tcW w:w="2154"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财政拨款</w:t>
            </w:r>
          </w:p>
        </w:tc>
      </w:tr>
    </w:tbl>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600" w:lineRule="exact"/>
        <w:ind w:firstLine="608" w:firstLineChars="200"/>
        <w:rPr>
          <w:rFonts w:ascii="黑体" w:hAnsi="Calibri" w:eastAsia="黑体" w:cs="Times New Roman"/>
          <w:spacing w:val="-8"/>
          <w:sz w:val="32"/>
          <w:szCs w:val="32"/>
        </w:rPr>
      </w:pPr>
      <w:r>
        <w:rPr>
          <w:rFonts w:hint="eastAsia" w:ascii="黑体" w:hAnsi="Calibri" w:eastAsia="黑体" w:cs="Times New Roman"/>
          <w:spacing w:val="-8"/>
          <w:sz w:val="32"/>
          <w:szCs w:val="32"/>
        </w:rPr>
        <w:t>一、收入</w:t>
      </w:r>
      <w:r>
        <w:rPr>
          <w:rFonts w:hint="eastAsia" w:ascii="黑体" w:hAnsi="Cambria" w:eastAsia="黑体" w:cs="黑体"/>
          <w:spacing w:val="-8"/>
          <w:kern w:val="0"/>
          <w:sz w:val="32"/>
          <w:szCs w:val="32"/>
        </w:rPr>
        <w:t>支出</w:t>
      </w:r>
      <w:r>
        <w:rPr>
          <w:rFonts w:hint="eastAsia" w:ascii="黑体" w:hAnsi="Calibri" w:eastAsia="黑体" w:cs="Times New Roman"/>
          <w:spacing w:val="-8"/>
          <w:sz w:val="32"/>
          <w:szCs w:val="32"/>
        </w:rPr>
        <w:t>决算总体情况说明</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本部门2020年度收、支总计（含结转和结余）402.36万元。与2019年度决算相比，收支各增加191.52万元，增长90.84%，主要原因是人员增加，工资及各项保险、公用经费相应增加；创建省级文明城区任务加大，经费增加；职能增加，上级专项补助资金增加。</w:t>
      </w:r>
    </w:p>
    <w:p>
      <w:pPr>
        <w:adjustRightInd w:val="0"/>
        <w:snapToGrid w:val="0"/>
        <w:spacing w:line="600" w:lineRule="exact"/>
        <w:ind w:firstLine="608" w:firstLineChars="200"/>
        <w:rPr>
          <w:rFonts w:ascii="仿宋_GB2312" w:hAnsi="Times New Roman" w:eastAsia="仿宋_GB2312" w:cs="Wingdings"/>
          <w:spacing w:val="-8"/>
          <w:sz w:val="32"/>
          <w:szCs w:val="32"/>
          <w:highlight w:val="yellow"/>
        </w:rPr>
      </w:pPr>
      <w:r>
        <w:rPr>
          <w:rFonts w:hint="eastAsia" w:ascii="黑体" w:hAnsi="Calibri" w:eastAsia="黑体" w:cs="Times New Roman"/>
          <w:spacing w:val="-8"/>
          <w:sz w:val="32"/>
          <w:szCs w:val="32"/>
        </w:rPr>
        <w:t>二、收入决算情况说明</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本部门2020年度收入合计402.36万元，其中：财政拨款收入402.36万元，占100%；事业收入0万元，占0%；经营收入0万元，占0%；其他收入0万元，占0%。</w:t>
      </w:r>
    </w:p>
    <w:p>
      <w:pPr>
        <w:snapToGrid w:val="0"/>
        <w:spacing w:line="600" w:lineRule="exact"/>
        <w:ind w:firstLine="608" w:firstLineChars="200"/>
        <w:rPr>
          <w:rFonts w:ascii="黑体" w:hAnsi="Calibri" w:eastAsia="黑体" w:cs="Times New Roman"/>
          <w:spacing w:val="-8"/>
          <w:sz w:val="32"/>
          <w:szCs w:val="32"/>
        </w:rPr>
      </w:pPr>
      <w:r>
        <w:rPr>
          <w:rFonts w:hint="eastAsia" w:ascii="黑体" w:hAnsi="Calibri" w:eastAsia="黑体" w:cs="Times New Roman"/>
          <w:spacing w:val="-8"/>
          <w:sz w:val="32"/>
          <w:szCs w:val="32"/>
        </w:rPr>
        <w:t>三、支出决算情况说明</w:t>
      </w:r>
    </w:p>
    <w:p>
      <w:pPr>
        <w:adjustRightInd w:val="0"/>
        <w:snapToGrid w:val="0"/>
        <w:spacing w:line="600" w:lineRule="exact"/>
        <w:ind w:firstLine="608" w:firstLineChars="200"/>
        <w:rPr>
          <w:rFonts w:ascii="黑体" w:hAnsi="Calibri" w:eastAsia="黑体" w:cs="Times New Roman"/>
          <w:b/>
          <w:bCs/>
          <w:spacing w:val="-8"/>
          <w:sz w:val="32"/>
          <w:szCs w:val="32"/>
        </w:rPr>
      </w:pPr>
      <w:r>
        <w:rPr>
          <w:rFonts w:hint="eastAsia" w:ascii="仿宋_GB2312" w:hAnsi="Times New Roman" w:eastAsia="仿宋_GB2312" w:cs="Wingdings"/>
          <w:spacing w:val="-8"/>
          <w:sz w:val="32"/>
          <w:szCs w:val="32"/>
        </w:rPr>
        <w:t>本部门2020年度支出合计402.36万元，其中：基本支出106.05万元，占26.36%；项目支出296.31万元，占73.64%；经营支出0万元，占0%。</w:t>
      </w:r>
    </w:p>
    <w:p>
      <w:pPr>
        <w:adjustRightInd w:val="0"/>
        <w:snapToGrid w:val="0"/>
        <w:spacing w:line="600" w:lineRule="exact"/>
        <w:ind w:firstLine="608" w:firstLineChars="200"/>
        <w:rPr>
          <w:rFonts w:ascii="黑体" w:hAnsi="Calibri" w:eastAsia="黑体" w:cs="Times New Roman"/>
          <w:b/>
          <w:bCs/>
          <w:spacing w:val="-8"/>
          <w:sz w:val="32"/>
          <w:szCs w:val="32"/>
        </w:rPr>
      </w:pPr>
      <w:r>
        <w:rPr>
          <w:rFonts w:hint="eastAsia" w:ascii="黑体" w:hAnsi="Calibri" w:eastAsia="黑体" w:cs="Times New Roman"/>
          <w:spacing w:val="-8"/>
          <w:sz w:val="32"/>
          <w:szCs w:val="32"/>
        </w:rPr>
        <w:t>四、</w:t>
      </w:r>
      <w:r>
        <w:rPr>
          <w:rFonts w:hint="eastAsia" w:ascii="黑体" w:hAnsi="Cambria" w:eastAsia="黑体" w:cs="黑体"/>
          <w:spacing w:val="-8"/>
          <w:kern w:val="0"/>
          <w:sz w:val="32"/>
          <w:szCs w:val="32"/>
        </w:rPr>
        <w:t>财政</w:t>
      </w:r>
      <w:r>
        <w:rPr>
          <w:rFonts w:hint="eastAsia" w:ascii="黑体" w:hAnsi="Calibri" w:eastAsia="黑体" w:cs="Times New Roman"/>
          <w:spacing w:val="-8"/>
          <w:sz w:val="32"/>
          <w:szCs w:val="32"/>
        </w:rPr>
        <w:t>拨款收入支出决算总体情况说明</w:t>
      </w:r>
    </w:p>
    <w:p>
      <w:pPr>
        <w:snapToGrid w:val="0"/>
        <w:spacing w:line="600" w:lineRule="exact"/>
        <w:ind w:firstLine="611" w:firstLineChars="200"/>
        <w:rPr>
          <w:rFonts w:ascii="楷体_GB2312" w:hAnsi="Times New Roman" w:eastAsia="楷体_GB2312" w:cs="Mongolian Baiti"/>
          <w:b/>
          <w:bCs/>
          <w:spacing w:val="-8"/>
          <w:sz w:val="32"/>
          <w:szCs w:val="32"/>
        </w:rPr>
      </w:pPr>
      <w:r>
        <w:rPr>
          <w:rFonts w:hint="eastAsia" w:ascii="楷体_GB2312" w:hAnsi="Times New Roman" w:eastAsia="楷体_GB2312" w:cs="Mongolian Baiti"/>
          <w:b/>
          <w:bCs/>
          <w:spacing w:val="-8"/>
          <w:sz w:val="32"/>
          <w:szCs w:val="32"/>
        </w:rPr>
        <w:t>（一）财政拨款收支与2019年度决算对比情况</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本部门2020年度财政拨款本年收入402.36万元,比2019年度增加191.52万元，增长90.84%，主要是人员增加，工资及各项保险、公用经费相应增加；创建省级文明城区任务加大，经费增加；职能增加，上级专项补助资金增加；本年支出402.36万元，增加191.52万元，增长90.84%，主要是人员增加，工资及各项保险、公用经费相应增加；创建省级文明城区任务加大，经费增加；职能增加，上级专项补助资金增加。具体情况如下：</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1.一般公共预算财政拨款本年收入398.36万元，比上年增加189.52万元；主要是人员增加，工资及各项保险、公用经费相应增加；创建省级文明城区任务加大，经费增加；职能增加，上级专项补助资金增加；本年支出398.36万元，比上年增加189.52万元，增长90.75%，主要是人员增加，工资及各项保险、公用经费相应增加；创建省级文明城区任务加大，经费增加；职能增加，上级专项补助资金增加。</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2.政府性基金预算财政拨款本年收入4万元，比上年增加2万元，增长100%，主要原因是上级加大对影院的补助力度，资金增加；本年支出4万元，比上年增加2万元，增长100%，主要是上级加大对影院的补助力度，资金增加。</w:t>
      </w:r>
    </w:p>
    <w:p>
      <w:pPr>
        <w:snapToGrid w:val="0"/>
        <w:spacing w:line="600" w:lineRule="exact"/>
        <w:ind w:firstLine="611" w:firstLineChars="200"/>
        <w:rPr>
          <w:rFonts w:ascii="仿宋_GB2312" w:hAnsi="Times New Roman" w:eastAsia="仿宋_GB2312" w:cs="Mongolian Baiti"/>
          <w:b/>
          <w:bCs/>
          <w:spacing w:val="-8"/>
          <w:sz w:val="32"/>
          <w:szCs w:val="32"/>
        </w:rPr>
      </w:pPr>
      <w:r>
        <w:rPr>
          <w:rFonts w:hint="eastAsia" w:ascii="楷体_GB2312" w:hAnsi="Times New Roman" w:eastAsia="楷体_GB2312" w:cs="Mongolian Baiti"/>
          <w:b/>
          <w:bCs/>
          <w:spacing w:val="-8"/>
          <w:sz w:val="32"/>
          <w:szCs w:val="32"/>
        </w:rPr>
        <w:t>（二）财政拨款收支与年初预算数对比情况</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本部门2020年度财政拨款本年收入402.36万元，完成年初预算的235.04%,比年初预算增加231.17万元，决算数大于预算数主要原因是职能增加，上级专款和追加项目资金增多；本年支出402.36万元，完成年初预算的235.04%,比年初预算增加231.17万元，决算数大于预算数主要原因是职能增加，上级专款和追加项目资金增多。具体情况如下：</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1.一般公共预算财政拨款本年收入完成年初预算251.82%，比年初预算增加240.17万元，主要是职能增加，创建省级文明城区任务加大，上级专项补助资金和本级财政经费增加；支出完成年初预算251.82%，比年初预算增加240.17万元，主要是职能增加，创建省级文明城区任务加大，上级专项补助资金和本级财政经费增加。</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2.政府性基金预算财政拨款本年收入完成年初预算30.77%，比年初预算减少9万元，主要是上级收回部分年初下达的国家电影事业发展专项资金；支出完成年初预算30.77%，比年初预算减少9万元，主要是上级收回部分年初下达的国家电影事业发展专项资金。</w:t>
      </w:r>
    </w:p>
    <w:p>
      <w:pPr>
        <w:adjustRightInd w:val="0"/>
        <w:snapToGrid w:val="0"/>
        <w:spacing w:line="600" w:lineRule="exact"/>
        <w:ind w:firstLine="611" w:firstLineChars="200"/>
        <w:rPr>
          <w:rFonts w:ascii="楷体_GB2312" w:hAnsi="Times New Roman" w:eastAsia="楷体_GB2312" w:cs="Mongolian Baiti"/>
          <w:b/>
          <w:bCs/>
          <w:spacing w:val="-8"/>
          <w:sz w:val="32"/>
          <w:szCs w:val="32"/>
        </w:rPr>
      </w:pPr>
      <w:r>
        <w:rPr>
          <w:rFonts w:hint="eastAsia" w:ascii="楷体_GB2312" w:hAnsi="Times New Roman" w:eastAsia="楷体_GB2312" w:cs="Mongolian Baiti"/>
          <w:b/>
          <w:bCs/>
          <w:spacing w:val="-8"/>
          <w:sz w:val="32"/>
          <w:szCs w:val="32"/>
        </w:rPr>
        <w:t>（三）财政拨款支出决算结构情况。</w:t>
      </w:r>
    </w:p>
    <w:p>
      <w:pPr>
        <w:adjustRightInd w:val="0"/>
        <w:snapToGrid w:val="0"/>
        <w:spacing w:line="600" w:lineRule="exact"/>
        <w:ind w:firstLine="608" w:firstLineChars="200"/>
        <w:rPr>
          <w:rFonts w:ascii="仿宋_GB2312" w:hAnsi="Times New Roman" w:eastAsia="仿宋_GB2312" w:cs="DengXian-Regular"/>
          <w:spacing w:val="-8"/>
          <w:sz w:val="32"/>
          <w:szCs w:val="32"/>
        </w:rPr>
      </w:pPr>
      <w:r>
        <w:rPr>
          <w:rFonts w:hint="eastAsia" w:ascii="仿宋_GB2312" w:hAnsi="Times New Roman" w:eastAsia="仿宋_GB2312" w:cs="Wingdings"/>
          <w:spacing w:val="-8"/>
          <w:sz w:val="32"/>
          <w:szCs w:val="32"/>
        </w:rPr>
        <w:t>2020 年度财政拨款支出402.36万元，主要用于以下方面：一般公共服务（类）支出214.58万元，占53.33%，；</w:t>
      </w:r>
      <w:r>
        <w:rPr>
          <w:rFonts w:hint="eastAsia" w:ascii="仿宋_GB2312" w:hAnsi="Times New Roman" w:eastAsia="仿宋_GB2312" w:cs="DengXian-Regular"/>
          <w:spacing w:val="-8"/>
          <w:sz w:val="32"/>
          <w:szCs w:val="32"/>
        </w:rPr>
        <w:t>文化旅游体育和传媒支出165.40万元，占41.11</w:t>
      </w:r>
      <w:r>
        <w:rPr>
          <w:rFonts w:ascii="仿宋_GB2312" w:hAnsi="Times New Roman" w:eastAsia="仿宋_GB2312" w:cs="DengXian-Regular"/>
          <w:spacing w:val="-8"/>
          <w:sz w:val="32"/>
          <w:szCs w:val="32"/>
        </w:rPr>
        <w:t>%</w:t>
      </w:r>
      <w:r>
        <w:rPr>
          <w:rFonts w:hint="eastAsia" w:ascii="仿宋_GB2312" w:hAnsi="Times New Roman" w:eastAsia="仿宋_GB2312" w:cs="DengXian-Regular"/>
          <w:spacing w:val="-8"/>
          <w:sz w:val="32"/>
          <w:szCs w:val="32"/>
        </w:rPr>
        <w:t>；社会保障和就业（类）支出12.77万元，占3.17</w:t>
      </w:r>
      <w:r>
        <w:rPr>
          <w:rFonts w:ascii="仿宋_GB2312" w:hAnsi="Times New Roman" w:eastAsia="仿宋_GB2312" w:cs="DengXian-Regular"/>
          <w:spacing w:val="-8"/>
          <w:sz w:val="32"/>
          <w:szCs w:val="32"/>
        </w:rPr>
        <w:t>%</w:t>
      </w:r>
      <w:r>
        <w:rPr>
          <w:rFonts w:hint="eastAsia" w:ascii="仿宋_GB2312" w:hAnsi="Times New Roman" w:eastAsia="仿宋_GB2312" w:cs="DengXian-Regular"/>
          <w:spacing w:val="-8"/>
          <w:sz w:val="32"/>
          <w:szCs w:val="32"/>
        </w:rPr>
        <w:t>；卫生健康（类）支出4.10万元，占1.02</w:t>
      </w:r>
      <w:r>
        <w:rPr>
          <w:rFonts w:ascii="仿宋_GB2312" w:hAnsi="Times New Roman" w:eastAsia="仿宋_GB2312" w:cs="DengXian-Regular"/>
          <w:spacing w:val="-8"/>
          <w:sz w:val="32"/>
          <w:szCs w:val="32"/>
        </w:rPr>
        <w:t>%</w:t>
      </w:r>
      <w:r>
        <w:rPr>
          <w:rFonts w:hint="eastAsia" w:ascii="仿宋_GB2312" w:hAnsi="Times New Roman" w:eastAsia="仿宋_GB2312" w:cs="DengXian-Regular"/>
          <w:spacing w:val="-8"/>
          <w:sz w:val="32"/>
          <w:szCs w:val="32"/>
        </w:rPr>
        <w:t>；住房保障（类）支出5.50万元，占1.37</w:t>
      </w:r>
      <w:r>
        <w:rPr>
          <w:rFonts w:ascii="仿宋_GB2312" w:hAnsi="Times New Roman" w:eastAsia="仿宋_GB2312" w:cs="DengXian-Regular"/>
          <w:spacing w:val="-8"/>
          <w:sz w:val="32"/>
          <w:szCs w:val="32"/>
        </w:rPr>
        <w:t>%</w:t>
      </w:r>
      <w:r>
        <w:rPr>
          <w:rFonts w:hint="eastAsia" w:ascii="仿宋_GB2312" w:hAnsi="Times New Roman" w:eastAsia="仿宋_GB2312" w:cs="DengXian-Regular"/>
          <w:spacing w:val="-8"/>
          <w:sz w:val="32"/>
          <w:szCs w:val="32"/>
        </w:rPr>
        <w:t>。</w:t>
      </w:r>
      <w:r>
        <w:rPr>
          <w:rFonts w:ascii="仿宋_GB2312" w:hAnsi="Times New Roman" w:eastAsia="仿宋_GB2312" w:cs="DengXian-Regular"/>
          <w:spacing w:val="-8"/>
          <w:sz w:val="32"/>
          <w:szCs w:val="32"/>
        </w:rPr>
        <w:t xml:space="preserve"> </w:t>
      </w:r>
    </w:p>
    <w:p>
      <w:pPr>
        <w:adjustRightInd w:val="0"/>
        <w:snapToGrid w:val="0"/>
        <w:spacing w:line="600" w:lineRule="exact"/>
        <w:ind w:left="420" w:leftChars="200" w:firstLine="200"/>
        <w:rPr>
          <w:rFonts w:ascii="楷体_GB2312" w:hAnsi="Times New Roman" w:eastAsia="楷体_GB2312" w:cs="Mongolian Baiti"/>
          <w:b/>
          <w:bCs/>
          <w:spacing w:val="-8"/>
          <w:sz w:val="32"/>
          <w:szCs w:val="32"/>
        </w:rPr>
      </w:pPr>
      <w:r>
        <w:rPr>
          <w:rFonts w:hint="eastAsia" w:ascii="楷体_GB2312" w:hAnsi="Times New Roman" w:eastAsia="楷体_GB2312" w:cs="Mongolian Baiti"/>
          <w:b/>
          <w:bCs/>
          <w:spacing w:val="-8"/>
          <w:sz w:val="32"/>
          <w:szCs w:val="32"/>
        </w:rPr>
        <w:t>（四）一般公共预算基本支出决算情况说明</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2020 年度财政拨款基本支出106.05万元，其中：人员经费 89.41万元，主要包括基本工资、津贴补贴、奖金、机关事业单位基本养老保险缴费、职业年金缴费、职工基本医疗保险缴费、住房公积金、生活补助、奖励金、其他对个人和家庭的补助支出；公用经费 16.64万元，主要包括办公费、邮电费、取暖费、物业管理费、公务用车运行维护费、其他交通费用。</w:t>
      </w:r>
    </w:p>
    <w:p>
      <w:pPr>
        <w:keepNext/>
        <w:keepLines/>
        <w:snapToGrid w:val="0"/>
        <w:spacing w:line="600" w:lineRule="exact"/>
        <w:ind w:firstLine="608" w:firstLineChars="200"/>
        <w:rPr>
          <w:rFonts w:ascii="黑体" w:hAnsi="Calibri" w:eastAsia="黑体" w:cs="Times New Roman"/>
          <w:spacing w:val="-8"/>
          <w:sz w:val="32"/>
          <w:szCs w:val="32"/>
        </w:rPr>
      </w:pPr>
      <w:r>
        <w:rPr>
          <w:rFonts w:hint="eastAsia" w:ascii="黑体" w:hAnsi="Calibri" w:eastAsia="黑体" w:cs="Times New Roman"/>
          <w:spacing w:val="-8"/>
          <w:sz w:val="32"/>
          <w:szCs w:val="32"/>
        </w:rPr>
        <w:t>五、一般公共预算“三公” 经费支出决算情况说明</w:t>
      </w:r>
    </w:p>
    <w:p>
      <w:pPr>
        <w:adjustRightInd w:val="0"/>
        <w:snapToGrid w:val="0"/>
        <w:spacing w:line="600" w:lineRule="exact"/>
        <w:ind w:firstLine="611" w:firstLineChars="200"/>
        <w:rPr>
          <w:rFonts w:ascii="楷体_GB2312" w:hAnsi="Times New Roman" w:eastAsia="楷体_GB2312" w:cs="Mongolian Baiti"/>
          <w:b/>
          <w:bCs/>
          <w:spacing w:val="-8"/>
          <w:sz w:val="32"/>
          <w:szCs w:val="32"/>
        </w:rPr>
      </w:pPr>
      <w:r>
        <w:rPr>
          <w:rFonts w:hint="eastAsia" w:ascii="楷体_GB2312" w:hAnsi="Times New Roman" w:eastAsia="楷体_GB2312" w:cs="Mongolian Baiti"/>
          <w:b/>
          <w:bCs/>
          <w:spacing w:val="-8"/>
          <w:sz w:val="32"/>
          <w:szCs w:val="32"/>
        </w:rPr>
        <w:t>（一）“三公”经费财政拨款支出决算总体情况说明</w:t>
      </w:r>
    </w:p>
    <w:p>
      <w:pPr>
        <w:adjustRightInd w:val="0"/>
        <w:snapToGrid w:val="0"/>
        <w:spacing w:line="600" w:lineRule="exact"/>
        <w:ind w:firstLine="608" w:firstLineChars="200"/>
        <w:rPr>
          <w:rFonts w:ascii="仿宋_GB2312" w:hAnsi="Times New Roman" w:eastAsia="仿宋_GB2312" w:cs="Wingdings"/>
          <w:spacing w:val="-8"/>
          <w:sz w:val="32"/>
          <w:szCs w:val="32"/>
        </w:rPr>
      </w:pPr>
      <w:r>
        <w:rPr>
          <w:rFonts w:hint="eastAsia" w:ascii="仿宋_GB2312" w:hAnsi="Times New Roman" w:eastAsia="仿宋_GB2312" w:cs="Wingdings"/>
          <w:spacing w:val="-8"/>
          <w:sz w:val="32"/>
          <w:szCs w:val="32"/>
        </w:rPr>
        <w:t>本部门2020年度“三公”经费财政拨款支出预算为5.31万元，支出决算为3.60万元，完成预算的67.80%,较预算减少1.71万元，降低32.20%，主要是厉行节约，公车运行维护费用减少，公务接待费未发生；较2019年度增加0.20万元，增长5.88%，主要是公务用车年久老化，修理保养费用增加。</w:t>
      </w:r>
    </w:p>
    <w:p>
      <w:pPr>
        <w:adjustRightInd w:val="0"/>
        <w:snapToGrid w:val="0"/>
        <w:spacing w:line="600" w:lineRule="exact"/>
        <w:ind w:firstLine="611" w:firstLineChars="200"/>
        <w:rPr>
          <w:rFonts w:ascii="楷体_GB2312" w:hAnsi="Times New Roman" w:eastAsia="楷体_GB2312" w:cs="Mongolian Baiti"/>
          <w:b/>
          <w:bCs/>
          <w:spacing w:val="-8"/>
          <w:sz w:val="32"/>
          <w:szCs w:val="32"/>
        </w:rPr>
      </w:pPr>
      <w:r>
        <w:rPr>
          <w:rFonts w:hint="eastAsia" w:ascii="楷体_GB2312" w:hAnsi="Times New Roman" w:eastAsia="楷体_GB2312" w:cs="Mongolian Baiti"/>
          <w:b/>
          <w:bCs/>
          <w:spacing w:val="-8"/>
          <w:sz w:val="32"/>
          <w:szCs w:val="32"/>
        </w:rPr>
        <w:t>（二）“三公”经费财政拨款支出决算具体情况说明</w:t>
      </w:r>
    </w:p>
    <w:p>
      <w:pPr>
        <w:adjustRightInd w:val="0"/>
        <w:snapToGrid w:val="0"/>
        <w:spacing w:line="600" w:lineRule="exact"/>
        <w:ind w:firstLine="611"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pacing w:val="-8"/>
          <w:sz w:val="32"/>
          <w:szCs w:val="32"/>
        </w:rPr>
        <w:t>1.因公出国（境）费。</w:t>
      </w:r>
      <w:r>
        <w:rPr>
          <w:rFonts w:hint="eastAsia" w:ascii="仿宋_GB2312" w:hAnsi="仿宋_GB2312" w:eastAsia="仿宋_GB2312" w:cs="仿宋_GB2312"/>
          <w:sz w:val="32"/>
          <w:szCs w:val="32"/>
        </w:rPr>
        <w:t>本部门2020年因公出国（境）费支出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因公出国（境）团组</w:t>
      </w:r>
      <w:r>
        <w:rPr>
          <w:rFonts w:ascii="仿宋_GB2312" w:hAnsi="Times New Roman" w:eastAsia="仿宋_GB2312" w:cs="Wingdings"/>
          <w:sz w:val="32"/>
          <w:szCs w:val="32"/>
        </w:rPr>
        <w:t>0</w:t>
      </w:r>
      <w:r>
        <w:rPr>
          <w:rFonts w:hint="eastAsia" w:ascii="仿宋_GB2312" w:hAnsi="Times New Roman" w:eastAsia="仿宋_GB2312" w:cs="Wingdings"/>
          <w:sz w:val="32"/>
          <w:szCs w:val="32"/>
        </w:rPr>
        <w:t>个、共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人、参加其他单位组织的因公出国（境）团组</w:t>
      </w:r>
      <w:r>
        <w:rPr>
          <w:rFonts w:ascii="仿宋_GB2312" w:hAnsi="Times New Roman" w:eastAsia="仿宋_GB2312" w:cs="Wingdings"/>
          <w:sz w:val="32"/>
          <w:szCs w:val="32"/>
        </w:rPr>
        <w:t>0</w:t>
      </w:r>
      <w:r>
        <w:rPr>
          <w:rFonts w:hint="eastAsia" w:ascii="仿宋_GB2312" w:hAnsi="Times New Roman" w:eastAsia="仿宋_GB2312" w:cs="Wingdings"/>
          <w:sz w:val="32"/>
          <w:szCs w:val="32"/>
        </w:rPr>
        <w:t>个、共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人/无本单位组织的出国（境）团组。因公出国（境）费支出较预算无增减。较上年相同。</w:t>
      </w:r>
    </w:p>
    <w:p>
      <w:pPr>
        <w:adjustRightInd w:val="0"/>
        <w:snapToGrid w:val="0"/>
        <w:spacing w:line="600" w:lineRule="exact"/>
        <w:ind w:firstLine="611" w:firstLineChars="200"/>
        <w:rPr>
          <w:rFonts w:ascii="仿宋_GB2312" w:hAnsi="Times New Roman" w:eastAsia="仿宋_GB2312" w:cs="Mongolian Baiti"/>
          <w:b/>
          <w:bCs/>
          <w:spacing w:val="-8"/>
          <w:sz w:val="32"/>
          <w:szCs w:val="32"/>
        </w:rPr>
      </w:pPr>
      <w:r>
        <w:rPr>
          <w:rFonts w:hint="eastAsia" w:ascii="楷体_GB2312" w:hAnsi="Times New Roman" w:eastAsia="楷体_GB2312" w:cs="Mongolian Baiti"/>
          <w:b/>
          <w:bCs/>
          <w:spacing w:val="-8"/>
          <w:sz w:val="32"/>
          <w:szCs w:val="32"/>
        </w:rPr>
        <w:t>2.公务用车购置及运行维护费。</w:t>
      </w:r>
      <w:r>
        <w:rPr>
          <w:rFonts w:hint="eastAsia" w:ascii="仿宋_GB2312" w:hAnsi="仿宋_GB2312" w:eastAsia="仿宋_GB2312" w:cs="仿宋_GB2312"/>
          <w:spacing w:val="-8"/>
          <w:sz w:val="32"/>
          <w:szCs w:val="32"/>
        </w:rPr>
        <w:t>本部门2020年公务用车购置及运行维护费支出3.60万元，完成预算的72.00%，</w:t>
      </w:r>
      <w:r>
        <w:rPr>
          <w:rFonts w:hint="eastAsia" w:ascii="仿宋_GB2312" w:hAnsi="Times New Roman" w:eastAsia="仿宋_GB2312" w:cs="Wingdings"/>
          <w:spacing w:val="-8"/>
          <w:sz w:val="32"/>
          <w:szCs w:val="32"/>
        </w:rPr>
        <w:t>较预算减少1.40万元，降低28.00%,主要是</w:t>
      </w:r>
      <w:r>
        <w:rPr>
          <w:rFonts w:hint="eastAsia" w:ascii="仿宋_GB2312" w:hAnsi="Times New Roman" w:eastAsia="仿宋_GB2312" w:cs="DengXian-Regular"/>
          <w:spacing w:val="-8"/>
          <w:sz w:val="32"/>
          <w:szCs w:val="32"/>
        </w:rPr>
        <w:t>厉行节约，</w:t>
      </w:r>
      <w:r>
        <w:rPr>
          <w:rFonts w:ascii="仿宋_GB2312" w:hAnsi="Times New Roman" w:eastAsia="仿宋_GB2312" w:cs="DengXian-Regular"/>
          <w:spacing w:val="-8"/>
          <w:sz w:val="32"/>
          <w:szCs w:val="32"/>
        </w:rPr>
        <w:t>公车运行维护费减少</w:t>
      </w:r>
      <w:r>
        <w:rPr>
          <w:rFonts w:hint="eastAsia" w:ascii="仿宋_GB2312" w:hAnsi="Times New Roman" w:eastAsia="仿宋_GB2312" w:cs="Wingdings"/>
          <w:spacing w:val="-8"/>
          <w:sz w:val="32"/>
          <w:szCs w:val="32"/>
        </w:rPr>
        <w:t>；较上年增加0.20万元，增加5.88%,主要是公务用车年久老化，修理保养费用增加。</w:t>
      </w:r>
      <w:r>
        <w:rPr>
          <w:rFonts w:hint="eastAsia" w:ascii="仿宋_GB2312" w:hAnsi="Times New Roman" w:eastAsia="仿宋_GB2312" w:cs="Mongolian Baiti"/>
          <w:b/>
          <w:bCs/>
          <w:spacing w:val="-8"/>
          <w:sz w:val="32"/>
          <w:szCs w:val="32"/>
        </w:rPr>
        <w:t>其中：</w:t>
      </w:r>
    </w:p>
    <w:p>
      <w:pPr>
        <w:adjustRightInd w:val="0"/>
        <w:snapToGrid w:val="0"/>
        <w:spacing w:line="600" w:lineRule="exact"/>
        <w:ind w:firstLine="611"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b/>
          <w:spacing w:val="-8"/>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未</w:t>
      </w:r>
      <w:r>
        <w:rPr>
          <w:rFonts w:hint="eastAsia" w:ascii="仿宋_GB2312" w:hAnsi="Times New Roman" w:eastAsia="仿宋_GB2312" w:cs="Wingdings"/>
          <w:sz w:val="32"/>
          <w:szCs w:val="32"/>
        </w:rPr>
        <w:t>发生“公务用车购置”经费支出。</w:t>
      </w:r>
      <w:r>
        <w:rPr>
          <w:rFonts w:hint="eastAsia" w:ascii="仿宋_GB2312" w:hAnsi="Times New Roman" w:eastAsia="仿宋_GB2312" w:cs="Wingdings"/>
          <w:sz w:val="32"/>
          <w:szCs w:val="32"/>
          <w:lang w:val="en-US" w:eastAsia="zh-CN"/>
        </w:rPr>
        <w:t>与预算持平，与2019年度决算支出持平。</w:t>
      </w:r>
    </w:p>
    <w:p>
      <w:pPr>
        <w:adjustRightInd w:val="0"/>
        <w:snapToGrid w:val="0"/>
        <w:spacing w:line="600" w:lineRule="exact"/>
        <w:ind w:firstLine="611" w:firstLineChars="200"/>
        <w:rPr>
          <w:rFonts w:ascii="仿宋_GB2312" w:hAnsi="Times New Roman" w:eastAsia="仿宋_GB2312" w:cs="Wingdings"/>
          <w:spacing w:val="-8"/>
          <w:sz w:val="32"/>
          <w:szCs w:val="32"/>
        </w:rPr>
      </w:pPr>
      <w:r>
        <w:rPr>
          <w:rFonts w:hint="eastAsia" w:ascii="仿宋_GB2312" w:hAnsi="Times New Roman" w:eastAsia="仿宋_GB2312" w:cs="Wingdings"/>
          <w:b/>
          <w:spacing w:val="-8"/>
          <w:sz w:val="32"/>
          <w:szCs w:val="32"/>
        </w:rPr>
        <w:t>公务用车运行维护费支出：</w:t>
      </w:r>
      <w:r>
        <w:rPr>
          <w:rFonts w:hint="eastAsia" w:ascii="仿宋_GB2312" w:hAnsi="Times New Roman" w:eastAsia="仿宋_GB2312" w:cs="Wingdings"/>
          <w:spacing w:val="-8"/>
          <w:sz w:val="32"/>
          <w:szCs w:val="32"/>
        </w:rPr>
        <w:t>本部门2020年度单位公务用车保有量2辆,发生运行维护费支出3.60万元。公车运行维护费支出较预算减少1.40万元，降低28.00%,主要是</w:t>
      </w:r>
      <w:r>
        <w:rPr>
          <w:rFonts w:hint="eastAsia" w:ascii="仿宋_GB2312" w:hAnsi="Times New Roman" w:eastAsia="仿宋_GB2312" w:cs="DengXian-Regular"/>
          <w:spacing w:val="-8"/>
          <w:sz w:val="32"/>
          <w:szCs w:val="32"/>
        </w:rPr>
        <w:t>厉行节约，</w:t>
      </w:r>
      <w:r>
        <w:rPr>
          <w:rFonts w:ascii="仿宋_GB2312" w:hAnsi="Times New Roman" w:eastAsia="仿宋_GB2312" w:cs="DengXian-Regular"/>
          <w:spacing w:val="-8"/>
          <w:sz w:val="32"/>
          <w:szCs w:val="32"/>
        </w:rPr>
        <w:t>公车运行维护费减少</w:t>
      </w:r>
      <w:r>
        <w:rPr>
          <w:rFonts w:hint="eastAsia" w:ascii="仿宋_GB2312" w:hAnsi="Times New Roman" w:eastAsia="仿宋_GB2312" w:cs="Wingdings"/>
          <w:spacing w:val="-8"/>
          <w:sz w:val="32"/>
          <w:szCs w:val="32"/>
        </w:rPr>
        <w:t>；较上年增加0.20万元，增加5.88%,主要是公务用车年久老化，修理保养费用增加。</w:t>
      </w:r>
    </w:p>
    <w:p>
      <w:pPr>
        <w:adjustRightInd w:val="0"/>
        <w:snapToGrid w:val="0"/>
        <w:spacing w:line="600" w:lineRule="exact"/>
        <w:ind w:firstLine="611" w:firstLineChars="200"/>
        <w:rPr>
          <w:rFonts w:ascii="仿宋_GB2312" w:hAnsi="Times New Roman" w:eastAsia="仿宋_GB2312" w:cs="Wingdings"/>
          <w:spacing w:val="-8"/>
          <w:sz w:val="32"/>
          <w:szCs w:val="32"/>
        </w:rPr>
      </w:pPr>
      <w:r>
        <w:rPr>
          <w:rFonts w:hint="eastAsia" w:ascii="楷体_GB2312" w:hAnsi="Times New Roman" w:eastAsia="楷体_GB2312" w:cs="Mongolian Baiti"/>
          <w:b/>
          <w:bCs/>
          <w:spacing w:val="-8"/>
          <w:sz w:val="32"/>
          <w:szCs w:val="32"/>
        </w:rPr>
        <w:t>3.公务接待费。</w:t>
      </w:r>
      <w:r>
        <w:rPr>
          <w:rFonts w:hint="eastAsia" w:ascii="仿宋_GB2312" w:hAnsi="仿宋_GB2312" w:eastAsia="仿宋_GB2312" w:cs="仿宋_GB2312"/>
          <w:spacing w:val="-8"/>
          <w:sz w:val="32"/>
          <w:szCs w:val="32"/>
        </w:rPr>
        <w:t>本部门2020年度未发生公务接待事项，公务接待费支出较预算减少0.31</w:t>
      </w:r>
      <w:r>
        <w:rPr>
          <w:rFonts w:hint="eastAsia" w:ascii="仿宋_GB2312" w:hAnsi="Times New Roman" w:eastAsia="仿宋_GB2312" w:cs="Wingdings"/>
          <w:spacing w:val="-8"/>
          <w:sz w:val="32"/>
          <w:szCs w:val="32"/>
        </w:rPr>
        <w:t>万元，降低100.00%,主要是未发生公务接待事项，未产生公务接待费用；公务接待费与上年持平，均为0万元。</w:t>
      </w:r>
    </w:p>
    <w:p>
      <w:pPr>
        <w:adjustRightInd w:val="0"/>
        <w:snapToGrid w:val="0"/>
        <w:spacing w:line="600" w:lineRule="exact"/>
        <w:ind w:firstLine="608" w:firstLineChars="200"/>
        <w:rPr>
          <w:rFonts w:ascii="黑体" w:hAnsi="Times New Roman" w:eastAsia="黑体" w:cs="Times New Roman"/>
          <w:spacing w:val="-8"/>
          <w:sz w:val="32"/>
          <w:szCs w:val="40"/>
        </w:rPr>
      </w:pPr>
      <w:r>
        <w:rPr>
          <w:rFonts w:hint="eastAsia" w:ascii="黑体" w:hAnsi="Times New Roman" w:eastAsia="黑体" w:cs="Times New Roman"/>
          <w:spacing w:val="-8"/>
          <w:sz w:val="32"/>
          <w:szCs w:val="40"/>
        </w:rPr>
        <w:t>六、预算绩效情况说明</w:t>
      </w:r>
    </w:p>
    <w:p>
      <w:pPr>
        <w:adjustRightInd w:val="0"/>
        <w:snapToGrid w:val="0"/>
        <w:spacing w:line="600" w:lineRule="exact"/>
        <w:ind w:firstLine="611" w:firstLineChars="200"/>
        <w:rPr>
          <w:rFonts w:ascii="楷体_GB2312" w:hAnsi="楷体_GB2312" w:eastAsia="楷体_GB2312" w:cs="楷体_GB2312"/>
          <w:b/>
          <w:bCs/>
          <w:spacing w:val="-8"/>
          <w:sz w:val="32"/>
          <w:szCs w:val="32"/>
        </w:rPr>
      </w:pPr>
      <w:r>
        <w:rPr>
          <w:rFonts w:hint="eastAsia" w:ascii="楷体_GB2312" w:hAnsi="楷体_GB2312" w:eastAsia="楷体_GB2312" w:cs="楷体_GB2312"/>
          <w:b/>
          <w:bCs/>
          <w:spacing w:val="-8"/>
          <w:sz w:val="32"/>
          <w:szCs w:val="32"/>
        </w:rPr>
        <w:t>（一）预算绩效管理工作开展情况。</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预算绩效管理要求，本部门组织对2020年度项目支出全面开展绩效自评，其中，一般公共预算二级项目3个，共涉及资金40.42万元，占一般公共预算项目支出总额的100%；政府性基金预算二级项目2个,共涉及资金13.00万元，占政府性基金预算项目支出总额的100%。</w:t>
      </w:r>
    </w:p>
    <w:p>
      <w:pPr>
        <w:adjustRightInd w:val="0"/>
        <w:snapToGrid w:val="0"/>
        <w:spacing w:line="600" w:lineRule="exact"/>
        <w:ind w:firstLine="611" w:firstLineChars="200"/>
        <w:rPr>
          <w:rFonts w:ascii="楷体_GB2312" w:hAnsi="楷体_GB2312" w:eastAsia="楷体_GB2312" w:cs="楷体_GB2312"/>
          <w:b/>
          <w:bCs/>
          <w:spacing w:val="-8"/>
          <w:sz w:val="32"/>
          <w:szCs w:val="32"/>
        </w:rPr>
      </w:pPr>
      <w:r>
        <w:rPr>
          <w:rFonts w:hint="eastAsia" w:ascii="楷体_GB2312" w:hAnsi="楷体_GB2312" w:eastAsia="楷体_GB2312" w:cs="楷体_GB2312"/>
          <w:b/>
          <w:bCs/>
          <w:spacing w:val="-8"/>
          <w:sz w:val="32"/>
          <w:szCs w:val="32"/>
        </w:rPr>
        <w:t>（二） 部门决算中项目绩效自评结果。</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本部门在今年部门决算公开中反映创城经费项目、新闻媒体协调费项目、资助国产影片放映专项资金等3个项目绩效自评结果。</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资助国产影片放映专项资金自评综述：根据年初设定的绩效目标，全年预算数为4万元，执行数为4万元，完成预算的100%。此专项资金用于保定市满城区嘉和电影放映有限公司、保定市聚点影业有限公司、保定万象电影放映有限公司放映国产影片奖励，有效调动了影院积极性，提升了国产影片放映率。</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w:t>
      </w:r>
      <w:r>
        <w:rPr>
          <w:rFonts w:ascii="仿宋_GB2312" w:hAnsi="仿宋_GB2312" w:eastAsia="仿宋_GB2312" w:cs="仿宋_GB2312"/>
          <w:spacing w:val="-8"/>
          <w:sz w:val="32"/>
          <w:szCs w:val="32"/>
        </w:rPr>
        <w:t>新闻媒体协调费项目自评综述</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根据工作需要</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全年预算数</w:t>
      </w:r>
      <w:r>
        <w:rPr>
          <w:rFonts w:hint="eastAsia" w:ascii="仿宋_GB2312" w:hAnsi="仿宋_GB2312" w:eastAsia="仿宋_GB2312" w:cs="仿宋_GB2312"/>
          <w:spacing w:val="-8"/>
          <w:sz w:val="32"/>
          <w:szCs w:val="32"/>
        </w:rPr>
        <w:t>45万元，执行数为45万元，完成预算的100%。通过宣传推介满城特色亮点工作，有效地提升了满城知名度美誉度，树立了满城对外良好形象。</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创建省级文明城区工作经费项目自评综述：根据年初设定的绩效目标，全年预算数为45万元，执行数为45万元，完成预算的100%。通过开展各项精神文明创建活动，持续营造创城浓烈氛围，不断提升市民文明素养，提高文明城市创建水平。</w:t>
      </w:r>
    </w:p>
    <w:p>
      <w:pPr>
        <w:adjustRightInd w:val="0"/>
        <w:snapToGrid w:val="0"/>
        <w:spacing w:line="600" w:lineRule="exact"/>
        <w:ind w:firstLine="611" w:firstLineChars="200"/>
        <w:rPr>
          <w:rFonts w:ascii="仿宋_GB2312" w:hAnsi="仿宋_GB2312" w:eastAsia="仿宋_GB2312" w:cs="仿宋_GB2312"/>
          <w:b/>
          <w:bCs/>
          <w:spacing w:val="-8"/>
          <w:sz w:val="32"/>
          <w:szCs w:val="32"/>
        </w:rPr>
      </w:pPr>
      <w:r>
        <w:rPr>
          <w:rFonts w:hint="eastAsia" w:ascii="楷体_GB2312" w:hAnsi="楷体_GB2312" w:eastAsia="楷体_GB2312" w:cs="楷体_GB2312"/>
          <w:b/>
          <w:bCs/>
          <w:spacing w:val="-8"/>
          <w:sz w:val="32"/>
          <w:szCs w:val="32"/>
        </w:rPr>
        <w:t>（三）财政评价项目绩效评价结果</w:t>
      </w:r>
      <w:r>
        <w:rPr>
          <w:rFonts w:hint="eastAsia" w:ascii="仿宋_GB2312" w:hAnsi="仿宋_GB2312" w:eastAsia="仿宋_GB2312" w:cs="仿宋_GB2312"/>
          <w:b/>
          <w:bCs/>
          <w:spacing w:val="-8"/>
          <w:sz w:val="32"/>
          <w:szCs w:val="32"/>
        </w:rPr>
        <w:t>。</w:t>
      </w:r>
    </w:p>
    <w:p>
      <w:pPr>
        <w:adjustRightInd w:val="0"/>
        <w:snapToGrid w:val="0"/>
        <w:spacing w:line="600" w:lineRule="exact"/>
        <w:ind w:firstLine="611" w:firstLineChars="200"/>
        <w:rPr>
          <w:rFonts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无</w:t>
      </w:r>
    </w:p>
    <w:p>
      <w:pPr>
        <w:keepNext/>
        <w:keepLines/>
        <w:snapToGrid w:val="0"/>
        <w:spacing w:line="600" w:lineRule="exact"/>
        <w:ind w:firstLine="608" w:firstLineChars="200"/>
        <w:rPr>
          <w:rFonts w:ascii="黑体" w:hAnsi="黑体" w:eastAsia="黑体" w:cs="黑体"/>
          <w:b/>
          <w:bCs/>
          <w:spacing w:val="-8"/>
          <w:sz w:val="32"/>
          <w:szCs w:val="32"/>
        </w:rPr>
      </w:pPr>
      <w:r>
        <w:rPr>
          <w:rFonts w:hint="eastAsia" w:ascii="黑体" w:hAnsi="黑体" w:eastAsia="黑体" w:cs="黑体"/>
          <w:spacing w:val="-8"/>
          <w:sz w:val="32"/>
          <w:szCs w:val="32"/>
        </w:rPr>
        <w:t>七、机关运行经费情况</w:t>
      </w:r>
    </w:p>
    <w:p>
      <w:pPr>
        <w:adjustRightInd w:val="0"/>
        <w:snapToGrid w:val="0"/>
        <w:spacing w:line="600" w:lineRule="exact"/>
        <w:ind w:firstLine="608" w:firstLineChars="200"/>
        <w:rPr>
          <w:rFonts w:ascii="仿宋_GB2312" w:hAnsi="仿宋_GB2312" w:eastAsia="仿宋_GB2312" w:cs="仿宋_GB2312"/>
          <w:spacing w:val="-8"/>
          <w:sz w:val="32"/>
          <w:szCs w:val="32"/>
          <w:highlight w:val="yellow"/>
        </w:rPr>
      </w:pPr>
      <w:r>
        <w:rPr>
          <w:rFonts w:hint="eastAsia" w:ascii="仿宋_GB2312" w:hAnsi="仿宋_GB2312" w:eastAsia="仿宋_GB2312" w:cs="仿宋_GB2312"/>
          <w:spacing w:val="-8"/>
          <w:sz w:val="32"/>
          <w:szCs w:val="32"/>
        </w:rPr>
        <w:t>本部门2020年度机关运行经费支出16.64万元，比2019年度增加8.84万元，增长113.33%。主要原因是人员增加，公用经费增加。</w:t>
      </w:r>
    </w:p>
    <w:p>
      <w:pPr>
        <w:keepNext/>
        <w:keepLines/>
        <w:snapToGrid w:val="0"/>
        <w:spacing w:line="600" w:lineRule="exact"/>
        <w:ind w:firstLine="608" w:firstLineChars="200"/>
        <w:rPr>
          <w:rFonts w:ascii="黑体" w:hAnsi="黑体" w:eastAsia="黑体" w:cs="仿宋_GB2312"/>
          <w:spacing w:val="-8"/>
          <w:sz w:val="32"/>
          <w:szCs w:val="32"/>
        </w:rPr>
      </w:pPr>
      <w:r>
        <w:rPr>
          <w:rFonts w:hint="eastAsia" w:ascii="黑体" w:hAnsi="黑体" w:eastAsia="黑体" w:cs="仿宋_GB2312"/>
          <w:spacing w:val="-8"/>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 xml:space="preserve"> 万元、政府采购工程支出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万元、政府采购服务支出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万元。授予中小企业合同金</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万元，其中授予小微企业合同金额</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w:t>
      </w:r>
    </w:p>
    <w:p>
      <w:pPr>
        <w:keepNext/>
        <w:keepLines/>
        <w:snapToGrid w:val="0"/>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九、国有资产占用情况</w:t>
      </w:r>
    </w:p>
    <w:p>
      <w:pPr>
        <w:adjustRightInd w:val="0"/>
        <w:snapToGrid w:val="0"/>
        <w:spacing w:line="600" w:lineRule="exact"/>
        <w:ind w:firstLine="608" w:firstLineChars="200"/>
        <w:rPr>
          <w:rFonts w:hint="eastAsia" w:ascii="仿宋_GB2312" w:hAnsi="仿宋" w:eastAsia="仿宋_GB2312" w:cs="仿宋"/>
          <w:spacing w:val="-8"/>
          <w:sz w:val="32"/>
          <w:szCs w:val="32"/>
        </w:rPr>
      </w:pPr>
      <w:r>
        <w:rPr>
          <w:rFonts w:hint="eastAsia" w:ascii="仿宋_GB2312" w:hAnsi="仿宋_GB2312" w:eastAsia="仿宋_GB2312" w:cs="仿宋_GB2312"/>
          <w:spacing w:val="-8"/>
          <w:sz w:val="32"/>
          <w:szCs w:val="32"/>
        </w:rPr>
        <w:t>截至2020年12月31日，本部门共有</w:t>
      </w:r>
      <w:r>
        <w:rPr>
          <w:rFonts w:hint="eastAsia" w:ascii="仿宋_GB2312" w:hAnsi="Times New Roman" w:eastAsia="仿宋_GB2312" w:cs="DengXian-Regular"/>
          <w:spacing w:val="-8"/>
          <w:sz w:val="32"/>
          <w:szCs w:val="32"/>
        </w:rPr>
        <w:t>公务应急保障用车辆</w:t>
      </w:r>
      <w:r>
        <w:rPr>
          <w:rFonts w:hint="eastAsia" w:ascii="仿宋_GB2312" w:hAnsi="仿宋_GB2312" w:eastAsia="仿宋_GB2312" w:cs="仿宋_GB2312"/>
          <w:spacing w:val="-8"/>
          <w:sz w:val="32"/>
          <w:szCs w:val="32"/>
        </w:rPr>
        <w:t>2辆，与上年持平。</w:t>
      </w:r>
      <w:r>
        <w:rPr>
          <w:rFonts w:hint="eastAsia" w:ascii="仿宋_GB2312" w:hAnsi="宋体" w:eastAsia="仿宋_GB2312" w:cs="宋体"/>
          <w:spacing w:val="-8"/>
          <w:sz w:val="32"/>
          <w:szCs w:val="32"/>
        </w:rPr>
        <w:t>固定资产总额为</w:t>
      </w:r>
      <w:r>
        <w:rPr>
          <w:rFonts w:hint="eastAsia" w:ascii="仿宋_GB2312" w:hAnsi="仿宋" w:eastAsia="仿宋_GB2312" w:cs="仿宋"/>
          <w:spacing w:val="-8"/>
          <w:sz w:val="32"/>
          <w:szCs w:val="32"/>
        </w:rPr>
        <w:t>40.46万元，</w:t>
      </w:r>
      <w:r>
        <w:rPr>
          <w:rFonts w:hint="eastAsia" w:ascii="仿宋_GB2312" w:hAnsi="宋体" w:eastAsia="仿宋_GB2312" w:cs="宋体"/>
          <w:spacing w:val="-8"/>
          <w:sz w:val="32"/>
          <w:szCs w:val="32"/>
        </w:rPr>
        <w:t>主要包括</w:t>
      </w:r>
      <w:r>
        <w:rPr>
          <w:rFonts w:hint="eastAsia" w:ascii="仿宋_GB2312" w:hAnsi="仿宋" w:eastAsia="仿宋_GB2312" w:cs="仿宋"/>
          <w:spacing w:val="-8"/>
          <w:sz w:val="32"/>
          <w:szCs w:val="32"/>
        </w:rPr>
        <w:t>公务应急保障用车2辆，资产总值30.30万元，办公设备、桌椅等资产总值10.16万元。</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单位价值50万元以上通用设备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台（套），与上年持平 ，单位价值100万元以上专用设备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台（套），与上年持平。</w:t>
      </w:r>
      <w:r>
        <w:rPr>
          <w:rFonts w:hint="eastAsia" w:ascii="仿宋_GB2312" w:hAnsi="宋体" w:eastAsia="仿宋_GB2312" w:cs="宋体"/>
          <w:bCs/>
          <w:color w:val="000000"/>
          <w:spacing w:val="-8"/>
          <w:kern w:val="0"/>
          <w:sz w:val="32"/>
          <w:szCs w:val="32"/>
        </w:rPr>
        <w:t xml:space="preserve"> </w:t>
      </w:r>
    </w:p>
    <w:p>
      <w:pPr>
        <w:keepNext/>
        <w:keepLines/>
        <w:snapToGrid w:val="0"/>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十、其他需要说明的情况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本部门2020年度未发</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highlight w:val="none"/>
        </w:rPr>
        <w:t>国有资金经营预算收支及结转结余情况，故</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等表以空表列示</w:t>
      </w:r>
    </w:p>
    <w:p>
      <w:pPr>
        <w:adjustRightInd w:val="0"/>
        <w:snapToGrid w:val="0"/>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6"/>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部门：中共保定市满城区委宣传部</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398.36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214.58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4.00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三、国有资本经营预算财政拨款收入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四</w:t>
            </w:r>
            <w:r>
              <w:rPr>
                <w:rFonts w:hint="eastAsia" w:ascii="宋体" w:hAnsi="宋体" w:eastAsia="宋体" w:cs="宋体"/>
                <w:color w:val="000000"/>
                <w:kern w:val="0"/>
                <w:sz w:val="18"/>
                <w:szCs w:val="18"/>
                <w:lang w:bidi="ar"/>
              </w:rPr>
              <w:t>、上级补助收入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五</w:t>
            </w:r>
            <w:r>
              <w:rPr>
                <w:rFonts w:hint="eastAsia" w:ascii="宋体" w:hAnsi="宋体" w:eastAsia="宋体" w:cs="宋体"/>
                <w:color w:val="000000"/>
                <w:kern w:val="0"/>
                <w:sz w:val="18"/>
                <w:szCs w:val="18"/>
                <w:lang w:bidi="ar"/>
              </w:rPr>
              <w:t>、事业收入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六</w:t>
            </w:r>
            <w:r>
              <w:rPr>
                <w:rFonts w:hint="eastAsia" w:ascii="宋体" w:hAnsi="宋体" w:eastAsia="宋体" w:cs="宋体"/>
                <w:color w:val="000000"/>
                <w:kern w:val="0"/>
                <w:sz w:val="18"/>
                <w:szCs w:val="18"/>
                <w:lang w:bidi="ar"/>
              </w:rPr>
              <w:t>、经营收入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七</w:t>
            </w:r>
            <w:r>
              <w:rPr>
                <w:rFonts w:hint="eastAsia" w:ascii="宋体" w:hAnsi="宋体" w:eastAsia="宋体" w:cs="宋体"/>
                <w:color w:val="000000"/>
                <w:kern w:val="0"/>
                <w:sz w:val="18"/>
                <w:szCs w:val="18"/>
                <w:lang w:bidi="ar"/>
              </w:rPr>
              <w:t>、附属单位上缴收入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165.40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八</w:t>
            </w:r>
            <w:r>
              <w:rPr>
                <w:rFonts w:hint="eastAsia" w:ascii="宋体" w:hAnsi="宋体" w:eastAsia="宋体" w:cs="宋体"/>
                <w:color w:val="000000"/>
                <w:kern w:val="0"/>
                <w:sz w:val="18"/>
                <w:szCs w:val="18"/>
                <w:lang w:bidi="ar"/>
              </w:rPr>
              <w:t>、其他收入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39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12.77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4.10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49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5.50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二十一、</w:t>
            </w:r>
            <w:r>
              <w:rPr>
                <w:rFonts w:hint="eastAsia" w:ascii="宋体" w:hAnsi="宋体" w:eastAsia="宋体" w:cs="宋体"/>
                <w:color w:val="000000"/>
                <w:kern w:val="0"/>
                <w:sz w:val="18"/>
                <w:szCs w:val="18"/>
                <w:lang w:val="en-US" w:eastAsia="zh-CN" w:bidi="ar"/>
              </w:rPr>
              <w:t>国有资本经营预算支出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二十二、</w:t>
            </w:r>
            <w:r>
              <w:rPr>
                <w:rFonts w:hint="eastAsia" w:ascii="宋体" w:hAnsi="宋体" w:eastAsia="宋体" w:cs="宋体"/>
                <w:color w:val="000000"/>
                <w:kern w:val="0"/>
                <w:sz w:val="18"/>
                <w:szCs w:val="18"/>
                <w:lang w:bidi="ar"/>
              </w:rPr>
              <w:t>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w:t>
            </w:r>
            <w:r>
              <w:rPr>
                <w:rFonts w:hint="eastAsia" w:ascii="宋体" w:hAnsi="宋体" w:eastAsia="宋体" w:cs="宋体"/>
                <w:color w:val="000000"/>
                <w:kern w:val="0"/>
                <w:sz w:val="18"/>
                <w:szCs w:val="18"/>
                <w:lang w:val="en-US" w:eastAsia="zh-CN" w:bidi="ar"/>
              </w:rPr>
              <w:t>三</w:t>
            </w:r>
            <w:r>
              <w:rPr>
                <w:rFonts w:hint="eastAsia" w:ascii="宋体" w:hAnsi="宋体" w:eastAsia="宋体" w:cs="宋体"/>
                <w:color w:val="000000"/>
                <w:kern w:val="0"/>
                <w:sz w:val="18"/>
                <w:szCs w:val="18"/>
                <w:lang w:bidi="ar"/>
              </w:rPr>
              <w:t>、其他支出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二十四、债务还本支出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w:t>
            </w:r>
            <w:r>
              <w:rPr>
                <w:rFonts w:hint="eastAsia" w:ascii="宋体" w:hAnsi="宋体" w:eastAsia="宋体" w:cs="宋体"/>
                <w:color w:val="000000"/>
                <w:kern w:val="0"/>
                <w:sz w:val="18"/>
                <w:szCs w:val="18"/>
                <w:lang w:val="en-US" w:eastAsia="zh-CN" w:bidi="ar"/>
              </w:rPr>
              <w:t>五</w:t>
            </w:r>
            <w:r>
              <w:rPr>
                <w:rFonts w:hint="eastAsia" w:ascii="宋体" w:hAnsi="宋体" w:eastAsia="宋体" w:cs="宋体"/>
                <w:color w:val="000000"/>
                <w:kern w:val="0"/>
                <w:sz w:val="18"/>
                <w:szCs w:val="18"/>
                <w:lang w:bidi="ar"/>
              </w:rPr>
              <w:t>、债务付息支出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402.36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402.36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402.36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402.36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kern w:val="0"/>
                <w:sz w:val="18"/>
                <w:szCs w:val="18"/>
                <w:lang w:val="en-US" w:eastAsia="zh-CN" w:bidi="ar"/>
              </w:rPr>
            </w:pPr>
            <w:r>
              <w:rPr>
                <w:rFonts w:hint="eastAsia" w:ascii="宋体" w:hAnsi="宋体" w:eastAsia="宋体" w:cs="宋体"/>
                <w:color w:val="000000"/>
                <w:kern w:val="0"/>
                <w:sz w:val="18"/>
                <w:szCs w:val="18"/>
                <w:lang w:bidi="ar"/>
              </w:rPr>
              <w:t>注：本表反映部门</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val="en-US" w:eastAsia="zh-CN" w:bidi="ar"/>
              </w:rPr>
              <w:t>或单位</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本年度的总收支和年末结转结余情况。</w:t>
            </w:r>
            <w:r>
              <w:rPr>
                <w:rFonts w:hint="eastAsia" w:ascii="宋体" w:hAnsi="宋体" w:eastAsia="宋体" w:cs="宋体"/>
                <w:color w:val="000000"/>
                <w:kern w:val="0"/>
                <w:sz w:val="18"/>
                <w:szCs w:val="18"/>
                <w:lang w:val="en-US" w:eastAsia="zh-CN" w:bidi="ar"/>
              </w:rPr>
              <w:t>本套报表金额单位转换时可能存在尾数误差。</w:t>
            </w:r>
          </w:p>
          <w:p>
            <w:pPr>
              <w:widowControl/>
              <w:jc w:val="left"/>
              <w:textAlignment w:val="center"/>
              <w:rPr>
                <w:rFonts w:ascii="宋体" w:hAnsi="宋体" w:eastAsia="宋体" w:cs="宋体"/>
                <w:color w:val="000000"/>
                <w:kern w:val="0"/>
                <w:sz w:val="18"/>
                <w:szCs w:val="18"/>
                <w:lang w:bidi="ar"/>
              </w:rPr>
            </w:pPr>
          </w:p>
        </w:tc>
      </w:tr>
    </w:tbl>
    <w:tbl>
      <w:tblPr>
        <w:tblStyle w:val="6"/>
        <w:tblW w:w="9953" w:type="dxa"/>
        <w:jc w:val="center"/>
        <w:tblLayout w:type="autofit"/>
        <w:tblCellMar>
          <w:top w:w="0" w:type="dxa"/>
          <w:left w:w="0" w:type="dxa"/>
          <w:bottom w:w="0" w:type="dxa"/>
          <w:right w:w="0" w:type="dxa"/>
        </w:tblCellMar>
      </w:tblPr>
      <w:tblGrid>
        <w:gridCol w:w="3030"/>
        <w:gridCol w:w="36"/>
        <w:gridCol w:w="36"/>
        <w:gridCol w:w="3090"/>
        <w:gridCol w:w="742"/>
        <w:gridCol w:w="729"/>
        <w:gridCol w:w="440"/>
        <w:gridCol w:w="390"/>
        <w:gridCol w:w="514"/>
        <w:gridCol w:w="489"/>
        <w:gridCol w:w="457"/>
      </w:tblGrid>
      <w:tr>
        <w:tblPrEx>
          <w:tblCellMar>
            <w:top w:w="0" w:type="dxa"/>
            <w:left w:w="0" w:type="dxa"/>
            <w:bottom w:w="0" w:type="dxa"/>
            <w:right w:w="0" w:type="dxa"/>
          </w:tblCellMar>
        </w:tblPrEx>
        <w:trPr>
          <w:trHeight w:val="670" w:hRule="atLeast"/>
          <w:jc w:val="center"/>
        </w:trPr>
        <w:tc>
          <w:tcPr>
            <w:tcW w:w="9953"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28"/>
                <w:szCs w:val="28"/>
                <w:lang w:bidi="ar"/>
              </w:rPr>
            </w:pPr>
          </w:p>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部门：中共保定市满城区委宣传部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6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7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72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4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3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5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4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45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31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7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31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31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4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3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5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4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r>
      <w:tr>
        <w:tblPrEx>
          <w:tblCellMar>
            <w:top w:w="0" w:type="dxa"/>
            <w:left w:w="0" w:type="dxa"/>
            <w:bottom w:w="0" w:type="dxa"/>
            <w:right w:w="0" w:type="dxa"/>
          </w:tblCellMar>
        </w:tblPrEx>
        <w:trPr>
          <w:trHeight w:val="287"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402.36</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402.36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24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一般公共服务支出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97"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宣传事务</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7"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行政运行</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4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一般行政管理事务</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11"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宣传管理</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其他宣传事务支出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6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文化旅游体育与传媒支出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165.40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165.40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6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文化和旅游</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5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群众文化</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21"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国家电影事业发展专项资金安排的支出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资助国产影片放映</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5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宣传文化发展专项支出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41"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文化产业发展专项支出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31"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7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社会保障和就业支出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6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行政事业单位养老支出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机关事业单位基本养老保险缴费支出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机关事业单位职业年金缴费支出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卫生健康支出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6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行政事业单位医疗</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2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行政单位医疗</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住房保障支出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7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住房改革支出</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住房公积金</w:t>
            </w:r>
          </w:p>
        </w:tc>
        <w:tc>
          <w:tcPr>
            <w:tcW w:w="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7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3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tbl>
      <w:tblPr>
        <w:tblStyle w:val="6"/>
        <w:tblW w:w="9680" w:type="dxa"/>
        <w:jc w:val="center"/>
        <w:tblLayout w:type="fixed"/>
        <w:tblCellMar>
          <w:top w:w="0" w:type="dxa"/>
          <w:left w:w="0" w:type="dxa"/>
          <w:bottom w:w="0" w:type="dxa"/>
          <w:right w:w="0" w:type="dxa"/>
        </w:tblCellMar>
      </w:tblPr>
      <w:tblGrid>
        <w:gridCol w:w="844"/>
        <w:gridCol w:w="97"/>
        <w:gridCol w:w="50"/>
        <w:gridCol w:w="53"/>
        <w:gridCol w:w="3202"/>
        <w:gridCol w:w="850"/>
        <w:gridCol w:w="992"/>
        <w:gridCol w:w="993"/>
        <w:gridCol w:w="850"/>
        <w:gridCol w:w="851"/>
        <w:gridCol w:w="898"/>
      </w:tblGrid>
      <w:tr>
        <w:tblPrEx>
          <w:tblCellMar>
            <w:top w:w="0" w:type="dxa"/>
            <w:left w:w="0" w:type="dxa"/>
            <w:bottom w:w="0" w:type="dxa"/>
            <w:right w:w="0" w:type="dxa"/>
          </w:tblCellMar>
        </w:tblPrEx>
        <w:trPr>
          <w:trHeight w:val="612" w:hRule="atLeast"/>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9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中共保定市满城区委宣传部</w:t>
            </w: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49"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424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8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8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84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402"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0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84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02"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424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8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8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424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402.36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106.05</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296.30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一般公共服务支出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130.90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宣传事务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130.90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行政运行</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2013302</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一般行政管理事务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2013304</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宣传管理</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2013399</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其他宣传事务支出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文化旅游体育与传媒支出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165.40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165.40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文化和旅游</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2070109</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群众文化</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20707</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国家电影事业发展专项资金安排的支出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2070701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资助国产影片放映</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2079902</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宣传文化发展专项支出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2079903</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文化产业发展专项支出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2079999</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社会保障和就业支出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行政事业单位养老支出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机关事业单位基本养老保险缴费支出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机关事业单位职业年金缴费支出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卫生健康支出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住房保障支出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住房改革指出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4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22102011</w:t>
            </w:r>
          </w:p>
        </w:tc>
        <w:tc>
          <w:tcPr>
            <w:tcW w:w="340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住房公积金</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tbl>
      <w:tblPr>
        <w:tblStyle w:val="6"/>
        <w:tblW w:w="9990" w:type="dxa"/>
        <w:jc w:val="center"/>
        <w:tblLayout w:type="fixed"/>
        <w:tblCellMar>
          <w:top w:w="0" w:type="dxa"/>
          <w:left w:w="0" w:type="dxa"/>
          <w:bottom w:w="0" w:type="dxa"/>
          <w:right w:w="0" w:type="dxa"/>
        </w:tblCellMar>
      </w:tblPr>
      <w:tblGrid>
        <w:gridCol w:w="1140"/>
        <w:gridCol w:w="34"/>
        <w:gridCol w:w="67"/>
        <w:gridCol w:w="50"/>
        <w:gridCol w:w="2826"/>
        <w:gridCol w:w="1559"/>
        <w:gridCol w:w="1985"/>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9"/>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148"/>
              <w:gridCol w:w="851"/>
              <w:gridCol w:w="704"/>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lang w:bidi="ar"/>
                    </w:rPr>
                    <w:t>中共保定市满城区委宣传部</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04"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4"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398.36</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214.58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214.58</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4.00</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165.40</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161.40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4.00</w:t>
                  </w: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12.77</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12.77</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4.10</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4.10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5.50</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5.50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ind w:right="450"/>
                    <w:jc w:val="right"/>
                    <w:rPr>
                      <w:rFonts w:ascii="Times New Roman" w:hAnsi="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402.36</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402.36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398.36</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4.00</w:t>
                  </w: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402.36</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402.36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398.36</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4.00</w:t>
                  </w:r>
                </w:p>
              </w:tc>
              <w:tc>
                <w:tcPr>
                  <w:tcW w:w="70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82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3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82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中共保定市满城区委宣传部</w:t>
            </w:r>
          </w:p>
        </w:tc>
        <w:tc>
          <w:tcPr>
            <w:tcW w:w="15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3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11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5873"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1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977"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9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977"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977"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11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411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398.36</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106.05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292.30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一般公共服务支出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130.90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宣传事务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214.58</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130.90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行政运行</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83.68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2013302</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一般行政管理事务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9.90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2013304</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宣传管理</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85.00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2013399</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其他宣传事务支出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36.00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文化旅游体育与传媒支出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161.40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161.40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文化和旅游</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2070109</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群众文化</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136.40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2079902</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宣传文化发展专项支出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25.10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2079903</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文化产业发展专项支出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40.00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2079999</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其他文化旅游体育与传媒支出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71.30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社会保障和就业支出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行政事业单位养老支出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12.77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机关事业单位基本养老保险缴费支出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11.57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2080506</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机关事业单位职业年金缴费支出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1.20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卫生健康支出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行政事业单位医疗</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2101101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行政单位医疗</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住房保障支出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住房改革指出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22102011</w:t>
            </w:r>
          </w:p>
        </w:tc>
        <w:tc>
          <w:tcPr>
            <w:tcW w:w="297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ascii="宋体" w:hAnsi="宋体" w:eastAsia="宋体" w:cs="宋体"/>
                <w:color w:val="000000"/>
                <w:sz w:val="18"/>
                <w:szCs w:val="18"/>
              </w:rPr>
              <w:t>住房公积金</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5.50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pPr>
        <w:rPr>
          <w:rFonts w:ascii="黑体" w:hAnsi="宋体" w:eastAsia="黑体" w:cs="黑体"/>
          <w:color w:val="000000"/>
          <w:kern w:val="0"/>
          <w:sz w:val="28"/>
          <w:szCs w:val="28"/>
          <w:lang w:bidi="ar"/>
        </w:rPr>
        <w:sectPr>
          <w:pgSz w:w="11906" w:h="16838"/>
          <w:pgMar w:top="2098" w:right="1531" w:bottom="1843" w:left="1531" w:header="851" w:footer="992" w:gutter="0"/>
          <w:cols w:space="425" w:num="1"/>
          <w:docGrid w:type="lines" w:linePitch="312" w:charSpace="0"/>
        </w:sectPr>
      </w:pPr>
    </w:p>
    <w:tbl>
      <w:tblPr>
        <w:tblStyle w:val="6"/>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8"/>
                <w:szCs w:val="18"/>
                <w:lang w:bidi="ar"/>
              </w:rPr>
              <w:t>中共保定市满城区委宣传部</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88.24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16.64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39.81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0.48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25.45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0.60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11.57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4.08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0.80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1.92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5.50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1.02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0.16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3.60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5.76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89.41</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16.64</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885"/>
        <w:gridCol w:w="1068"/>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88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6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88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部门：中共保定市满城区委宣传部</w:t>
            </w:r>
          </w:p>
        </w:tc>
        <w:tc>
          <w:tcPr>
            <w:tcW w:w="106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885"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068"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885"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0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885"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0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885"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5.31</w:t>
            </w:r>
          </w:p>
        </w:tc>
        <w:tc>
          <w:tcPr>
            <w:tcW w:w="10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0.31</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885"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068"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885"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885"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0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885"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3.60</w:t>
            </w:r>
          </w:p>
        </w:tc>
        <w:tc>
          <w:tcPr>
            <w:tcW w:w="10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3.60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3.60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679"/>
        <w:gridCol w:w="43"/>
        <w:gridCol w:w="43"/>
        <w:gridCol w:w="3600"/>
        <w:gridCol w:w="726"/>
        <w:gridCol w:w="1030"/>
        <w:gridCol w:w="1030"/>
        <w:gridCol w:w="726"/>
        <w:gridCol w:w="1030"/>
        <w:gridCol w:w="726"/>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bidi="ar"/>
              </w:rPr>
              <w:t>中共保定市满城区委宣传部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r>
              <w:rPr>
                <w:rFonts w:hint="eastAsia" w:ascii="宋体" w:hAnsi="宋体" w:eastAsia="宋体" w:cs="宋体"/>
                <w:b/>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r>
              <w:rPr>
                <w:rFonts w:hint="eastAsia" w:ascii="宋体" w:hAnsi="宋体" w:eastAsia="宋体" w:cs="宋体"/>
                <w:b/>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r>
              <w:rPr>
                <w:rFonts w:hint="eastAsia" w:ascii="宋体" w:hAnsi="宋体" w:eastAsia="宋体" w:cs="宋体"/>
                <w:b/>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hint="eastAsia" w:ascii="宋体" w:hAnsi="宋体" w:eastAsia="宋体" w:cs="宋体"/>
                <w:color w:val="000000"/>
                <w:szCs w:val="22"/>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ascii="宋体" w:hAnsi="宋体" w:eastAsia="宋体" w:cs="宋体"/>
                <w:color w:val="000000"/>
                <w:szCs w:val="22"/>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hint="eastAsia" w:ascii="宋体" w:hAnsi="宋体" w:eastAsia="宋体" w:cs="宋体"/>
                <w:color w:val="000000"/>
                <w:szCs w:val="22"/>
              </w:rPr>
              <w:t>20707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ascii="宋体" w:hAnsi="宋体" w:eastAsia="宋体" w:cs="宋体"/>
                <w:color w:val="000000"/>
                <w:szCs w:val="22"/>
              </w:rPr>
              <w:t>国家电影事业发展专项资金安排的支出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hint="eastAsia" w:ascii="宋体" w:hAnsi="宋体" w:eastAsia="宋体" w:cs="宋体"/>
                <w:color w:val="000000"/>
                <w:szCs w:val="22"/>
              </w:rPr>
              <w:t>2070701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r>
              <w:rPr>
                <w:rFonts w:ascii="宋体" w:hAnsi="宋体" w:eastAsia="宋体" w:cs="宋体"/>
                <w:color w:val="000000"/>
                <w:szCs w:val="22"/>
              </w:rPr>
              <w:t>资助国产影片放映</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b/>
          <w:sz w:val="20"/>
          <w:szCs w:val="22"/>
          <w:highlight w:val="yellow"/>
        </w:rPr>
      </w:pPr>
    </w:p>
    <w:tbl>
      <w:tblPr>
        <w:tblStyle w:val="6"/>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eastAsiaTheme="minorEastAsia"/>
                <w:color w:val="000000"/>
                <w:sz w:val="20"/>
                <w:szCs w:val="20"/>
                <w:lang w:val="en-US" w:eastAsia="zh-CN"/>
              </w:rPr>
            </w:pPr>
            <w:r>
              <w:rPr>
                <w:rFonts w:hint="eastAsia" w:ascii="宋体" w:hAnsi="宋体" w:eastAsia="宋体" w:cs="宋体"/>
                <w:color w:val="000000"/>
                <w:kern w:val="0"/>
                <w:sz w:val="18"/>
                <w:szCs w:val="18"/>
                <w:lang w:bidi="ar"/>
              </w:rPr>
              <w:t>中共保定市满城区委宣传部</w:t>
            </w:r>
            <w:bookmarkStart w:id="0" w:name="_GoBack"/>
            <w:bookmarkEnd w:id="0"/>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注：本部门本年度无国有资本经营预算财政拨款收入、支出及结转结余情况</w:t>
      </w:r>
      <w:r>
        <w:rPr>
          <w:rFonts w:hint="eastAsia" w:ascii="宋体" w:hAnsi="宋体" w:eastAsia="宋体" w:cs="宋体"/>
          <w:sz w:val="20"/>
          <w:szCs w:val="22"/>
        </w:rPr>
        <w:t>，故空表列示</w:t>
      </w:r>
      <w:r>
        <w:rPr>
          <w:rFonts w:hint="eastAsia" w:ascii="宋体" w:hAnsi="宋体" w:eastAsia="宋体" w:cs="宋体"/>
        </w:rPr>
        <w:t>。</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05A34"/>
    <w:rsid w:val="00061A05"/>
    <w:rsid w:val="000B6E20"/>
    <w:rsid w:val="000E747F"/>
    <w:rsid w:val="00100D38"/>
    <w:rsid w:val="00177215"/>
    <w:rsid w:val="0018379E"/>
    <w:rsid w:val="0018668E"/>
    <w:rsid w:val="001A092C"/>
    <w:rsid w:val="001B73D2"/>
    <w:rsid w:val="001E62BF"/>
    <w:rsid w:val="001F6349"/>
    <w:rsid w:val="00235D68"/>
    <w:rsid w:val="00256AA5"/>
    <w:rsid w:val="00291551"/>
    <w:rsid w:val="00293E7B"/>
    <w:rsid w:val="002C46ED"/>
    <w:rsid w:val="002D1F4F"/>
    <w:rsid w:val="00345064"/>
    <w:rsid w:val="00366D90"/>
    <w:rsid w:val="00384DA5"/>
    <w:rsid w:val="003D678E"/>
    <w:rsid w:val="00423F24"/>
    <w:rsid w:val="00467666"/>
    <w:rsid w:val="0049042C"/>
    <w:rsid w:val="004E1380"/>
    <w:rsid w:val="00526F7E"/>
    <w:rsid w:val="00570B80"/>
    <w:rsid w:val="00587676"/>
    <w:rsid w:val="005B4882"/>
    <w:rsid w:val="005C022B"/>
    <w:rsid w:val="0061266D"/>
    <w:rsid w:val="006150E2"/>
    <w:rsid w:val="0061594F"/>
    <w:rsid w:val="00624010"/>
    <w:rsid w:val="00666C6C"/>
    <w:rsid w:val="006858D1"/>
    <w:rsid w:val="006C647F"/>
    <w:rsid w:val="007739F1"/>
    <w:rsid w:val="007C464F"/>
    <w:rsid w:val="00801F66"/>
    <w:rsid w:val="008F4EED"/>
    <w:rsid w:val="00923740"/>
    <w:rsid w:val="009319B0"/>
    <w:rsid w:val="009334BF"/>
    <w:rsid w:val="00953DEB"/>
    <w:rsid w:val="009C0CF9"/>
    <w:rsid w:val="009F6763"/>
    <w:rsid w:val="00A57E95"/>
    <w:rsid w:val="00A6773D"/>
    <w:rsid w:val="00AC5900"/>
    <w:rsid w:val="00AD0940"/>
    <w:rsid w:val="00B05427"/>
    <w:rsid w:val="00BA16B1"/>
    <w:rsid w:val="00BA34E0"/>
    <w:rsid w:val="00BD559F"/>
    <w:rsid w:val="00C37A8A"/>
    <w:rsid w:val="00C4587B"/>
    <w:rsid w:val="00C86BFC"/>
    <w:rsid w:val="00D27C8C"/>
    <w:rsid w:val="00D642CA"/>
    <w:rsid w:val="00D76681"/>
    <w:rsid w:val="00DA7533"/>
    <w:rsid w:val="00DB3790"/>
    <w:rsid w:val="00E17345"/>
    <w:rsid w:val="00E34BAD"/>
    <w:rsid w:val="00E508B7"/>
    <w:rsid w:val="00EC4FE2"/>
    <w:rsid w:val="00EE4911"/>
    <w:rsid w:val="00F063D7"/>
    <w:rsid w:val="058B71E0"/>
    <w:rsid w:val="08FB5B3F"/>
    <w:rsid w:val="0BE14334"/>
    <w:rsid w:val="0EA325C9"/>
    <w:rsid w:val="17B21983"/>
    <w:rsid w:val="24D1203C"/>
    <w:rsid w:val="280419AD"/>
    <w:rsid w:val="2FB96948"/>
    <w:rsid w:val="3327616A"/>
    <w:rsid w:val="34C45458"/>
    <w:rsid w:val="35C83C42"/>
    <w:rsid w:val="377341F0"/>
    <w:rsid w:val="3D294DE0"/>
    <w:rsid w:val="40126957"/>
    <w:rsid w:val="47FF3142"/>
    <w:rsid w:val="49707360"/>
    <w:rsid w:val="4F0B715C"/>
    <w:rsid w:val="51307718"/>
    <w:rsid w:val="53CC2594"/>
    <w:rsid w:val="5D0C63C4"/>
    <w:rsid w:val="6E734841"/>
    <w:rsid w:val="73D824BD"/>
    <w:rsid w:val="756B0C6B"/>
    <w:rsid w:val="7BD4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Normal]"/>
    <w:uiPriority w:val="0"/>
    <w:rPr>
      <w:rFonts w:ascii="宋体" w:hAnsi="宋体" w:eastAsia="宋体" w:cs="Times New Roman"/>
      <w:sz w:val="24"/>
      <w:lang w:val="en-US" w:eastAsia="en-US" w:bidi="ar-SA"/>
    </w:rPr>
  </w:style>
  <w:style w:type="paragraph" w:styleId="10">
    <w:name w:val="List Paragraph"/>
    <w:basedOn w:val="1"/>
    <w:qFormat/>
    <w:uiPriority w:val="34"/>
    <w:pPr>
      <w:ind w:firstLine="420" w:firstLineChars="200"/>
    </w:pPr>
    <w:rPr>
      <w:rFonts w:ascii="等线" w:hAnsi="等线" w:eastAsia="等线" w:cs="Times New Roman"/>
      <w:szCs w:val="22"/>
    </w:rPr>
  </w:style>
  <w:style w:type="character" w:customStyle="1" w:styleId="11">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17BA8-B131-4FE1-97AF-1C7FAEC3CEB6}">
  <ds:schemaRefs/>
</ds:datastoreItem>
</file>

<file path=docProps/app.xml><?xml version="1.0" encoding="utf-8"?>
<Properties xmlns="http://schemas.openxmlformats.org/officeDocument/2006/extended-properties" xmlns:vt="http://schemas.openxmlformats.org/officeDocument/2006/docPropsVTypes">
  <Template>Normal</Template>
  <Pages>31</Pages>
  <Words>2111</Words>
  <Characters>12038</Characters>
  <Lines>100</Lines>
  <Paragraphs>28</Paragraphs>
  <TotalTime>1</TotalTime>
  <ScaleCrop>false</ScaleCrop>
  <LinksUpToDate>false</LinksUpToDate>
  <CharactersWithSpaces>14121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2021-09-28T08:11:00Z</dcterms:created>
  <dc:creator>王明新TIAD</dc:creator>
  <cp:lastModifiedBy>Administrator</cp:lastModifiedBy>
  <cp:lastPrinted>2021-10-09T01:26:00Z</cp:lastPrinted>
  <dcterms:modified xsi:type="dcterms:W3CDTF">2023-06-05T11:55:56Z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A6B008FBAF2347C5BBF5C11156E712A2</vt:lpwstr>
  </property>
</Properties>
</file>