
<file path=[Content_Types].xml><?xml version="1.0" encoding="utf-8"?>
<Types xmlns="http://schemas.openxmlformats.org/package/2006/content-types">
  <Default Extension="xml" ContentType="application/xml"/>
  <Default Extension="xlsx" ContentType="application/vnd.openxmlformats-officedocument.spreadsheetml.sheet"/>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5715" b="571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rgbClr val="FFFFFF"/>
                        </a:solidFill>
                        <a:ln w="12700" cap="flat" cmpd="sng" algn="ctr">
                          <a:noFill/>
                          <a:prstDash val="solid"/>
                          <a:miter lim="800000"/>
                        </a:ln>
                        <a:effectLst/>
                      </wps:spPr>
                      <wps:txbx>
                        <w:txbxContent>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yXOe2QAAAAsBAAAPAAAAAAAAAAEAIAAAACIAAABkcnMvZG93bnJldi54bWxQ&#10;SwECFAAUAAAACACHTuJA6AbxLvYBAADjAwAADgAAAAAAAAABACAAAAAoAQAAZHJzL2Uyb0RvYy54&#10;bWxQSwUGAAAAAAYABgBZAQAAkAUAAAAA&#10;">
                <v:fill on="t" focussize="0,0"/>
                <v:stroke on="f" weight="1pt" miterlimit="8" joinstyle="miter"/>
                <v:imagedata o:title=""/>
                <o:lock v:ext="edit" aspectratio="f"/>
                <v:textbox>
                  <w:txbxContent>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a:noFill/>
                        <a:ln>
                          <a:noFill/>
                        </a:ln>
                        <a:effectLst/>
                      </wps:spPr>
                      <wps:txbx>
                        <w:txbxContent>
                          <w:p>
                            <w:pPr>
                              <w:spacing w:line="360" w:lineRule="auto"/>
                              <w:jc w:val="center"/>
                              <w:rPr>
                                <w:rFonts w:ascii="仿宋" w:hAnsi="仿宋" w:eastAsia="仿宋"/>
                                <w:kern w:val="0"/>
                                <w:sz w:val="28"/>
                                <w:szCs w:val="28"/>
                              </w:rPr>
                            </w:pPr>
                            <w:r>
                              <w:rPr>
                                <w:rFonts w:hint="eastAsia" w:ascii="仿宋" w:hAnsi="仿宋" w:eastAsia="仿宋"/>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5408;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pVqbnZAAAACgEAAA8AAAAAAAAAAQAgAAAAIgAAAGRycy9kb3du&#10;cmV2LnhtbFBLAQIUABQAAAAIAIdO4kBOsRLzxQEAAHgDAAAOAAAAAAAAAAEAIAAAACgBAABkcnMv&#10;ZTJvRG9jLnhtbFBLBQYAAAAABgAGAFkBAABfBQAAAAA=&#10;">
                <v:fill on="f" focussize="0,0"/>
                <v:stroke on="f"/>
                <v:imagedata o:title=""/>
                <o:lock v:ext="edit" aspectratio="f"/>
                <v:textbox style="mso-fit-shape-to-text:t;">
                  <w:txbxContent>
                    <w:p>
                      <w:pPr>
                        <w:spacing w:line="360" w:lineRule="auto"/>
                        <w:jc w:val="center"/>
                        <w:rPr>
                          <w:rFonts w:ascii="仿宋" w:hAnsi="仿宋" w:eastAsia="仿宋"/>
                          <w:kern w:val="0"/>
                          <w:sz w:val="28"/>
                          <w:szCs w:val="28"/>
                        </w:rPr>
                      </w:pPr>
                      <w:r>
                        <w:rPr>
                          <w:rFonts w:hint="eastAsia" w:ascii="仿宋" w:hAnsi="仿宋" w:eastAsia="仿宋"/>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789940</wp:posOffset>
                </wp:positionH>
                <wp:positionV relativeFrom="paragraph">
                  <wp:posOffset>3082925</wp:posOffset>
                </wp:positionV>
                <wp:extent cx="1313815" cy="1313815"/>
                <wp:effectExtent l="0" t="0" r="12065" b="1206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w="12700" cap="flat" cmpd="sng" algn="ctr">
                          <a:noFill/>
                          <a:prstDash val="solid"/>
                          <a:miter lim="800000"/>
                        </a:ln>
                        <a:effectLst/>
                      </wps:spPr>
                      <wps:txbx>
                        <w:txbxContent>
                          <w:p/>
                        </w:txbxContent>
                      </wps:txbx>
                      <wps:bodyPr rtlCol="0" anchor="ctr"/>
                    </wps:wsp>
                  </a:graphicData>
                </a:graphic>
              </wp:anchor>
            </w:drawing>
          </mc:Choice>
          <mc:Fallback>
            <w:pict>
              <v:shape id="椭圆 9" o:spid="_x0000_s1026" o:spt="3" type="#_x0000_t3" style="position:absolute;left:0pt;margin-left:62.2pt;margin-top:242.75pt;height:103.45pt;width:103.45pt;z-index:251664384;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&#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0Chgu2AAAAAsBAAAPAAAAAAAAAAEAIAAAACIAAABk&#10;cnMvZG93bnJldi54bWxQSwECFAAUAAAACACHTuJARbw6vQYCAADvAwAADgAAAAAAAAABACAAAAAn&#10;AQAAZHJzL2Uyb0RvYy54bWxQSwUGAAAAAAYABgBZAQAAnwUAAAAA&#10;">
                <v:fill on="t" focussize="0,0"/>
                <v:stroke on="f" weight="1pt" miterlimit="8" joinstyle="miter"/>
                <v:imagedata o:title=""/>
                <o:lock v:ext="edit" aspectratio="f"/>
                <v:textbox>
                  <w:txbxContent>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a:effectLst/>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2336;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ZkF9HbAAAADAEAAA8AAAAAAAAAAQAgAAAAIgAAAGRycy9kb3ducmV2LnhtbFBLAQIU&#10;ABQAAAAIAIdO4kBICsdgtwEAAGsDAAAOAAAAAAAAAAEAIAAAACoBAABkcnMvZTJvRG9jLnhtbFBL&#10;BQYAAAAABgAGAFkBAABT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mc:AlternateContent>
          <mc:Choice Requires="wps">
            <w:drawing>
              <wp:anchor distT="0" distB="0" distL="114300" distR="114300" simplePos="0" relativeHeight="251663360" behindDoc="0" locked="0" layoutInCell="1" allowOverlap="1">
                <wp:simplePos x="0" y="0"/>
                <wp:positionH relativeFrom="column">
                  <wp:posOffset>243840</wp:posOffset>
                </wp:positionH>
                <wp:positionV relativeFrom="paragraph">
                  <wp:posOffset>5498465</wp:posOffset>
                </wp:positionV>
                <wp:extent cx="5132705" cy="699135"/>
                <wp:effectExtent l="0" t="0" r="0" b="0"/>
                <wp:wrapNone/>
                <wp:docPr id="5" name="文本框 10"/>
                <wp:cNvGraphicFramePr/>
                <a:graphic xmlns:a="http://schemas.openxmlformats.org/drawingml/2006/main">
                  <a:graphicData uri="http://schemas.microsoft.com/office/word/2010/wordprocessingShape">
                    <wps:wsp>
                      <wps:cNvSpPr txBox="1"/>
                      <wps:spPr>
                        <a:xfrm>
                          <a:off x="0" y="0"/>
                          <a:ext cx="5132705" cy="699135"/>
                        </a:xfrm>
                        <a:prstGeom prst="rect">
                          <a:avLst/>
                        </a:prstGeom>
                        <a:noFill/>
                        <a:ln>
                          <a:noFill/>
                        </a:ln>
                      </wps:spPr>
                      <wps:txbx>
                        <w:txbxContent>
                          <w:p>
                            <w:pPr>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二〇二〇年九月</w:t>
                            </w:r>
                          </w:p>
                          <w:p>
                            <w:pPr>
                              <w:jc w:val="center"/>
                              <w:rPr>
                                <w:rFonts w:ascii="楷体_GB2312" w:hAnsi="楷体_GB2312" w:eastAsia="楷体_GB2312" w:cs="楷体_GB2312"/>
                                <w:color w:val="000000" w:themeColor="text1"/>
                                <w:kern w:val="0"/>
                                <w:sz w:val="44"/>
                                <w:szCs w:val="44"/>
                                <w14:textFill>
                                  <w14:solidFill>
                                    <w14:schemeClr w14:val="tx1"/>
                                  </w14:solidFill>
                                </w14:textFill>
                              </w:rPr>
                            </w:pPr>
                          </w:p>
                        </w:txbxContent>
                      </wps:txbx>
                      <wps:bodyPr upright="1"/>
                    </wps:wsp>
                  </a:graphicData>
                </a:graphic>
              </wp:anchor>
            </w:drawing>
          </mc:Choice>
          <mc:Fallback>
            <w:pict>
              <v:shape id="文本框 10" o:spid="_x0000_s1026" o:spt="202" type="#_x0000_t202" style="position:absolute;left:0pt;margin-left:19.2pt;margin-top:432.95pt;height:55.05pt;width:404.15pt;z-index:251663360;mso-width-relative:page;mso-height-relative:page;" filled="f" stroked="f" coordsize="21600,21600" o:gfxdata="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gOnS9gA&#10;AAAKAQAADwAAAAAAAAABACAAAAAiAAAAZHJzL2Rvd25yZXYueG1sUEsBAhQAFAAAAAgAh07iQPuK&#10;HDatAQAATwMAAA4AAAAAAAAAAQAgAAAAJwEAAGRycy9lMm9Eb2MueG1sUEsFBgAAAAAGAAYAWQEA&#10;AEYFAAAAAA==&#10;">
                <v:fill on="f" focussize="0,0"/>
                <v:stroke on="f"/>
                <v:imagedata o:title=""/>
                <o:lock v:ext="edit" aspectratio="f"/>
                <v:textbox>
                  <w:txbxContent>
                    <w:p>
                      <w:pPr>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二〇二〇年九月</w:t>
                      </w:r>
                    </w:p>
                    <w:p>
                      <w:pPr>
                        <w:jc w:val="center"/>
                        <w:rPr>
                          <w:rFonts w:ascii="楷体_GB2312" w:hAnsi="楷体_GB2312" w:eastAsia="楷体_GB2312" w:cs="楷体_GB2312"/>
                          <w:color w:val="000000" w:themeColor="text1"/>
                          <w:kern w:val="0"/>
                          <w:sz w:val="44"/>
                          <w:szCs w:val="44"/>
                          <w14:textFill>
                            <w14:solidFill>
                              <w14:schemeClr w14:val="tx1"/>
                            </w14:solidFill>
                          </w14:textFill>
                        </w:rPr>
                      </w:pPr>
                    </w:p>
                  </w:txbxContent>
                </v:textbox>
              </v:shape>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-1028700</wp:posOffset>
                </wp:positionH>
                <wp:positionV relativeFrom="paragraph">
                  <wp:posOffset>1242695</wp:posOffset>
                </wp:positionV>
                <wp:extent cx="7623175" cy="1534160"/>
                <wp:effectExtent l="0" t="0" r="12065" b="0"/>
                <wp:wrapNone/>
                <wp:docPr id="4" name="组合 19"/>
                <wp:cNvGraphicFramePr/>
                <a:graphic xmlns:a="http://schemas.openxmlformats.org/drawingml/2006/main">
                  <a:graphicData uri="http://schemas.microsoft.com/office/word/2010/wordprocessingGroup">
                    <wpg:wgp>
                      <wpg:cNvGrpSpPr/>
                      <wpg:grpSpPr>
                        <a:xfrm>
                          <a:off x="0" y="0"/>
                          <a:ext cx="7623175" cy="1534031"/>
                          <a:chOff x="13622" y="283"/>
                          <a:chExt cx="12005" cy="11180"/>
                        </a:xfrm>
                        <a:effectLst/>
                      </wpg:grpSpPr>
                      <wps:wsp>
                        <wps:cNvPr id="6" name="矩形 5"/>
                        <wps:cNvSpPr/>
                        <wps:spPr>
                          <a:xfrm>
                            <a:off x="13622" y="283"/>
                            <a:ext cx="12005" cy="6170"/>
                          </a:xfrm>
                          <a:prstGeom prst="rect">
                            <a:avLst/>
                          </a:prstGeom>
                          <a:solidFill>
                            <a:srgbClr val="FDBC11"/>
                          </a:solidFill>
                          <a:ln w="12700" cap="flat" cmpd="sng" algn="ctr">
                            <a:noFill/>
                            <a:prstDash val="solid"/>
                            <a:miter lim="800000"/>
                          </a:ln>
                          <a:effectLst/>
                        </wps:spPr>
                        <wps:bodyPr rtlCol="0" anchor="ctr"/>
                      </wps:wsp>
                      <wps:wsp>
                        <wps:cNvPr id="11" name="文本框 10"/>
                        <wps:cNvSpPr txBox="1"/>
                        <wps:spPr>
                          <a:xfrm>
                            <a:off x="17229" y="5021"/>
                            <a:ext cx="8083" cy="6442"/>
                          </a:xfrm>
                          <a:prstGeom prst="rect">
                            <a:avLst/>
                          </a:prstGeom>
                          <a:noFill/>
                          <a:ln>
                            <a:noFill/>
                          </a:ln>
                          <a:effectLst/>
                        </wps:spPr>
                        <wps:txbx>
                          <w:txbxContent>
                            <w:p>
                              <w:pPr>
                                <w:jc w:val="left"/>
                                <w:rPr>
                                  <w:color w:val="000000" w:themeColor="text1"/>
                                  <w:kern w:val="0"/>
                                  <w:sz w:val="92"/>
                                  <w:szCs w:val="92"/>
                                  <w14:textFill>
                                    <w14:solidFill>
                                      <w14:schemeClr w14:val="tx1"/>
                                    </w14:solidFill>
                                  </w14:textFill>
                                </w:rPr>
                              </w:pPr>
                              <w:r>
                                <w:rPr>
                                  <w:rFonts w:hint="eastAsia" w:ascii="思源黑体 HW Bold" w:hAnsi="思源黑体 HW Bold" w:eastAsia="思源黑体 HW Bold"/>
                                  <w:color w:val="000000" w:themeColor="text1"/>
                                  <w:kern w:val="24"/>
                                  <w:sz w:val="92"/>
                                  <w:szCs w:val="92"/>
                                  <w14:textFill>
                                    <w14:solidFill>
                                      <w14:schemeClr w14:val="tx1"/>
                                    </w14:solidFill>
                                  </w14:textFill>
                                </w:rPr>
                                <w:t>部门决算公开文本</w:t>
                              </w:r>
                            </w:p>
                          </w:txbxContent>
                        </wps:txbx>
                        <wps:bodyPr wrap="square" rtlCol="0">
                          <a:spAutoFit/>
                        </wps:bodyPr>
                      </wps:wsp>
                    </wpg:wgp>
                  </a:graphicData>
                </a:graphic>
              </wp:anchor>
            </w:drawing>
          </mc:Choice>
          <mc:Fallback>
            <w:pict>
              <v:group id="组合 19" o:spid="_x0000_s1026" o:spt="203" style="position:absolute;left:0pt;margin-left:-81pt;margin-top:97.85pt;height:120.8pt;width:600.25pt;z-index:-251657216;mso-width-relative:page;mso-height-relative:page;" coordorigin="13622,283" coordsize="12005,11180" o:gfxdata="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AnoAxbdAAAADQEAAA8AAAAAAAAAAQAgAAAAIgAAAGRycy9kb3ducmV2Lnht&#10;bFBLAQIUABQAAAAIAIdO4kApD4472AIAAMEGAAAOAAAAAAAAAAEAIAAAACwBAABkcnMvZTJvRG9j&#10;LnhtbFBLBQYAAAAABgAGAFkBAAB2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6442;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textFill>
                              <w14:solidFill>
                                <w14:schemeClr w14:val="tx1"/>
                              </w14:solidFill>
                            </w14:textFill>
                          </w:rPr>
                        </w:pPr>
                        <w:r>
                          <w:rPr>
                            <w:rFonts w:hint="eastAsia" w:ascii="思源黑体 HW Bold" w:hAnsi="思源黑体 HW Bold" w:eastAsia="思源黑体 HW Bold"/>
                            <w:color w:val="000000" w:themeColor="text1"/>
                            <w:kern w:val="24"/>
                            <w:sz w:val="92"/>
                            <w:szCs w:val="92"/>
                            <w14:textFill>
                              <w14:solidFill>
                                <w14:schemeClr w14:val="tx1"/>
                              </w14:solidFill>
                            </w14:textFill>
                          </w:rPr>
                          <w:t>部门决算公开文本</w:t>
                        </w:r>
                      </w:p>
                    </w:txbxContent>
                  </v:textbox>
                </v:shape>
              </v:group>
            </w:pict>
          </mc:Fallback>
        </mc:AlternateContent>
      </w:r>
      <w:r>
        <w:rPr>
          <w:rFonts w:hint="eastAsia" w:ascii="黑体" w:hAnsi="Times New Roman" w:eastAsia="黑体" w:cs="Times New Roman"/>
          <w:sz w:val="48"/>
          <w:szCs w:val="48"/>
        </w:rPr>
        <w:br w:type="page"/>
      </w:r>
    </w:p>
    <w:p>
      <w:pPr>
        <w:tabs>
          <w:tab w:val="left" w:pos="2728"/>
        </w:tabs>
        <w:rPr>
          <w:rFonts w:ascii="黑体" w:hAnsi="黑体" w:eastAsia="黑体" w:cs="黑体"/>
          <w:sz w:val="56"/>
          <w:szCs w:val="72"/>
        </w:rPr>
      </w:pPr>
      <w:r>
        <w:rPr>
          <w:rFonts w:hint="eastAsia" w:ascii="黑体" w:hAnsi="Times New Roman" w:eastAsia="黑体" w:cs="Times New Roman"/>
          <w:sz w:val="48"/>
          <w:szCs w:val="48"/>
        </w:rPr>
        <w:tab/>
      </w:r>
    </w:p>
    <w:p>
      <w:pPr>
        <w:rPr>
          <w:rFonts w:ascii="黑体" w:hAnsi="黑体" w:eastAsia="黑体" w:cs="黑体"/>
          <w:bCs/>
          <w:sz w:val="72"/>
          <w:szCs w:val="96"/>
        </w:rPr>
      </w:pPr>
      <w:r>
        <w:rPr>
          <w:rFonts w:hint="eastAsia" w:ascii="黑体" w:hAnsi="黑体" w:eastAsia="黑体" w:cs="黑体"/>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保定市满城区发展和改革局</w:t>
      </w: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textFill>
            <w14:solidFill>
              <w14:schemeClr w14:val="tx1"/>
            </w14:solidFill>
          </w14:textFill>
        </w:rPr>
        <w:t>二〇二〇年九月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6432"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7" name="文本框 1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upright="1"/>
                    </wps:wsp>
                  </a:graphicData>
                </a:graphic>
              </wp:anchor>
            </w:drawing>
          </mc:Choice>
          <mc:Fallback>
            <w:pict>
              <v:shape id="文本框 17" o:spid="_x0000_s1026" o:spt="202" type="#_x0000_t202" style="position:absolute;left:0pt;margin-left:-85.7pt;margin-top:80.7pt;height:263.1pt;width:613.65pt;z-index:251666432;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jhJPdsAAAANAQAADwAAAAAAAAABACAAAAAiAAAAZHJzL2Rv&#10;d25yZXYueG1sUEsBAhQAFAAAAAgAh07iQNt1kIU3AgAAjwQAAA4AAAAAAAAAAQAgAAAAKgEAAGRy&#10;cy9lMm9Eb2MueG1sUEsFBgAAAAAGAAYAWQEAANMFAAAAAA==&#10;">
                <v:fill type="pattern" on="t" color2="#FFFFFF" focussize="0,0" r:id="rId25"/>
                <v:stroke weight="1pt" color="#FFD96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20" w:lineRule="exact"/>
        <w:ind w:firstLine="645"/>
        <w:rPr>
          <w:rFonts w:ascii="仿宋" w:hAnsi="仿宋" w:eastAsia="仿宋" w:cs="仿宋_GB2312"/>
          <w:sz w:val="32"/>
          <w:szCs w:val="32"/>
        </w:rPr>
      </w:pPr>
      <w:r>
        <w:rPr>
          <w:rFonts w:hint="eastAsia" w:ascii="仿宋" w:hAnsi="仿宋" w:eastAsia="仿宋" w:cs="仿宋_GB2312"/>
          <w:sz w:val="32"/>
          <w:szCs w:val="32"/>
        </w:rPr>
        <w:t>根据中共保定市满城区委办公室、保定市满城区人民政府办公室关于印发《保定市满城区发展和改革局职能配置、内设机构和人员编制规定》的通知（满办字[2019]26号）和中共保定市满城区委机构编制委员会关于调整发展和改革局所属事业单位价格认定中心名称、职责的批复（</w:t>
      </w:r>
      <w:r>
        <w:rPr>
          <w:rFonts w:hint="eastAsia" w:ascii="仿宋" w:hAnsi="仿宋" w:eastAsia="仿宋" w:cs="仿宋_GB2312"/>
          <w:kern w:val="0"/>
          <w:sz w:val="32"/>
          <w:szCs w:val="32"/>
        </w:rPr>
        <w:t>满编字【2019】18号）、</w:t>
      </w:r>
      <w:r>
        <w:rPr>
          <w:rFonts w:hint="eastAsia" w:ascii="仿宋" w:hAnsi="仿宋" w:eastAsia="仿宋" w:cs="仿宋_GB2312"/>
          <w:sz w:val="32"/>
          <w:szCs w:val="32"/>
        </w:rPr>
        <w:t>中共保定市满城区委机构编制委员会关于调整区发展和改革局所属事业机构设置的批复（</w:t>
      </w:r>
      <w:r>
        <w:rPr>
          <w:rFonts w:hint="eastAsia" w:ascii="仿宋" w:hAnsi="仿宋" w:eastAsia="仿宋" w:cs="仿宋_GB2312"/>
          <w:kern w:val="0"/>
          <w:sz w:val="32"/>
          <w:szCs w:val="32"/>
        </w:rPr>
        <w:t>满编字【2019】18号</w:t>
      </w:r>
      <w:r>
        <w:rPr>
          <w:rFonts w:hint="eastAsia" w:ascii="仿宋" w:hAnsi="仿宋" w:eastAsia="仿宋" w:cs="仿宋_GB2312"/>
          <w:sz w:val="32"/>
          <w:szCs w:val="32"/>
        </w:rPr>
        <w:t>）</w:t>
      </w:r>
      <w:r>
        <w:rPr>
          <w:rFonts w:hint="eastAsia" w:ascii="仿宋" w:hAnsi="仿宋" w:eastAsia="仿宋" w:cs="仿宋_GB2312"/>
          <w:kern w:val="0"/>
          <w:sz w:val="32"/>
          <w:szCs w:val="32"/>
        </w:rPr>
        <w:t>文件规定。</w:t>
      </w:r>
      <w:r>
        <w:rPr>
          <w:rFonts w:hint="eastAsia" w:ascii="仿宋" w:hAnsi="仿宋" w:eastAsia="仿宋" w:cs="仿宋_GB2312"/>
          <w:sz w:val="32"/>
          <w:szCs w:val="32"/>
        </w:rPr>
        <w:t>现将我局部门主要职责说明如下：</w:t>
      </w:r>
    </w:p>
    <w:p>
      <w:pPr>
        <w:spacing w:line="560" w:lineRule="exact"/>
        <w:ind w:firstLine="640"/>
        <w:rPr>
          <w:rFonts w:ascii="仿宋" w:hAnsi="仿宋" w:eastAsia="仿宋"/>
          <w:color w:val="000000"/>
          <w:sz w:val="32"/>
          <w:szCs w:val="32"/>
        </w:rPr>
      </w:pPr>
      <w:r>
        <w:rPr>
          <w:rFonts w:hint="eastAsia" w:ascii="仿宋" w:hAnsi="仿宋" w:eastAsia="仿宋" w:cs="仿宋_GB2312"/>
          <w:color w:val="000000"/>
          <w:spacing w:val="-8"/>
          <w:sz w:val="32"/>
          <w:szCs w:val="32"/>
        </w:rPr>
        <w:t>（一）拟订并组织实施全区国民经济和社会发展战略、中长期规划和年度计划。</w:t>
      </w:r>
      <w:r>
        <w:rPr>
          <w:rFonts w:hint="eastAsia" w:ascii="仿宋" w:hAnsi="仿宋" w:eastAsia="仿宋" w:cs="仿宋_GB2312"/>
          <w:color w:val="000000"/>
          <w:sz w:val="32"/>
          <w:szCs w:val="32"/>
        </w:rPr>
        <w:t>牵头组织统一规划体系建设。负责区级专项规划、区域规划、空间规划与全区发展规划的统筹衔接。起草国民经济和社会发展、经济体制改革和对外开放的有关规定草案，制定规范性文件。</w:t>
      </w:r>
    </w:p>
    <w:p>
      <w:pPr>
        <w:spacing w:line="560" w:lineRule="exact"/>
        <w:ind w:firstLine="640"/>
        <w:rPr>
          <w:rFonts w:ascii="仿宋" w:hAnsi="仿宋" w:eastAsia="仿宋"/>
          <w:color w:val="000000"/>
          <w:sz w:val="32"/>
          <w:szCs w:val="32"/>
        </w:rPr>
      </w:pPr>
      <w:r>
        <w:rPr>
          <w:rFonts w:hint="eastAsia" w:ascii="仿宋" w:hAnsi="仿宋" w:eastAsia="仿宋" w:cs="仿宋_GB2312"/>
          <w:color w:val="000000"/>
          <w:spacing w:val="-8"/>
          <w:sz w:val="32"/>
          <w:szCs w:val="32"/>
        </w:rPr>
        <w:t>（二）</w:t>
      </w:r>
      <w:r>
        <w:rPr>
          <w:rFonts w:hint="eastAsia" w:ascii="仿宋" w:hAnsi="仿宋" w:eastAsia="仿宋" w:cs="仿宋_GB2312"/>
          <w:color w:val="000000"/>
          <w:sz w:val="32"/>
          <w:szCs w:val="32"/>
        </w:rPr>
        <w:t>提出加快建设全区现代化经济体系、推动高质量发展的总体目标、重大任务以及相关政策。组织开展重大战略规划、重大政策、重大工程等的评估督导，提出相关调整建议。</w:t>
      </w:r>
    </w:p>
    <w:p>
      <w:pPr>
        <w:spacing w:line="560" w:lineRule="exact"/>
        <w:ind w:firstLine="640"/>
        <w:rPr>
          <w:rFonts w:ascii="仿宋" w:hAnsi="仿宋" w:eastAsia="仿宋"/>
          <w:color w:val="000000"/>
          <w:sz w:val="32"/>
          <w:szCs w:val="32"/>
        </w:rPr>
      </w:pPr>
      <w:r>
        <w:rPr>
          <w:rFonts w:hint="eastAsia" w:ascii="仿宋" w:hAnsi="仿宋" w:eastAsia="仿宋" w:cs="仿宋_GB2312"/>
          <w:color w:val="000000"/>
          <w:spacing w:val="-8"/>
          <w:sz w:val="32"/>
          <w:szCs w:val="32"/>
        </w:rPr>
        <w:t>（三）</w:t>
      </w:r>
      <w:r>
        <w:rPr>
          <w:rFonts w:hint="eastAsia" w:ascii="仿宋" w:hAnsi="仿宋" w:eastAsia="仿宋" w:cs="仿宋_GB2312"/>
          <w:color w:val="000000"/>
          <w:sz w:val="32"/>
          <w:szCs w:val="32"/>
        </w:rPr>
        <w:t>贯彻落实国家宏观调控政策，统筹提出全区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制定由区级管理的重要商品、服务价格和重要收费标准。参与贯彻落实国家财政政策、货币政策和土地政策。</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（四）</w:t>
      </w:r>
      <w:r>
        <w:rPr>
          <w:rFonts w:hint="eastAsia" w:ascii="仿宋" w:hAnsi="仿宋" w:eastAsia="仿宋" w:cs="仿宋_GB2312"/>
          <w:color w:val="000000"/>
          <w:sz w:val="32"/>
          <w:szCs w:val="32"/>
        </w:rPr>
        <w:t>指导推进和综合协调经济体制改革有关工作，提出相关改革建议。牵头推进供给侧结构性改革，协调推进产权制度和要素市场化配置改革。落实国家、省、市完善基本经济制度政策，推动现代化市场体系建设，会同有关部门组织实施市场准入负面清单制度。牵头推进优化营商环境工作。</w:t>
      </w:r>
    </w:p>
    <w:p>
      <w:pPr>
        <w:spacing w:line="560" w:lineRule="exact"/>
        <w:ind w:firstLine="640"/>
        <w:rPr>
          <w:rFonts w:ascii="仿宋" w:hAnsi="仿宋" w:eastAsia="仿宋"/>
          <w:color w:val="000000"/>
          <w:sz w:val="32"/>
          <w:szCs w:val="32"/>
        </w:rPr>
      </w:pPr>
      <w:r>
        <w:rPr>
          <w:rFonts w:hint="eastAsia" w:ascii="仿宋" w:hAnsi="仿宋" w:eastAsia="仿宋" w:cs="仿宋_GB2312"/>
          <w:color w:val="000000"/>
          <w:spacing w:val="-8"/>
          <w:sz w:val="32"/>
          <w:szCs w:val="32"/>
        </w:rPr>
        <w:t>（五）</w:t>
      </w:r>
      <w:r>
        <w:rPr>
          <w:rFonts w:hint="eastAsia" w:ascii="仿宋" w:hAnsi="仿宋" w:eastAsia="仿宋" w:cs="仿宋_GB2312"/>
          <w:color w:val="000000"/>
          <w:sz w:val="32"/>
          <w:szCs w:val="32"/>
        </w:rPr>
        <w:t>提出全区利用外资和境外投资的战略、规划、总量平衡和结构优化政策。牵头推进实施全区“一带一路”建设有关工作。承担统筹协调走出去有关工作，会同有关部门贯彻落实国家、省外商投资准入负面清单，负责全区全口径外债的总量控制、结构优化和监测工作。</w:t>
      </w:r>
    </w:p>
    <w:p>
      <w:pPr>
        <w:spacing w:line="560" w:lineRule="exact"/>
        <w:ind w:firstLine="640"/>
        <w:rPr>
          <w:rFonts w:ascii="仿宋" w:hAnsi="仿宋" w:eastAsia="仿宋"/>
          <w:color w:val="000000"/>
          <w:sz w:val="32"/>
          <w:szCs w:val="32"/>
        </w:rPr>
      </w:pPr>
      <w:r>
        <w:rPr>
          <w:rFonts w:hint="eastAsia" w:ascii="仿宋" w:hAnsi="仿宋" w:eastAsia="仿宋" w:cs="仿宋_GB2312"/>
          <w:color w:val="000000"/>
          <w:spacing w:val="-8"/>
          <w:sz w:val="32"/>
          <w:szCs w:val="32"/>
        </w:rPr>
        <w:t>（六）</w:t>
      </w:r>
      <w:r>
        <w:rPr>
          <w:rFonts w:hint="eastAsia" w:ascii="仿宋" w:hAnsi="仿宋" w:eastAsia="仿宋" w:cs="仿宋_GB2312"/>
          <w:color w:val="000000"/>
          <w:sz w:val="32"/>
          <w:szCs w:val="32"/>
        </w:rPr>
        <w:t>负责全区投资综合管理。拟订全区固定资产投资总规模、结构调控目标和政策，衔接平衡需要安排政府投资和涉及重大建设项目的专项规划；会同相关部门拟订政府投资项目审批权限和政府核准的固定资产投资项目目录。安排区级预算内基本建设资金和有关发展性专项资金，按规定权限审批、核准、审核项目。规划全区重点建设项目和生产力布局，组织推动重点建设项目。拟订并推动落实鼓励民间投资政策措施。</w:t>
      </w:r>
    </w:p>
    <w:p>
      <w:pPr>
        <w:spacing w:line="570" w:lineRule="exact"/>
        <w:ind w:firstLine="608" w:firstLineChars="200"/>
        <w:rPr>
          <w:rFonts w:ascii="仿宋" w:hAnsi="仿宋" w:eastAsia="仿宋" w:cs="仿宋_GB2312"/>
          <w:color w:val="000000"/>
          <w:sz w:val="32"/>
          <w:szCs w:val="32"/>
        </w:rPr>
      </w:pPr>
      <w:r>
        <w:rPr>
          <w:rFonts w:hint="eastAsia" w:ascii="仿宋" w:hAnsi="仿宋" w:eastAsia="仿宋" w:cs="仿宋_GB2312"/>
          <w:color w:val="000000"/>
          <w:spacing w:val="-8"/>
          <w:sz w:val="32"/>
          <w:szCs w:val="32"/>
        </w:rPr>
        <w:t>（七）</w:t>
      </w:r>
      <w:r>
        <w:rPr>
          <w:rFonts w:hint="eastAsia" w:ascii="仿宋" w:hAnsi="仿宋" w:eastAsia="仿宋" w:cs="仿宋_GB2312"/>
          <w:color w:val="000000"/>
          <w:sz w:val="32"/>
          <w:szCs w:val="32"/>
        </w:rPr>
        <w:t>推进落实区域协调发展战略、新型城镇化战略和重大政策，组织拟订相关区域规划和政策。推进实施京津冀协同发展等区域发展战略，组织实施老少边穷及其他特殊困难地区发展规划和政策，组织实施易地扶贫搬迁等。统筹协调区域合作和对口支援工作，组织编制并推动实施新型城镇化规划。</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（八）</w:t>
      </w:r>
      <w:r>
        <w:rPr>
          <w:rFonts w:hint="eastAsia" w:ascii="仿宋" w:hAnsi="仿宋" w:eastAsia="仿宋" w:cs="仿宋_GB2312"/>
          <w:color w:val="000000"/>
          <w:sz w:val="32"/>
          <w:szCs w:val="32"/>
        </w:rPr>
        <w:t>组织贯彻实施国家、</w:t>
      </w:r>
      <w:r>
        <w:rPr>
          <w:rFonts w:hint="eastAsia" w:ascii="仿宋" w:hAnsi="仿宋" w:eastAsia="仿宋" w:cs="仿宋_GB2312"/>
          <w:sz w:val="32"/>
          <w:szCs w:val="32"/>
        </w:rPr>
        <w:t>省、市</w:t>
      </w:r>
      <w:r>
        <w:rPr>
          <w:rFonts w:hint="eastAsia" w:ascii="仿宋" w:hAnsi="仿宋" w:eastAsia="仿宋" w:cs="仿宋_GB2312"/>
          <w:color w:val="000000"/>
          <w:sz w:val="32"/>
          <w:szCs w:val="32"/>
        </w:rPr>
        <w:t>产业政策，拟订全区综合性产业政策。协调一二三产业发展重大问题并统筹</w:t>
      </w:r>
      <w:r>
        <w:rPr>
          <w:rFonts w:hint="eastAsia" w:ascii="仿宋" w:hAnsi="仿宋" w:eastAsia="仿宋" w:cs="仿宋_GB2312"/>
          <w:sz w:val="32"/>
          <w:szCs w:val="32"/>
        </w:rPr>
        <w:t>衔</w:t>
      </w:r>
      <w:r>
        <w:rPr>
          <w:rFonts w:hint="eastAsia" w:ascii="仿宋" w:hAnsi="仿宋" w:eastAsia="仿宋" w:cs="仿宋_GB2312"/>
          <w:color w:val="000000"/>
          <w:sz w:val="32"/>
          <w:szCs w:val="32"/>
        </w:rPr>
        <w:t>接相关发展规划和重大政策。协调推进重大基础设施建设发展，组织拟订并推动实施服务业及现代物流业战略规划和重大政策。综合研判消费变动趋势，拟订实施促进消费的综合性政策措施。</w:t>
      </w:r>
    </w:p>
    <w:p>
      <w:pPr>
        <w:spacing w:line="560" w:lineRule="exact"/>
        <w:ind w:firstLine="640"/>
        <w:rPr>
          <w:rFonts w:ascii="仿宋" w:hAnsi="仿宋" w:eastAsia="仿宋"/>
          <w:color w:val="000000"/>
          <w:sz w:val="32"/>
          <w:szCs w:val="32"/>
        </w:rPr>
      </w:pPr>
      <w:r>
        <w:rPr>
          <w:rFonts w:hint="eastAsia" w:ascii="仿宋" w:hAnsi="仿宋" w:eastAsia="仿宋" w:cs="仿宋_GB2312"/>
          <w:color w:val="000000"/>
          <w:spacing w:val="-8"/>
          <w:sz w:val="32"/>
          <w:szCs w:val="32"/>
        </w:rPr>
        <w:t>（九）</w:t>
      </w:r>
      <w:r>
        <w:rPr>
          <w:rFonts w:hint="eastAsia" w:ascii="仿宋" w:hAnsi="仿宋" w:eastAsia="仿宋" w:cs="仿宋_GB2312"/>
          <w:color w:val="000000"/>
          <w:sz w:val="32"/>
          <w:szCs w:val="32"/>
        </w:rPr>
        <w:t>推动实施全区创新驱动发展战略。会同相关部门拟订全区推进创新创业的规划和政策，提出创新发展和培育经济发展新动能的政策。会同相关部门规划布局区级重大科技基础设施。组织拟订并推动实施高技术产业和战略性新兴产业及数字经济发展规划政策，协调产业升级、重大技术装备推广应用等方面的重大问题。</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（十）</w:t>
      </w:r>
      <w:r>
        <w:rPr>
          <w:rFonts w:hint="eastAsia" w:ascii="仿宋" w:hAnsi="仿宋" w:eastAsia="仿宋" w:cs="仿宋_GB2312"/>
          <w:color w:val="000000"/>
          <w:sz w:val="32"/>
          <w:szCs w:val="32"/>
        </w:rPr>
        <w:t>跟踪研判涉及经济安全、生态安全、资源安全、科技安全、社会安全等各类风险隐患，提出相关工作建议。协调落实重要工业品、原材料和重要农产品进出口调控措施。会同有关部门拟订全区储备物资品种目录、总体发展规划。</w:t>
      </w:r>
    </w:p>
    <w:p>
      <w:pPr>
        <w:spacing w:line="570" w:lineRule="exact"/>
        <w:ind w:firstLine="608" w:firstLineChars="200"/>
        <w:rPr>
          <w:rFonts w:ascii="仿宋" w:hAnsi="仿宋" w:eastAsia="仿宋" w:cs="仿宋_GB2312"/>
          <w:color w:val="000000"/>
          <w:sz w:val="32"/>
          <w:szCs w:val="32"/>
        </w:rPr>
      </w:pPr>
      <w:r>
        <w:rPr>
          <w:rFonts w:hint="eastAsia" w:ascii="仿宋" w:hAnsi="仿宋" w:eastAsia="仿宋" w:cs="仿宋_GB2312"/>
          <w:color w:val="000000"/>
          <w:spacing w:val="-8"/>
          <w:sz w:val="32"/>
          <w:szCs w:val="32"/>
        </w:rPr>
        <w:t>（十一）</w:t>
      </w:r>
      <w:r>
        <w:rPr>
          <w:rFonts w:hint="eastAsia" w:ascii="仿宋" w:hAnsi="仿宋" w:eastAsia="仿宋" w:cs="仿宋_GB2312"/>
          <w:color w:val="000000"/>
          <w:sz w:val="32"/>
          <w:szCs w:val="32"/>
        </w:rPr>
        <w:t>负责全区社会发展与国民经济发展的政策衔接，协调有关重大问题。组织拟订社会发展战略、总体规划，统筹推进基本公共服务体系建设和收入分配制度改革，提出促进就业、完善社会保障与经济协调发展的政策建议。</w:t>
      </w:r>
    </w:p>
    <w:p>
      <w:pPr>
        <w:spacing w:line="560" w:lineRule="exact"/>
        <w:ind w:firstLine="640"/>
        <w:rPr>
          <w:rFonts w:ascii="仿宋" w:hAnsi="仿宋" w:eastAsia="仿宋"/>
          <w:color w:val="000000"/>
          <w:sz w:val="32"/>
          <w:szCs w:val="32"/>
        </w:rPr>
      </w:pPr>
      <w:r>
        <w:rPr>
          <w:rFonts w:hint="eastAsia" w:ascii="仿宋" w:hAnsi="仿宋" w:eastAsia="仿宋" w:cs="仿宋_GB2312"/>
          <w:color w:val="000000"/>
          <w:spacing w:val="-8"/>
          <w:sz w:val="32"/>
          <w:szCs w:val="32"/>
        </w:rPr>
        <w:t>（十二）</w:t>
      </w:r>
      <w:r>
        <w:rPr>
          <w:rFonts w:hint="eastAsia" w:ascii="仿宋" w:hAnsi="仿宋" w:eastAsia="仿宋" w:cs="仿宋_GB2312"/>
          <w:color w:val="000000"/>
          <w:sz w:val="32"/>
          <w:szCs w:val="32"/>
        </w:rPr>
        <w:t>推进实施可持续发展战略，推动生态文明建设和改革，协调生态环境保护与修复、能源资源节约和综合利用等工作。提出健全生态保护补偿机制的政策措施，综合协调环保产业和清洁生产促进有关工作。提出全区能源消费控制目标任务并组织实施。</w:t>
      </w:r>
    </w:p>
    <w:p>
      <w:pPr>
        <w:spacing w:line="570" w:lineRule="exact"/>
        <w:ind w:firstLine="608" w:firstLineChars="200"/>
        <w:rPr>
          <w:rFonts w:ascii="仿宋" w:hAnsi="仿宋" w:eastAsia="仿宋" w:cs="仿宋_GB2312"/>
          <w:color w:val="000000"/>
          <w:sz w:val="32"/>
          <w:szCs w:val="32"/>
        </w:rPr>
      </w:pPr>
      <w:r>
        <w:rPr>
          <w:rFonts w:hint="eastAsia" w:ascii="仿宋" w:hAnsi="仿宋" w:eastAsia="仿宋" w:cs="仿宋_GB2312"/>
          <w:color w:val="000000"/>
          <w:spacing w:val="-8"/>
          <w:sz w:val="32"/>
          <w:szCs w:val="32"/>
        </w:rPr>
        <w:t>（十三）</w:t>
      </w:r>
      <w:r>
        <w:rPr>
          <w:rFonts w:hint="eastAsia" w:ascii="仿宋" w:hAnsi="仿宋" w:eastAsia="仿宋" w:cs="仿宋_GB2312"/>
          <w:color w:val="000000"/>
          <w:sz w:val="32"/>
          <w:szCs w:val="32"/>
        </w:rPr>
        <w:t>组织拟订推进全区经济建设与国防建设协调发展的战略和规划，组织推进经济建设项目贯彻国防要求。</w:t>
      </w:r>
    </w:p>
    <w:p>
      <w:pPr>
        <w:spacing w:line="560" w:lineRule="exact"/>
        <w:ind w:firstLine="640"/>
        <w:rPr>
          <w:rFonts w:ascii="仿宋" w:hAnsi="仿宋" w:eastAsia="仿宋"/>
          <w:color w:val="000000"/>
          <w:spacing w:val="-20"/>
          <w:sz w:val="32"/>
          <w:szCs w:val="32"/>
        </w:rPr>
      </w:pPr>
      <w:r>
        <w:rPr>
          <w:rFonts w:hint="eastAsia" w:ascii="仿宋" w:hAnsi="仿宋" w:eastAsia="仿宋" w:cs="仿宋_GB2312"/>
          <w:color w:val="000000"/>
          <w:spacing w:val="-8"/>
          <w:sz w:val="32"/>
          <w:szCs w:val="32"/>
        </w:rPr>
        <w:t>（十四）</w:t>
      </w:r>
      <w:r>
        <w:rPr>
          <w:rFonts w:hint="eastAsia" w:ascii="仿宋" w:hAnsi="仿宋" w:eastAsia="仿宋" w:cs="仿宋_GB2312"/>
          <w:color w:val="000000"/>
          <w:sz w:val="32"/>
          <w:szCs w:val="32"/>
        </w:rPr>
        <w:t>提出能源发展战略的建议，拟订能源发展规划、产业政策和年度指导计划并组织实施。起草有关能源行业的区域内规定。推进能源体制改革。拟定有关改革方案并组织实施。协调能源发展和改革中的重大问题。组织实施煤炭、石油、天然气、电力（核电）、新能源和可再生能源等能源，以及炼油、煤制燃料和生物质液体等燃料的产业政策和相关标准。按规定权限，负责审批、核准和审核规划内和年度计划规模内能源固定资产投资项目。指导协调农村能源发展工作。组织推进能源重大设备研发。指导能源科技进步、成套设备的引进消化创新，组织协调相关示范工程和推广应用新产品、新技术、新设备。负责区域内核电管理。负责能源行业节能和资源综合利用。参与研究能源消费总量控制目标建议，指导、监督能源消费总量控制有关工作，衔接能源生产建设和供需平衡。负责能源预测预警。发布能源信息，参与能源运行调节和应急保障。规范能源市场秩序。监管油气管网设施的公平开放，参与电力市场的监管。参与组织推进能源国际合作。参与制定与能源相关的</w:t>
      </w:r>
      <w:r>
        <w:rPr>
          <w:rFonts w:hint="eastAsia" w:ascii="仿宋" w:hAnsi="仿宋" w:eastAsia="仿宋" w:cs="仿宋_GB2312"/>
          <w:color w:val="000000"/>
          <w:sz w:val="32"/>
          <w:szCs w:val="32"/>
          <w:lang w:eastAsia="zh-CN"/>
        </w:rPr>
        <w:t>气候</w:t>
      </w:r>
      <w:r>
        <w:rPr>
          <w:rFonts w:hint="eastAsia" w:ascii="仿宋" w:hAnsi="仿宋" w:eastAsia="仿宋" w:cs="仿宋_GB2312"/>
          <w:color w:val="000000"/>
          <w:spacing w:val="-20"/>
          <w:sz w:val="32"/>
          <w:szCs w:val="32"/>
        </w:rPr>
        <w:t>政策，提出能源价格调整建议。</w:t>
      </w:r>
    </w:p>
    <w:p>
      <w:pPr>
        <w:spacing w:line="570" w:lineRule="exact"/>
        <w:ind w:firstLine="608" w:firstLineChars="200"/>
        <w:rPr>
          <w:rFonts w:ascii="仿宋" w:hAnsi="仿宋" w:eastAsia="仿宋" w:cs="仿宋_GB2312"/>
          <w:color w:val="000000"/>
          <w:sz w:val="32"/>
          <w:szCs w:val="32"/>
        </w:rPr>
      </w:pPr>
      <w:r>
        <w:rPr>
          <w:rFonts w:hint="eastAsia" w:ascii="仿宋" w:hAnsi="仿宋" w:eastAsia="仿宋" w:cs="仿宋_GB2312"/>
          <w:color w:val="000000"/>
          <w:spacing w:val="-8"/>
          <w:sz w:val="32"/>
          <w:szCs w:val="32"/>
        </w:rPr>
        <w:t>（十五）</w:t>
      </w:r>
      <w:r>
        <w:rPr>
          <w:rFonts w:hint="eastAsia" w:ascii="仿宋" w:hAnsi="仿宋" w:eastAsia="仿宋" w:cs="仿宋_GB2312"/>
          <w:color w:val="000000"/>
          <w:sz w:val="32"/>
          <w:szCs w:val="32"/>
        </w:rPr>
        <w:t>研究制定我区参与京津冀协同发展的相关政策及规划，争取国家、省、市相关政策、资金、项目支持，协调解决在推进协同发展中存在的问题。</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（十六）组织落实国家、省、市、区有关粮食流通和物资储备的法律、法规和政策；拟订全区粮食流通、区级粮食储备和物资储备的政策和规章制度并组织实施；指导全区粮食流通和物资储备体制改革。</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十七）落实国家粮食行业发展规划和政策，制定全区粮食行业发展规划并组织实施；承担全区粮食流通宏观调控，落实国家粮食购销政策，负责粮食、食糖、食盐等物资管理工作，监测区内粮食、食糖、食盐等物资供求变化并预测预警。承担粮食安全责任制考核日常工作。</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十八）研究提出区级粮食和物资储备规划、储备品种目录建议，组织实施区级粮食、食糖、食盐和救灾物资等物资的收储、轮换和日常管理，落实有关动用计划和指令。指导乡（镇）和有关部门粮食和物资储备工作。</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十九）负责贯彻落实国家粮食和物资储备仓储管理有关技术标准和规范。负责粮食流通、加工行业安全生产的监督管理，承担区级粮食、食糖、食盐和救灾物资等物资承储企业以及物资储备承储单位安全生产的监管责任。</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（二十）负责区级粮食、食糖、食盐和救灾物资等物资储备基础设施建设和管理。拟订粮食流通设施建设规划并组织实施，管理有关储备基础设施和粮食流通设施投资项目。</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二十一）负责对区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区粮食库存检查工作。</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（二十二）贯彻国家粮食流通和物资储备有关标准、粮食质量标准和有关技术规范并监督执行。开展全区粮食和物资储备的对外合作与交流。</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（二十三）承担区委财经委员会办公室日常工作。</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（二十四）承办区委、区政府交办的其他事项。</w:t>
      </w:r>
    </w:p>
    <w:p>
      <w:pPr>
        <w:spacing w:line="570" w:lineRule="exact"/>
        <w:ind w:firstLine="608" w:firstLineChars="200"/>
        <w:rPr>
          <w:rFonts w:ascii="仿宋" w:hAnsi="仿宋" w:eastAsia="仿宋" w:cs="仿宋_GB2312"/>
          <w:color w:val="000000"/>
          <w:spacing w:val="-8"/>
          <w:sz w:val="32"/>
          <w:szCs w:val="32"/>
        </w:rPr>
      </w:pPr>
      <w:r>
        <w:rPr>
          <w:rFonts w:hint="eastAsia" w:ascii="仿宋" w:hAnsi="仿宋" w:eastAsia="仿宋" w:cs="仿宋_GB2312"/>
          <w:color w:val="000000"/>
          <w:spacing w:val="-8"/>
          <w:sz w:val="32"/>
          <w:szCs w:val="32"/>
        </w:rPr>
        <w:t>（二十五）接受纪检监察机关、司法机关、行政执法机关、人民政府各部门和仲裁机构的委托，对刑事、民事、行政、经济案件中涉及的各类涉嫌刑事价格认定、涉嫌违纪价格认定、涉及税收的标的进行价格确认，以及调处价格矛盾。还包括行政诉讼案件、行政处罚案件、行政征收案件、行政征用案件、行政执法活动、国家赔偿事项、国家补偿事项以及法律、法规规定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 w:hAnsi="仿宋" w:eastAsia="仿宋" w:cs="ArialUnicodeMS"/>
          <w:kern w:val="0"/>
          <w:sz w:val="32"/>
          <w:szCs w:val="32"/>
        </w:rPr>
      </w:pPr>
      <w:r>
        <w:rPr>
          <w:rFonts w:hint="eastAsia" w:ascii="仿宋" w:hAnsi="仿宋" w:eastAsia="仿宋" w:cs="ArialUnicodeMS"/>
          <w:kern w:val="0"/>
          <w:sz w:val="32"/>
          <w:szCs w:val="32"/>
        </w:rPr>
        <w:t>从决算编报单位构成看，纳入2019 年度本部门决算汇编范围的独立核算单位（以下简称“单位”）共 1个，具体情况如下：</w:t>
      </w:r>
    </w:p>
    <w:p>
      <w:pPr>
        <w:spacing w:line="580" w:lineRule="exact"/>
        <w:ind w:firstLine="640" w:firstLineChars="200"/>
        <w:rPr>
          <w:rFonts w:ascii="仿宋_GB2312" w:hAnsi="Calibri" w:eastAsia="仿宋_GB2312" w:cs="ArialUnicodeMS"/>
          <w:kern w:val="0"/>
          <w:sz w:val="32"/>
          <w:szCs w:val="32"/>
        </w:rPr>
      </w:pPr>
    </w:p>
    <w:tbl>
      <w:tblPr>
        <w:tblStyle w:val="9"/>
        <w:tblpPr w:leftFromText="180" w:rightFromText="180" w:vertAnchor="text" w:horzAnchor="page" w:tblpXSpec="center" w:tblpY="10"/>
        <w:tblOverlap w:val="never"/>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226"/>
        <w:gridCol w:w="198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黑体" w:hAnsi="黑体" w:eastAsia="黑体" w:cs="ArialUnicodeMS"/>
                <w:bCs/>
                <w:kern w:val="0"/>
                <w:sz w:val="28"/>
                <w:szCs w:val="28"/>
              </w:rPr>
            </w:pPr>
            <w:r>
              <w:rPr>
                <w:rFonts w:hint="eastAsia" w:ascii="黑体" w:hAnsi="黑体" w:eastAsia="黑体" w:cs="ArialUnicodeMS"/>
                <w:bCs/>
                <w:kern w:val="0"/>
                <w:sz w:val="28"/>
                <w:szCs w:val="28"/>
              </w:rPr>
              <w:t>序号</w:t>
            </w:r>
          </w:p>
        </w:tc>
        <w:tc>
          <w:tcPr>
            <w:tcW w:w="4226" w:type="dxa"/>
            <w:vAlign w:val="center"/>
          </w:tcPr>
          <w:p>
            <w:pPr>
              <w:spacing w:line="560" w:lineRule="exact"/>
              <w:jc w:val="center"/>
              <w:rPr>
                <w:rFonts w:ascii="黑体" w:hAnsi="黑体" w:eastAsia="黑体" w:cs="ArialUnicodeMS"/>
                <w:bCs/>
                <w:kern w:val="0"/>
                <w:sz w:val="28"/>
                <w:szCs w:val="28"/>
              </w:rPr>
            </w:pPr>
            <w:r>
              <w:rPr>
                <w:rFonts w:hint="eastAsia" w:ascii="黑体" w:hAnsi="黑体" w:eastAsia="黑体" w:cs="ArialUnicodeMS"/>
                <w:bCs/>
                <w:kern w:val="0"/>
                <w:sz w:val="28"/>
                <w:szCs w:val="28"/>
              </w:rPr>
              <w:t>单位名称</w:t>
            </w:r>
          </w:p>
        </w:tc>
        <w:tc>
          <w:tcPr>
            <w:tcW w:w="1985" w:type="dxa"/>
            <w:vAlign w:val="center"/>
          </w:tcPr>
          <w:p>
            <w:pPr>
              <w:spacing w:line="560" w:lineRule="exact"/>
              <w:jc w:val="center"/>
              <w:rPr>
                <w:rFonts w:ascii="黑体" w:hAnsi="黑体" w:eastAsia="黑体" w:cs="ArialUnicodeMS"/>
                <w:bCs/>
                <w:kern w:val="0"/>
                <w:sz w:val="28"/>
                <w:szCs w:val="28"/>
              </w:rPr>
            </w:pPr>
            <w:r>
              <w:rPr>
                <w:rFonts w:hint="eastAsia" w:ascii="黑体" w:hAnsi="黑体" w:eastAsia="黑体" w:cs="ArialUnicodeMS"/>
                <w:bCs/>
                <w:kern w:val="0"/>
                <w:sz w:val="28"/>
                <w:szCs w:val="28"/>
              </w:rPr>
              <w:t>单位基本性质</w:t>
            </w:r>
          </w:p>
        </w:tc>
        <w:tc>
          <w:tcPr>
            <w:tcW w:w="1417" w:type="dxa"/>
            <w:vAlign w:val="center"/>
          </w:tcPr>
          <w:p>
            <w:pPr>
              <w:spacing w:line="560" w:lineRule="exact"/>
              <w:jc w:val="center"/>
              <w:rPr>
                <w:rFonts w:ascii="黑体" w:hAnsi="黑体" w:eastAsia="黑体" w:cs="ArialUnicodeMS"/>
                <w:bCs/>
                <w:kern w:val="0"/>
                <w:sz w:val="28"/>
                <w:szCs w:val="28"/>
              </w:rPr>
            </w:pPr>
            <w:r>
              <w:rPr>
                <w:rFonts w:hint="eastAsia" w:ascii="黑体" w:hAnsi="黑体" w:eastAsia="黑体" w:cs="ArialUnicodeMS"/>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center"/>
          </w:tcPr>
          <w:p>
            <w:pPr>
              <w:spacing w:line="560" w:lineRule="exact"/>
              <w:jc w:val="center"/>
              <w:rPr>
                <w:rFonts w:ascii="仿宋" w:hAnsi="仿宋" w:eastAsia="仿宋" w:cs="ArialUnicodeMS"/>
                <w:kern w:val="0"/>
                <w:sz w:val="28"/>
                <w:szCs w:val="28"/>
              </w:rPr>
            </w:pPr>
            <w:r>
              <w:rPr>
                <w:rFonts w:hint="eastAsia" w:ascii="仿宋" w:hAnsi="仿宋" w:eastAsia="仿宋" w:cs="ArialUnicodeMS"/>
                <w:kern w:val="0"/>
                <w:sz w:val="28"/>
                <w:szCs w:val="28"/>
              </w:rPr>
              <w:t>1</w:t>
            </w:r>
          </w:p>
        </w:tc>
        <w:tc>
          <w:tcPr>
            <w:tcW w:w="4226" w:type="dxa"/>
          </w:tcPr>
          <w:p>
            <w:pPr>
              <w:spacing w:line="560" w:lineRule="exact"/>
              <w:jc w:val="center"/>
              <w:rPr>
                <w:rFonts w:ascii="仿宋" w:hAnsi="仿宋" w:eastAsia="仿宋" w:cs="ArialUnicodeMS"/>
                <w:kern w:val="0"/>
                <w:sz w:val="28"/>
                <w:szCs w:val="28"/>
              </w:rPr>
            </w:pPr>
            <w:r>
              <w:rPr>
                <w:rFonts w:hint="eastAsia" w:ascii="仿宋" w:hAnsi="仿宋" w:eastAsia="仿宋" w:cs="ArialUnicodeMS"/>
                <w:kern w:val="0"/>
                <w:sz w:val="24"/>
                <w:szCs w:val="24"/>
              </w:rPr>
              <w:t>保定市满城区发展和改革局(本级</w:t>
            </w:r>
            <w:r>
              <w:rPr>
                <w:rFonts w:hint="eastAsia" w:ascii="仿宋" w:hAnsi="仿宋" w:eastAsia="仿宋" w:cs="ArialUnicodeMS"/>
                <w:kern w:val="0"/>
                <w:sz w:val="28"/>
                <w:szCs w:val="28"/>
              </w:rPr>
              <w:t>)</w:t>
            </w:r>
          </w:p>
        </w:tc>
        <w:tc>
          <w:tcPr>
            <w:tcW w:w="1985" w:type="dxa"/>
          </w:tcPr>
          <w:p>
            <w:pPr>
              <w:spacing w:line="560" w:lineRule="exact"/>
              <w:jc w:val="center"/>
              <w:rPr>
                <w:rFonts w:ascii="仿宋" w:hAnsi="仿宋" w:eastAsia="仿宋" w:cs="ArialUnicodeMS"/>
                <w:kern w:val="0"/>
                <w:sz w:val="24"/>
                <w:szCs w:val="24"/>
              </w:rPr>
            </w:pPr>
            <w:r>
              <w:rPr>
                <w:rFonts w:hint="eastAsia" w:ascii="仿宋" w:hAnsi="仿宋" w:eastAsia="仿宋" w:cs="ArialUnicodeMS"/>
                <w:kern w:val="0"/>
                <w:sz w:val="24"/>
                <w:szCs w:val="24"/>
              </w:rPr>
              <w:t>行政单位</w:t>
            </w:r>
          </w:p>
        </w:tc>
        <w:tc>
          <w:tcPr>
            <w:tcW w:w="1417" w:type="dxa"/>
          </w:tcPr>
          <w:p>
            <w:pPr>
              <w:spacing w:line="560" w:lineRule="exact"/>
              <w:jc w:val="center"/>
              <w:rPr>
                <w:rFonts w:ascii="仿宋" w:hAnsi="仿宋" w:eastAsia="仿宋" w:cs="ArialUnicodeMS"/>
                <w:kern w:val="0"/>
                <w:sz w:val="24"/>
                <w:szCs w:val="24"/>
              </w:rPr>
            </w:pPr>
            <w:r>
              <w:rPr>
                <w:rFonts w:hint="eastAsia" w:ascii="仿宋" w:hAnsi="仿宋" w:eastAsia="仿宋" w:cs="ArialUnicodeMS"/>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613" w:type="dxa"/>
            <w:gridSpan w:val="4"/>
            <w:tcBorders>
              <w:top w:val="single" w:color="auto" w:sz="4" w:space="0"/>
              <w:left w:val="nil"/>
              <w:bottom w:val="nil"/>
              <w:right w:val="nil"/>
            </w:tcBorders>
          </w:tcPr>
          <w:p>
            <w:pPr>
              <w:spacing w:line="560" w:lineRule="exact"/>
              <w:jc w:val="left"/>
              <w:rPr>
                <w:rFonts w:ascii="仿宋" w:hAnsi="仿宋" w:eastAsia="仿宋" w:cs="ArialUnicodeMS"/>
                <w:kern w:val="0"/>
                <w:sz w:val="28"/>
                <w:szCs w:val="28"/>
              </w:rPr>
            </w:pPr>
            <w:r>
              <w:rPr>
                <w:rFonts w:hint="eastAsia" w:ascii="仿宋" w:hAnsi="仿宋" w:eastAsia="仿宋"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 w:hAnsi="仿宋" w:eastAsia="仿宋"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8480" behindDoc="0" locked="0" layoutInCell="1" allowOverlap="1">
                <wp:simplePos x="0" y="0"/>
                <wp:positionH relativeFrom="column">
                  <wp:posOffset>-1153160</wp:posOffset>
                </wp:positionH>
                <wp:positionV relativeFrom="paragraph">
                  <wp:posOffset>55245</wp:posOffset>
                </wp:positionV>
                <wp:extent cx="7793355" cy="3341370"/>
                <wp:effectExtent l="4445" t="4445" r="5080" b="6985"/>
                <wp:wrapNone/>
                <wp:docPr id="8"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2019年部门决算情况说明</w:t>
                            </w:r>
                          </w:p>
                          <w:p/>
                        </w:txbxContent>
                      </wps:txbx>
                      <wps:bodyPr anchor="ctr" upright="1"/>
                    </wps:wsp>
                  </a:graphicData>
                </a:graphic>
              </wp:anchor>
            </w:drawing>
          </mc:Choice>
          <mc:Fallback>
            <w:pict>
              <v:shape id="文本框 15" o:spid="_x0000_s1026" o:spt="202" type="#_x0000_t202" style="position:absolute;left:0pt;margin-left:-90.8pt;margin-top:4.35pt;height:263.1pt;width:613.65pt;z-index:251668480;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tFFiXXAAAACwEAAA8AAAAAAAAAAQAgAAAAIgAAAGRycy9kb3ducmV2&#10;LnhtbFBLAQIUABQAAAAIAIdO4kAM83QiNgIAAI4EAAAOAAAAAAAAAAEAIAAAACYBAABkcnMvZTJv&#10;RG9jLnhtbFBLBQYAAAAABgAGAFkBAADOBQAAAAA=&#10;">
                <v:fill type="pattern" on="t" color2="#FFFFFF" focussize="0,0" r:id="rId25"/>
                <v:stroke weight="0.5pt" color="#FFD96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2019年部门决算情况说明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本部门2019年度收支总计（含结转和结余）19636.99万元。与2018年度决算相比，收支各减少2447.55万元，</w:t>
      </w:r>
      <w:r>
        <w:rPr>
          <w:rFonts w:hint="eastAsia" w:ascii="仿宋" w:hAnsi="仿宋" w:eastAsia="仿宋" w:cs="DengXian-Regular"/>
          <w:sz w:val="32"/>
          <w:szCs w:val="32"/>
          <w:lang w:val="en-US" w:eastAsia="zh-CN"/>
        </w:rPr>
        <w:t>降低</w:t>
      </w:r>
      <w:r>
        <w:rPr>
          <w:rFonts w:hint="eastAsia" w:ascii="仿宋" w:hAnsi="仿宋" w:eastAsia="仿宋" w:cs="DengXian-Regular"/>
          <w:sz w:val="32"/>
          <w:szCs w:val="32"/>
        </w:rPr>
        <w:t>11.08%，主要原因是年度机构改革原区工业和信息化办公室职能划转到区工业和信息化局，涉及到的相关职能工作</w:t>
      </w:r>
      <w:r>
        <w:rPr>
          <w:rFonts w:hint="eastAsia" w:ascii="仿宋" w:hAnsi="仿宋" w:eastAsia="仿宋" w:cs="宋体"/>
          <w:sz w:val="32"/>
          <w:szCs w:val="32"/>
        </w:rPr>
        <w:t>予以划转，如解决铸石厂、原毛纺厂等遗留问题，造成项目和基本收支资金相应减少</w:t>
      </w:r>
      <w:r>
        <w:rPr>
          <w:rFonts w:hint="eastAsia" w:ascii="仿宋" w:hAnsi="仿宋" w:eastAsia="仿宋"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 w:hAnsi="仿宋" w:eastAsia="仿宋" w:cs="DengXian-Regular"/>
          <w:sz w:val="32"/>
          <w:szCs w:val="32"/>
        </w:rPr>
        <w:t>本部门2019年度年初结转2421.76万元；本部门2019年度本年收入合计17215.24万元，其中：财政拨款收入17215.24万元，占100%；本部门2019年度收入总计19636.99万元。</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 xml:space="preserve">本部门2019年度本年支出合计17441.86万元，其中：基本支出659.08万元，占3.78%；项目支出16782.78万元，占96.22%。 </w:t>
      </w:r>
    </w:p>
    <w:p>
      <w:pPr>
        <w:adjustRightInd w:val="0"/>
        <w:snapToGrid w:val="0"/>
        <w:spacing w:line="580" w:lineRule="exact"/>
        <w:ind w:firstLine="420" w:firstLineChars="200"/>
        <w:rPr>
          <w:rFonts w:ascii="仿宋" w:hAnsi="仿宋" w:eastAsia="仿宋" w:cs="DengXian-Regular"/>
          <w:sz w:val="32"/>
          <w:szCs w:val="32"/>
        </w:rPr>
      </w:pPr>
      <w:r>
        <w:rPr>
          <w:rFonts w:hint="eastAsia"/>
        </w:rPr>
        <w:drawing>
          <wp:anchor distT="0" distB="0" distL="0" distR="0" simplePos="0" relativeHeight="251671552" behindDoc="0" locked="0" layoutInCell="1" allowOverlap="1">
            <wp:simplePos x="0" y="0"/>
            <wp:positionH relativeFrom="column">
              <wp:posOffset>247650</wp:posOffset>
            </wp:positionH>
            <wp:positionV relativeFrom="paragraph">
              <wp:posOffset>1242695</wp:posOffset>
            </wp:positionV>
            <wp:extent cx="5494655" cy="2410460"/>
            <wp:effectExtent l="47625" t="4445" r="50800" b="99695"/>
            <wp:wrapSquare wrapText="bothSides"/>
            <wp:docPr id="36"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hint="eastAsia" w:ascii="仿宋" w:hAnsi="仿宋" w:eastAsia="仿宋" w:cs="DengXian-Regular"/>
          <w:sz w:val="32"/>
          <w:szCs w:val="32"/>
        </w:rPr>
        <w:t xml:space="preserve">本部门2019年度年末结转2195.14万元。   </w:t>
      </w:r>
    </w:p>
    <w:p>
      <w:pPr>
        <w:adjustRightInd w:val="0"/>
        <w:snapToGrid w:val="0"/>
        <w:spacing w:line="580" w:lineRule="exact"/>
        <w:ind w:firstLine="600" w:firstLineChars="200"/>
        <w:rPr>
          <w:rFonts w:ascii="仿宋_GB2312" w:hAnsi="Times New Roman" w:eastAsia="仿宋_GB2312" w:cs="DengXian-Regular"/>
          <w:sz w:val="32"/>
          <w:szCs w:val="32"/>
        </w:rPr>
      </w:pPr>
      <w:r>
        <w:rPr>
          <w:rFonts w:hint="eastAsia" w:ascii="黑体" w:hAnsi="黑体" w:eastAsia="黑体" w:cs="DengXian-Regular"/>
          <w:sz w:val="30"/>
          <w:szCs w:val="30"/>
        </w:rPr>
        <w:t>如图所示1</w:t>
      </w:r>
      <w:r>
        <w:rPr>
          <w:rFonts w:hint="eastAsia" w:ascii="仿宋_GB2312" w:hAnsi="Times New Roman" w:eastAsia="仿宋_GB2312" w:cs="DengXian-Regular"/>
          <w:sz w:val="32"/>
          <w:szCs w:val="32"/>
        </w:rPr>
        <w:t>：</w:t>
      </w:r>
    </w:p>
    <w:p>
      <w:pPr>
        <w:jc w:val="cente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0" w:firstLineChars="200"/>
        <w:rPr>
          <w:rFonts w:ascii="楷体_GB2312" w:hAnsi="Times New Roman" w:eastAsia="楷体_GB2312" w:cs="DengXian-Bold"/>
          <w:bCs/>
          <w:sz w:val="32"/>
          <w:szCs w:val="32"/>
        </w:rPr>
      </w:pPr>
      <w:r>
        <w:rPr>
          <w:rFonts w:hint="eastAsia" w:ascii="楷体_GB2312" w:hAnsi="Times New Roman" w:eastAsia="楷体_GB2312" w:cs="DengXian-Bold"/>
          <w:bCs/>
          <w:sz w:val="32"/>
          <w:szCs w:val="32"/>
        </w:rPr>
        <w:t>（一）财政拨款收支与2018年度决算对比情况</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本部门2019年度财政拨款本年收入17215.24万元,比2018年度减少4869.3万元，降低22.05%，主要是2019年机构改革原区工业和信息化办公室职能划转到区工业和信息化局，涉及到的相关职能工作</w:t>
      </w:r>
      <w:r>
        <w:rPr>
          <w:rFonts w:hint="eastAsia" w:ascii="仿宋" w:hAnsi="仿宋" w:eastAsia="仿宋" w:cs="宋体"/>
          <w:sz w:val="32"/>
          <w:szCs w:val="32"/>
        </w:rPr>
        <w:t>予以划转，如解决铸石厂、原毛纺厂等遗留问题，造成项目和基本收入资金相应减少</w:t>
      </w:r>
      <w:r>
        <w:rPr>
          <w:rFonts w:hint="eastAsia" w:ascii="仿宋" w:hAnsi="仿宋" w:eastAsia="仿宋" w:cs="DengXian-Regular"/>
          <w:sz w:val="32"/>
          <w:szCs w:val="32"/>
        </w:rPr>
        <w:t>；本年支出17441.86万元，减少2220.92万元，降低11.30%，主要原因如上。具体情况如下：</w:t>
      </w:r>
    </w:p>
    <w:p>
      <w:pPr>
        <w:numPr>
          <w:ilvl w:val="0"/>
          <w:numId w:val="1"/>
        </w:num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一般公共预算财政拨款本年收入11610.29万元，比上年减少10474.25万元；主要是本年度机构改革，职能划转和追加项目资金收入的不确定性；本年支出11836.91万元，比上年减少7825.87万元，降低39.80%，主要是本年度机构改革，职能划转和重大项目资金支出。</w:t>
      </w:r>
    </w:p>
    <w:p>
      <w:pPr>
        <w:numPr>
          <w:ilvl w:val="0"/>
          <w:numId w:val="1"/>
        </w:num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政府性基金预算财政拨款本年收入5604.95万元，比上年增加5604.95万元，增长100%，主要原因是市级财政用政府性基金预算追加安排的区气代煤工程项目补助资金和区级财政用政府性基金预算年初安排的2018年解决铸石厂遗留问题结余资金；本年支出5604.95万元，比上年增加5604.95万元，增长100%，主要是气代煤工程项目补助资金支出和解决铸石厂遗留问题资金支出。</w:t>
      </w:r>
    </w:p>
    <w:p>
      <w:pPr>
        <w:adjustRightInd w:val="0"/>
        <w:snapToGrid w:val="0"/>
        <w:spacing w:line="580" w:lineRule="exact"/>
        <w:ind w:firstLine="600" w:firstLineChars="200"/>
        <w:rPr>
          <w:rFonts w:ascii="黑体" w:hAnsi="黑体" w:eastAsia="黑体" w:cs="DengXian-Regular"/>
          <w:sz w:val="30"/>
          <w:szCs w:val="30"/>
        </w:rPr>
      </w:pPr>
      <w:r>
        <w:rPr>
          <w:rFonts w:hint="eastAsia" w:ascii="黑体" w:hAnsi="黑体" w:eastAsia="黑体" w:cs="DengXian-Regular"/>
          <w:sz w:val="30"/>
          <w:szCs w:val="30"/>
        </w:rPr>
        <w:t>如图所示2：</w:t>
      </w:r>
    </w:p>
    <w:p>
      <w:r>
        <w:drawing>
          <wp:inline distT="0" distB="0" distL="0" distR="0">
            <wp:extent cx="5486400" cy="3200400"/>
            <wp:effectExtent l="19050" t="0" r="19050" b="0"/>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napToGrid w:val="0"/>
        <w:spacing w:line="580" w:lineRule="exact"/>
        <w:ind w:firstLine="640" w:firstLineChars="200"/>
        <w:rPr>
          <w:rFonts w:ascii="仿宋_GB2312" w:hAnsi="Times New Roman" w:eastAsia="仿宋_GB2312" w:cs="DengXian-Bold"/>
          <w:bCs/>
          <w:sz w:val="32"/>
          <w:szCs w:val="32"/>
        </w:rPr>
      </w:pPr>
      <w:r>
        <w:rPr>
          <w:rFonts w:hint="eastAsia" w:ascii="楷体_GB2312" w:hAnsi="Times New Roman" w:eastAsia="楷体_GB2312" w:cs="DengXian-Bold"/>
          <w:bCs/>
          <w:sz w:val="32"/>
          <w:szCs w:val="32"/>
        </w:rPr>
        <w:t>（二）财政拨款收支与年初预算数对比情况</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2019年度财政拨款本年收入17215.24万元，完成年初预算的160.16%,比年初预算增加6466.51万元，决算数大于预算数主要原因是省市下达气代煤工程专项补助资金和区级追加洁净型煤补贴资金、2018年解决铸石厂遗留问题结余资金；本年支出17441.86万元，完成年初预算的162.30%,比年初预算增加6693.13万元，决算数大于预算数主要原因是“气代煤”工程项目、洁净型煤补贴项目、2018年解决铸石厂遗留问题等重大项目的专项资金支出。具体情况如下：</w:t>
      </w:r>
    </w:p>
    <w:p>
      <w:pPr>
        <w:numPr>
          <w:ilvl w:val="0"/>
          <w:numId w:val="2"/>
        </w:num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一般公共预算财政拨款本年收入11610.29万元,完成年初预算108.02%，比年初预算增加861.56万元，主要是追加省市气代煤工程专项补助资金和区级洁净型煤补贴资金；支出完成年初预算110.12%，比年初预算增加1088.18万元，主要是“气代煤”工程项目、洁净型煤补贴项目等项目支出。</w:t>
      </w:r>
    </w:p>
    <w:p>
      <w:pPr>
        <w:numPr>
          <w:ilvl w:val="0"/>
          <w:numId w:val="2"/>
        </w:num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政府性基金预算财政拨款本年收入5604.95万元，比年初预算增加5604.95万元，主要是市级财政用政府性基金预算追加安排的区气代煤工程项目补助资金和区级财政用政府性基金预算年初安排的2018年解决铸石厂遗留问题结余资金；支出完成5604.95万元，比年初预算增加5604.95万元，主要是气代煤工程项目补助资金支出和解决铸石厂遗留问题资金支出。</w:t>
      </w:r>
    </w:p>
    <w:p>
      <w:pPr>
        <w:pStyle w:val="16"/>
        <w:spacing w:line="580" w:lineRule="exact"/>
        <w:ind w:left="420" w:firstLine="0" w:firstLineChars="0"/>
        <w:rPr>
          <w:rFonts w:ascii="黑体" w:hAnsi="黑体" w:eastAsia="黑体" w:cs="DengXian-Regular"/>
          <w:sz w:val="30"/>
          <w:szCs w:val="30"/>
        </w:rPr>
      </w:pPr>
      <w:r>
        <w:rPr>
          <w:rFonts w:hint="eastAsia" w:ascii="黑体" w:hAnsi="黑体" w:eastAsia="黑体" w:cs="DengXian-Regular"/>
          <w:sz w:val="30"/>
          <w:szCs w:val="30"/>
        </w:rPr>
        <w:t xml:space="preserve">  如图所示3：</w:t>
      </w:r>
    </w:p>
    <w:p>
      <w:r>
        <w:rPr>
          <w:rFonts w:hint="eastAsia"/>
        </w:rPr>
        <w:drawing>
          <wp:inline distT="0" distB="0" distL="0" distR="0">
            <wp:extent cx="5482590" cy="4079875"/>
            <wp:effectExtent l="19050" t="0" r="2264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numPr>
          <w:ilvl w:val="0"/>
          <w:numId w:val="3"/>
        </w:numPr>
        <w:adjustRightInd w:val="0"/>
        <w:snapToGrid w:val="0"/>
        <w:spacing w:line="580" w:lineRule="exact"/>
        <w:ind w:left="420" w:leftChars="200"/>
        <w:rPr>
          <w:rFonts w:ascii="楷体_GB2312" w:hAnsi="Times New Roman" w:eastAsia="楷体_GB2312" w:cs="DengXian-Bold"/>
          <w:bCs/>
          <w:sz w:val="32"/>
          <w:szCs w:val="32"/>
        </w:rPr>
      </w:pPr>
      <w:r>
        <w:rPr>
          <w:rFonts w:hint="eastAsia" w:ascii="楷体_GB2312" w:hAnsi="Times New Roman" w:eastAsia="楷体_GB2312" w:cs="DengXian-Bold"/>
          <w:bCs/>
          <w:sz w:val="32"/>
          <w:szCs w:val="32"/>
        </w:rPr>
        <w:t>财政拨款支出决算结构情况。</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2019 年度财政拨款支出17441.86万元，主要用于以下方面：一般公共服务支出553.24万元，占3.17%；科学技术支出40万元，占0.23%；社会保障和就业支出57.84万元，占0.33%；卫生健康支出16.96万元，占 0.09%；节能环保支出 10791.03万元，占61.87%,主要是大气污染防治资金支出,其中洁净型煤项目补贴资金3442.11万元,气代煤工程项目补助资金7348.92万元；城乡社区支出5604.95万元，占32.15%；农林水支出304.91万元，占1.75%；住房保障支出23.58万元，占0.13%;粮油物资储备支出49.35万元，占0.28%。</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如图所示4:</w:t>
      </w:r>
    </w:p>
    <w:p>
      <w:r>
        <w:rPr>
          <w:rFonts w:hint="eastAsia"/>
        </w:rPr>
        <w:drawing>
          <wp:inline distT="0" distB="0" distL="0" distR="0">
            <wp:extent cx="5479415" cy="3933190"/>
            <wp:effectExtent l="19050" t="0" r="2582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adjustRightInd w:val="0"/>
        <w:snapToGrid w:val="0"/>
        <w:spacing w:line="580" w:lineRule="exact"/>
        <w:ind w:left="420" w:leftChars="200"/>
        <w:rPr>
          <w:rFonts w:ascii="楷体_GB2312" w:hAnsi="Times New Roman" w:eastAsia="楷体_GB2312" w:cs="DengXian-Bold"/>
          <w:bCs/>
          <w:sz w:val="32"/>
          <w:szCs w:val="32"/>
        </w:rPr>
      </w:pPr>
      <w:r>
        <w:rPr>
          <w:rFonts w:hint="eastAsia" w:ascii="楷体_GB2312" w:hAnsi="Times New Roman" w:eastAsia="楷体_GB2312" w:cs="DengXian-Bold"/>
          <w:bCs/>
          <w:sz w:val="32"/>
          <w:szCs w:val="32"/>
        </w:rPr>
        <w:t>（四）一般公共预算基本支出决算情况说明</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2019 年度财政拨款基本支出659.08万元，其中：人员经费 628.92万元，主要包括基本工资、津贴补贴、奖金、绩效工资、机关事业单位基本养老保险缴费、职业年金缴费、职工基本医疗保险缴费、其他社会保障缴费、住房公积金、抚恤金、生活补助、医疗费补助、奖励金；公用经费30.16万元，主要包括办公费、邮电费、取暖费、差旅费、因公出国（境）费用、公务接待费、公务用车运行维护费、其他交通费用。</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2019年度“三公”经费支出共计9.31万元，完成预算的72.45%,较预算减少3.54万元，降低27.55%，主要是公用用车运行维护费较预算减少2.5万元，因公出国经费较预算减少0.9万元，公务接待费较预算减少0.14万元；较2018年度增加2.85万元，增长28.5%，主要是因项目洽谈增加因公出国经费2.5万元。具体情况如下：</w:t>
      </w:r>
    </w:p>
    <w:p>
      <w:pPr>
        <w:adjustRightInd w:val="0"/>
        <w:snapToGrid w:val="0"/>
        <w:spacing w:line="580" w:lineRule="exact"/>
        <w:ind w:firstLine="640" w:firstLineChars="200"/>
        <w:rPr>
          <w:rFonts w:ascii="楷体_GB2312" w:hAnsi="Times New Roman" w:eastAsia="楷体_GB2312" w:cs="DengXian-Bold"/>
          <w:bCs/>
          <w:sz w:val="32"/>
          <w:szCs w:val="32"/>
        </w:rPr>
      </w:pPr>
      <w:r>
        <w:rPr>
          <w:rFonts w:hint="eastAsia" w:ascii="楷体_GB2312" w:hAnsi="Times New Roman" w:eastAsia="楷体_GB2312" w:cs="DengXian-Bold"/>
          <w:bCs/>
          <w:sz w:val="32"/>
          <w:szCs w:val="32"/>
        </w:rPr>
        <w:t>（一）因公出国（境）费支出1.67万元。</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本部门2019年度因公出国团组1个、共1人参加其他单位组织的因公出国团组1个。因公出国费支出较预算减少0.9万元，降低36%,主要是压缩开支、</w:t>
      </w:r>
      <w:r>
        <w:rPr>
          <w:rFonts w:hint="eastAsia" w:ascii="仿宋" w:hAnsi="仿宋" w:eastAsia="仿宋" w:cs="DengXian-Regular"/>
          <w:sz w:val="32"/>
          <w:szCs w:val="32"/>
          <w:lang w:val="en-US" w:eastAsia="zh-CN"/>
        </w:rPr>
        <w:t>厉</w:t>
      </w:r>
      <w:r>
        <w:rPr>
          <w:rFonts w:hint="eastAsia" w:ascii="仿宋" w:hAnsi="仿宋" w:eastAsia="仿宋" w:cs="DengXian-Regular"/>
          <w:sz w:val="32"/>
          <w:szCs w:val="32"/>
        </w:rPr>
        <w:t>行节约；较上年增加1.67万元，</w:t>
      </w:r>
      <w:r>
        <w:rPr>
          <w:rFonts w:hint="eastAsia" w:ascii="仿宋" w:hAnsi="仿宋" w:eastAsia="仿宋" w:cs="DengXian-Regular"/>
          <w:sz w:val="32"/>
          <w:szCs w:val="32"/>
          <w:lang w:val="en-US" w:eastAsia="zh-CN"/>
        </w:rPr>
        <w:t>增加100%。</w:t>
      </w:r>
      <w:r>
        <w:rPr>
          <w:rFonts w:hint="eastAsia" w:ascii="仿宋" w:hAnsi="仿宋" w:eastAsia="仿宋" w:cs="DengXian-Regular"/>
          <w:sz w:val="32"/>
          <w:szCs w:val="32"/>
        </w:rPr>
        <w:t>主要是因加大招商引资工作需要。</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楷体_GB2312" w:hAnsi="Times New Roman" w:eastAsia="楷体_GB2312" w:cs="DengXian-Bold"/>
          <w:bCs/>
          <w:sz w:val="32"/>
          <w:szCs w:val="32"/>
        </w:rPr>
        <w:t>（二）公务用车购置及运行维护费支出7.5</w:t>
      </w:r>
      <w:r>
        <w:rPr>
          <w:rFonts w:hint="eastAsia" w:ascii="楷体_GB2312" w:hAnsi="Times New Roman" w:eastAsia="楷体_GB2312" w:cs="DengXian-Bold"/>
          <w:bCs/>
          <w:sz w:val="32"/>
          <w:szCs w:val="32"/>
          <w:lang w:val="en-US" w:eastAsia="zh-CN"/>
        </w:rPr>
        <w:t>0</w:t>
      </w:r>
      <w:r>
        <w:rPr>
          <w:rFonts w:hint="eastAsia" w:ascii="楷体_GB2312" w:hAnsi="Times New Roman" w:eastAsia="楷体_GB2312" w:cs="DengXian-Bold"/>
          <w:bCs/>
          <w:sz w:val="32"/>
          <w:szCs w:val="32"/>
        </w:rPr>
        <w:t>万元</w:t>
      </w:r>
      <w:r>
        <w:rPr>
          <w:rFonts w:hint="eastAsia" w:ascii="楷体_GB2312" w:hAnsi="Times New Roman" w:eastAsia="楷体_GB2312" w:cs="DengXian-Bold"/>
          <w:b/>
          <w:bCs/>
          <w:sz w:val="32"/>
          <w:szCs w:val="32"/>
        </w:rPr>
        <w:t>。</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本部门2019年度公务用车购置及运行维护费较预算减少2.5</w:t>
      </w:r>
      <w:r>
        <w:rPr>
          <w:rFonts w:hint="eastAsia" w:ascii="仿宋" w:hAnsi="仿宋" w:eastAsia="仿宋" w:cs="DengXian-Regular"/>
          <w:sz w:val="32"/>
          <w:szCs w:val="32"/>
          <w:lang w:val="en-US" w:eastAsia="zh-CN"/>
        </w:rPr>
        <w:t>0</w:t>
      </w:r>
      <w:r>
        <w:rPr>
          <w:rFonts w:hint="eastAsia" w:ascii="仿宋" w:hAnsi="仿宋" w:eastAsia="仿宋" w:cs="DengXian-Regular"/>
          <w:sz w:val="32"/>
          <w:szCs w:val="32"/>
        </w:rPr>
        <w:t>万元，降低25</w:t>
      </w:r>
      <w:r>
        <w:rPr>
          <w:rFonts w:hint="eastAsia" w:ascii="仿宋" w:hAnsi="仿宋" w:eastAsia="仿宋" w:cs="DengXian-Regular"/>
          <w:sz w:val="32"/>
          <w:szCs w:val="32"/>
          <w:lang w:val="en-US" w:eastAsia="zh-CN"/>
        </w:rPr>
        <w:t>.00</w:t>
      </w:r>
      <w:r>
        <w:rPr>
          <w:rFonts w:hint="eastAsia" w:ascii="仿宋" w:hAnsi="仿宋" w:eastAsia="仿宋" w:cs="DengXian-Regular"/>
          <w:sz w:val="32"/>
          <w:szCs w:val="32"/>
        </w:rPr>
        <w:t>%,主要是加强公务用车管理，压缩开支；较上年减少2.5</w:t>
      </w:r>
      <w:r>
        <w:rPr>
          <w:rFonts w:hint="eastAsia" w:ascii="仿宋" w:hAnsi="仿宋" w:eastAsia="仿宋" w:cs="DengXian-Regular"/>
          <w:sz w:val="32"/>
          <w:szCs w:val="32"/>
          <w:lang w:val="en-US" w:eastAsia="zh-CN"/>
        </w:rPr>
        <w:t>0</w:t>
      </w:r>
      <w:r>
        <w:rPr>
          <w:rFonts w:hint="eastAsia" w:ascii="仿宋" w:hAnsi="仿宋" w:eastAsia="仿宋" w:cs="DengXian-Regular"/>
          <w:sz w:val="32"/>
          <w:szCs w:val="32"/>
        </w:rPr>
        <w:t>万元，降低25</w:t>
      </w:r>
      <w:r>
        <w:rPr>
          <w:rFonts w:hint="eastAsia" w:ascii="仿宋" w:hAnsi="仿宋" w:eastAsia="仿宋" w:cs="DengXian-Regular"/>
          <w:sz w:val="32"/>
          <w:szCs w:val="32"/>
          <w:lang w:val="en-US" w:eastAsia="zh-CN"/>
        </w:rPr>
        <w:t>.00</w:t>
      </w:r>
      <w:r>
        <w:rPr>
          <w:rFonts w:hint="eastAsia" w:ascii="仿宋" w:hAnsi="仿宋" w:eastAsia="仿宋" w:cs="DengXian-Regular"/>
          <w:sz w:val="32"/>
          <w:szCs w:val="32"/>
        </w:rPr>
        <w:t>%,主要是加强公务用车管理，压缩开支。其中：</w:t>
      </w:r>
    </w:p>
    <w:p>
      <w:pPr>
        <w:adjustRightInd w:val="0"/>
        <w:snapToGrid w:val="0"/>
        <w:spacing w:line="580" w:lineRule="exact"/>
        <w:ind w:firstLine="640" w:firstLineChars="200"/>
        <w:rPr>
          <w:rFonts w:ascii="仿宋" w:hAnsi="仿宋" w:eastAsia="仿宋" w:cs="DengXian-Regular"/>
          <w:sz w:val="32"/>
          <w:szCs w:val="32"/>
        </w:rPr>
      </w:pPr>
      <w:r>
        <w:rPr>
          <w:rFonts w:hint="eastAsia" w:ascii="仿宋_GB2312" w:hAnsi="Times New Roman" w:eastAsia="仿宋_GB2312" w:cs="DengXian-Regular"/>
          <w:sz w:val="32"/>
          <w:szCs w:val="32"/>
        </w:rPr>
        <w:t>公务用车购置费</w:t>
      </w:r>
      <w:r>
        <w:rPr>
          <w:rFonts w:hint="eastAsia" w:ascii="仿宋" w:hAnsi="仿宋" w:eastAsia="仿宋" w:cs="DengXian-Regular"/>
          <w:sz w:val="32"/>
          <w:szCs w:val="32"/>
        </w:rPr>
        <w:t>：本部门2019年度未发生公务用车购置”经费支出。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公务用车运行维护费</w:t>
      </w:r>
      <w:r>
        <w:rPr>
          <w:rFonts w:hint="eastAsia" w:ascii="仿宋_GB2312" w:hAnsi="Times New Roman" w:eastAsia="仿宋_GB2312" w:cs="DengXian-Regular"/>
          <w:b/>
          <w:sz w:val="32"/>
          <w:szCs w:val="32"/>
        </w:rPr>
        <w:t>：</w:t>
      </w:r>
      <w:r>
        <w:rPr>
          <w:rFonts w:hint="eastAsia" w:ascii="仿宋" w:hAnsi="仿宋" w:eastAsia="仿宋" w:cs="DengXian-Regular"/>
          <w:sz w:val="32"/>
          <w:szCs w:val="32"/>
        </w:rPr>
        <w:t>本部门2019年度单位公务用车保有量4辆。公车运行维护费支出较预算减少2.5</w:t>
      </w:r>
      <w:r>
        <w:rPr>
          <w:rFonts w:hint="eastAsia" w:ascii="仿宋" w:hAnsi="仿宋" w:eastAsia="仿宋" w:cs="DengXian-Regular"/>
          <w:sz w:val="32"/>
          <w:szCs w:val="32"/>
          <w:lang w:val="en-US" w:eastAsia="zh-CN"/>
        </w:rPr>
        <w:t>0</w:t>
      </w:r>
      <w:r>
        <w:rPr>
          <w:rFonts w:hint="eastAsia" w:ascii="仿宋" w:hAnsi="仿宋" w:eastAsia="仿宋" w:cs="DengXian-Regular"/>
          <w:sz w:val="32"/>
          <w:szCs w:val="32"/>
        </w:rPr>
        <w:t>万元，降低25</w:t>
      </w:r>
      <w:r>
        <w:rPr>
          <w:rFonts w:hint="eastAsia" w:ascii="仿宋" w:hAnsi="仿宋" w:eastAsia="仿宋" w:cs="DengXian-Regular"/>
          <w:sz w:val="32"/>
          <w:szCs w:val="32"/>
          <w:lang w:val="en-US" w:eastAsia="zh-CN"/>
        </w:rPr>
        <w:t>.00</w:t>
      </w:r>
      <w:r>
        <w:rPr>
          <w:rFonts w:hint="eastAsia" w:ascii="仿宋" w:hAnsi="仿宋" w:eastAsia="仿宋" w:cs="DengXian-Regular"/>
          <w:sz w:val="32"/>
          <w:szCs w:val="32"/>
        </w:rPr>
        <w:t>%,主要是加强公务用车管理，压缩开支；较上年减少2.5</w:t>
      </w:r>
      <w:r>
        <w:rPr>
          <w:rFonts w:hint="eastAsia" w:ascii="仿宋" w:hAnsi="仿宋" w:eastAsia="仿宋" w:cs="DengXian-Regular"/>
          <w:sz w:val="32"/>
          <w:szCs w:val="32"/>
          <w:lang w:val="en-US" w:eastAsia="zh-CN"/>
        </w:rPr>
        <w:t>0</w:t>
      </w:r>
      <w:r>
        <w:rPr>
          <w:rFonts w:hint="eastAsia" w:ascii="仿宋" w:hAnsi="仿宋" w:eastAsia="仿宋" w:cs="DengXian-Regular"/>
          <w:sz w:val="32"/>
          <w:szCs w:val="32"/>
        </w:rPr>
        <w:t>万元，增降低25</w:t>
      </w:r>
      <w:r>
        <w:rPr>
          <w:rFonts w:hint="eastAsia" w:ascii="仿宋" w:hAnsi="仿宋" w:eastAsia="仿宋" w:cs="DengXian-Regular"/>
          <w:sz w:val="32"/>
          <w:szCs w:val="32"/>
          <w:lang w:val="en-US" w:eastAsia="zh-CN"/>
        </w:rPr>
        <w:t>.00</w:t>
      </w:r>
      <w:r>
        <w:rPr>
          <w:rFonts w:hint="eastAsia" w:ascii="仿宋" w:hAnsi="仿宋" w:eastAsia="仿宋" w:cs="DengXian-Regular"/>
          <w:sz w:val="32"/>
          <w:szCs w:val="32"/>
        </w:rPr>
        <w:t>%，主要是加强公务用车管理，压缩开支。</w:t>
      </w:r>
    </w:p>
    <w:p>
      <w:pPr>
        <w:adjustRightInd w:val="0"/>
        <w:snapToGrid w:val="0"/>
        <w:spacing w:line="580" w:lineRule="exact"/>
        <w:ind w:firstLine="640" w:firstLineChars="200"/>
        <w:rPr>
          <w:rFonts w:ascii="楷体_GB2312" w:hAnsi="Times New Roman" w:eastAsia="楷体_GB2312" w:cs="DengXian-Bold"/>
          <w:bCs/>
          <w:sz w:val="32"/>
          <w:szCs w:val="32"/>
        </w:rPr>
      </w:pPr>
      <w:r>
        <w:rPr>
          <w:rFonts w:hint="eastAsia" w:ascii="楷体_GB2312" w:hAnsi="Times New Roman" w:eastAsia="楷体_GB2312" w:cs="DengXian-Bold"/>
          <w:bCs/>
          <w:sz w:val="32"/>
          <w:szCs w:val="32"/>
        </w:rPr>
        <w:t>（三）公务接待费支出0.13万元。</w:t>
      </w:r>
    </w:p>
    <w:p>
      <w:pPr>
        <w:adjustRightInd w:val="0"/>
        <w:snapToGrid w:val="0"/>
        <w:spacing w:line="580" w:lineRule="exact"/>
        <w:ind w:firstLine="640" w:firstLineChars="200"/>
        <w:rPr>
          <w:rFonts w:hint="eastAsia" w:ascii="仿宋" w:hAnsi="仿宋" w:eastAsia="仿宋" w:cs="DengXian-Regular"/>
          <w:sz w:val="32"/>
          <w:szCs w:val="32"/>
          <w:lang w:val="en-US" w:eastAsia="zh-CN"/>
        </w:rPr>
      </w:pPr>
      <w:r>
        <w:rPr>
          <w:rFonts w:hint="eastAsia" w:ascii="仿宋" w:hAnsi="仿宋" w:eastAsia="仿宋" w:cs="DengXian-Regular"/>
          <w:sz w:val="32"/>
          <w:szCs w:val="32"/>
        </w:rPr>
        <w:t>本部门2019年度公务接待共4批次、25人次。公务接待费支出较预算减少0.22万元，降低63.06%,主要是加强管理，压缩支出。</w:t>
      </w:r>
      <w:r>
        <w:rPr>
          <w:rFonts w:hint="eastAsia" w:ascii="仿宋" w:hAnsi="仿宋" w:eastAsia="仿宋" w:cs="DengXian-Regular"/>
          <w:sz w:val="32"/>
          <w:szCs w:val="32"/>
          <w:lang w:val="en-US" w:eastAsia="zh-CN"/>
        </w:rPr>
        <w:t>较上年增加0.13万元，增加100%。</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 预算绩效管理工作开展情况。</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根据预算绩效管理要求，本部门组织对2019年度一般公共预算项目支出全面开展绩效自评，其中，一级项目1个，二级项目4个，共涉及资金3442.11万元，占一般公共预算项目支出总额的30%。组织对2019年度气代煤工程项目等1个政府性基金预算项目支出开展绩效自评，共涉及资金4586.75万元，占政府性基金预算项目支出总额的82%。组织对气代煤</w:t>
      </w:r>
      <w:bookmarkStart w:id="0" w:name="_GoBack"/>
      <w:bookmarkEnd w:id="0"/>
      <w:r>
        <w:rPr>
          <w:rFonts w:hint="eastAsia" w:ascii="仿宋" w:hAnsi="仿宋" w:eastAsia="仿宋" w:cs="DengXian-Regular"/>
          <w:sz w:val="32"/>
          <w:szCs w:val="32"/>
        </w:rPr>
        <w:t>工程项目等1个项目开展了部门评价，涉及一般公共预算支出7348.92万元，政府性基金预算支出4586.75万元。从评价情况来看，对项目资金使用，保障项目日常监督管理起到了有效监督。</w:t>
      </w:r>
    </w:p>
    <w:p>
      <w:pPr>
        <w:adjustRightInd w:val="0"/>
        <w:snapToGrid w:val="0"/>
        <w:spacing w:line="580" w:lineRule="exact"/>
        <w:ind w:left="420" w:leftChars="200" w:firstLine="320" w:firstLineChars="1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 部门决算中项目绩效自评结果。</w:t>
      </w:r>
    </w:p>
    <w:p>
      <w:pPr>
        <w:adjustRightInd w:val="0"/>
        <w:snapToGrid w:val="0"/>
        <w:spacing w:line="580" w:lineRule="exact"/>
        <w:ind w:firstLine="640" w:firstLineChars="200"/>
        <w:rPr>
          <w:rFonts w:hint="eastAsia" w:ascii="仿宋" w:hAnsi="仿宋" w:eastAsia="仿宋" w:cs="DengXian-Regular"/>
          <w:sz w:val="32"/>
          <w:szCs w:val="32"/>
        </w:rPr>
      </w:pPr>
      <w:r>
        <w:rPr>
          <w:rFonts w:hint="eastAsia" w:ascii="仿宋" w:hAnsi="仿宋" w:eastAsia="仿宋" w:cs="DengXian-Regular"/>
          <w:sz w:val="32"/>
          <w:szCs w:val="32"/>
        </w:rPr>
        <w:t>本部门在今年部门决算公开中反映气代煤工程项目及洁净型煤项目等2个项目绩效自评结果。</w:t>
      </w:r>
    </w:p>
    <w:p>
      <w:pPr>
        <w:adjustRightInd w:val="0"/>
        <w:snapToGrid w:val="0"/>
        <w:spacing w:line="580" w:lineRule="exact"/>
        <w:ind w:firstLine="640" w:firstLineChars="200"/>
        <w:rPr>
          <w:rFonts w:hint="eastAsia" w:ascii="仿宋" w:hAnsi="仿宋" w:eastAsia="仿宋" w:cs="DengXian-Regular"/>
          <w:sz w:val="32"/>
          <w:szCs w:val="32"/>
        </w:rPr>
      </w:pP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重点项目绩效评价结果（如有）。</w:t>
      </w:r>
      <w:r>
        <w:rPr>
          <w:rFonts w:hint="eastAsia" w:ascii="仿宋_GB2312" w:eastAsia="仿宋_GB2312" w:cs="DengXian-Regular"/>
          <w:sz w:val="32"/>
          <w:szCs w:val="32"/>
          <w:lang w:eastAsia="zh-CN"/>
        </w:rPr>
        <w:t>无</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0" w:firstLineChars="200"/>
        <w:outlineLvl w:val="2"/>
        <w:rPr>
          <w:rFonts w:ascii="楷体_GB2312" w:hAnsi="Times New Roman" w:eastAsia="楷体_GB2312" w:cs="DengXian-Bold"/>
          <w:bCs/>
          <w:sz w:val="32"/>
          <w:szCs w:val="32"/>
        </w:rPr>
      </w:pPr>
      <w:r>
        <w:rPr>
          <w:rFonts w:hint="eastAsia" w:ascii="楷体_GB2312" w:hAnsi="Times New Roman" w:eastAsia="楷体_GB2312" w:cs="DengXian-Bold"/>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 w:hAnsi="仿宋" w:eastAsia="仿宋" w:cs="DengXian-Regular"/>
          <w:sz w:val="32"/>
          <w:szCs w:val="32"/>
        </w:rPr>
        <w:t>本部门2019年度机关运行经费支出301.80万元，比2018年度减少635.28万元，降低67.80%。</w:t>
      </w:r>
      <w:r>
        <w:rPr>
          <w:rFonts w:hint="eastAsia" w:ascii="仿宋" w:hAnsi="仿宋" w:eastAsia="仿宋" w:cs="DengXian-Regular"/>
          <w:sz w:val="32"/>
          <w:szCs w:val="32"/>
          <w:lang w:val="en-US" w:eastAsia="zh-CN"/>
        </w:rPr>
        <w:t>比年初预算降低12.2万元，降低28%。</w:t>
      </w:r>
      <w:r>
        <w:rPr>
          <w:rFonts w:hint="eastAsia" w:ascii="仿宋" w:hAnsi="仿宋" w:eastAsia="仿宋" w:cs="DengXian-Regular"/>
          <w:sz w:val="32"/>
          <w:szCs w:val="32"/>
        </w:rPr>
        <w:t>主要原因是机构改革，职能划转。</w:t>
      </w:r>
    </w:p>
    <w:p>
      <w:pPr>
        <w:keepNext/>
        <w:keepLines/>
        <w:snapToGrid w:val="0"/>
        <w:spacing w:line="580" w:lineRule="exact"/>
        <w:ind w:firstLine="640" w:firstLineChars="200"/>
        <w:outlineLvl w:val="2"/>
        <w:rPr>
          <w:rFonts w:ascii="楷体_GB2312" w:hAnsi="Times New Roman" w:eastAsia="楷体_GB2312" w:cs="DengXian-Bold"/>
          <w:bCs/>
          <w:sz w:val="32"/>
          <w:szCs w:val="32"/>
        </w:rPr>
      </w:pPr>
      <w:r>
        <w:rPr>
          <w:rFonts w:hint="eastAsia" w:ascii="楷体_GB2312" w:hAnsi="Times New Roman" w:eastAsia="楷体_GB2312" w:cs="DengXian-Bold"/>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0" w:firstLineChars="200"/>
        <w:outlineLvl w:val="2"/>
        <w:rPr>
          <w:rFonts w:ascii="楷体_GB2312" w:hAnsi="Times New Roman" w:eastAsia="楷体_GB2312" w:cs="DengXian-Bold"/>
          <w:bCs/>
          <w:sz w:val="32"/>
          <w:szCs w:val="32"/>
        </w:rPr>
      </w:pPr>
      <w:r>
        <w:rPr>
          <w:rFonts w:hint="eastAsia" w:ascii="楷体_GB2312" w:hAnsi="Times New Roman" w:eastAsia="楷体_GB2312" w:cs="DengXian-Bold"/>
          <w:bCs/>
          <w:sz w:val="32"/>
          <w:szCs w:val="32"/>
        </w:rPr>
        <w:t>（三）国有资产占用情况</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截至2019年12月31日，本部门共有车辆4辆，同上年车辆一致，主要是应急保证车辆和执法执勤车辆。其中，应急保障用车3辆，执法执勤用车1辆。</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单位价值50万元以上通用设备无，单位价值100万元以上专用设备无</w:t>
      </w:r>
      <w:r>
        <w:rPr>
          <w:rFonts w:hint="eastAsia" w:ascii="仿宋" w:hAnsi="仿宋" w:eastAsia="仿宋" w:cs="DengXian-Regular"/>
          <w:sz w:val="32"/>
          <w:szCs w:val="32"/>
          <w:lang w:eastAsia="zh-CN"/>
        </w:rPr>
        <w:t>，</w:t>
      </w:r>
      <w:r>
        <w:rPr>
          <w:rFonts w:hint="eastAsia" w:ascii="仿宋" w:hAnsi="仿宋" w:eastAsia="仿宋" w:cs="DengXian-Regular"/>
          <w:sz w:val="32"/>
          <w:szCs w:val="32"/>
          <w:lang w:val="en-US" w:eastAsia="zh-CN"/>
        </w:rPr>
        <w:t>与上年持平</w:t>
      </w:r>
      <w:r>
        <w:rPr>
          <w:rFonts w:hint="eastAsia" w:ascii="仿宋" w:hAnsi="仿宋" w:eastAsia="仿宋" w:cs="DengXian-Regular"/>
          <w:sz w:val="32"/>
          <w:szCs w:val="32"/>
        </w:rPr>
        <w:t>。</w:t>
      </w:r>
    </w:p>
    <w:p>
      <w:pPr>
        <w:adjustRightInd w:val="0"/>
        <w:snapToGrid w:val="0"/>
        <w:spacing w:line="580" w:lineRule="exact"/>
        <w:ind w:firstLine="640" w:firstLineChars="200"/>
        <w:rPr>
          <w:rFonts w:ascii="仿宋" w:hAnsi="仿宋" w:eastAsia="仿宋" w:cs="DengXian-Regular"/>
          <w:sz w:val="32"/>
          <w:szCs w:val="32"/>
        </w:rPr>
      </w:pPr>
      <w:r>
        <w:rPr>
          <w:rFonts w:hint="eastAsia" w:ascii="楷体_GB2312" w:hAnsi="Times New Roman" w:eastAsia="楷体_GB2312" w:cs="DengXian-Bold"/>
          <w:bCs/>
          <w:sz w:val="32"/>
          <w:szCs w:val="32"/>
        </w:rPr>
        <w:t>（四）其他需要说明的情况</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1.本部门2019年度国有资本经营预算财政拨款无收支及结转结余情况，故国有资本经营预算财政拨款支出决算表以空表列示。</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2.由于决算公开表格中金额数值应当保留两位小数，公开数据为四舍五入计算结果，个别数据合计项与分项之和存在小数点后差额，特此说明。</w:t>
      </w:r>
    </w:p>
    <w:p>
      <w:pPr>
        <w:widowControl/>
        <w:spacing w:line="580" w:lineRule="exact"/>
        <w:ind w:firstLine="640" w:firstLineChars="200"/>
        <w:jc w:val="left"/>
        <w:rPr>
          <w:rFonts w:ascii="仿宋" w:hAnsi="仿宋" w:eastAsia="仿宋" w:cs="DengXian-Regular"/>
          <w:sz w:val="32"/>
          <w:szCs w:val="32"/>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69504" behindDoc="0" locked="0" layoutInCell="1" allowOverlap="1">
                <wp:simplePos x="0" y="0"/>
                <wp:positionH relativeFrom="column">
                  <wp:posOffset>-1021715</wp:posOffset>
                </wp:positionH>
                <wp:positionV relativeFrom="paragraph">
                  <wp:posOffset>441960</wp:posOffset>
                </wp:positionV>
                <wp:extent cx="7793355" cy="3341370"/>
                <wp:effectExtent l="4445" t="4445" r="5080" b="6985"/>
                <wp:wrapNone/>
                <wp:docPr id="13"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upright="1"/>
                    </wps:wsp>
                  </a:graphicData>
                </a:graphic>
              </wp:anchor>
            </w:drawing>
          </mc:Choice>
          <mc:Fallback>
            <w:pict>
              <v:shape id="文本框 5" o:spid="_x0000_s1026" o:spt="202" type="#_x0000_t202" style="position:absolute;left:0pt;margin-left:-80.45pt;margin-top:34.8pt;height:263.1pt;width:613.65pt;z-index:251669504;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P3NKXXAAAADAEAAA8AAAAAAAAAAQAgAAAAIgAAAGRycy9kb3ducmV2&#10;LnhtbFBLAQIUABQAAAAIAIdO4kDIc2DINgIAAI4EAAAOAAAAAAAAAAEAIAAAACYBAABkcnMvZTJv&#10;RG9jLnhtbFBLBQYAAAAABgAGAFkBAADOBQAAAAA=&#10;">
                <v:fill type="pattern" on="t" color2="#FFFFFF" focussize="0,0" r:id="rId25"/>
                <v:stroke weight="0.5pt" color="#FFD966"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
    <w:p/>
    <w:p/>
    <w:p/>
    <w:p/>
    <w:p/>
    <w:p/>
    <w:p/>
    <w:p/>
    <w:p/>
    <w:p/>
    <w:p/>
    <w:p>
      <w:pPr>
        <w:tabs>
          <w:tab w:val="left" w:pos="886"/>
        </w:tabs>
        <w:jc w:val="left"/>
        <w:sectPr>
          <w:headerReference r:id="rId19" w:type="first"/>
          <w:pgSz w:w="11906" w:h="16838"/>
          <w:pgMar w:top="2041" w:right="1531" w:bottom="2041" w:left="1531" w:header="851" w:footer="992" w:gutter="0"/>
          <w:pgNumType w:fmt="numberInDash"/>
          <w:cols w:space="0" w:num="1"/>
          <w:titlePg/>
          <w:docGrid w:type="lines" w:linePitch="312" w:charSpace="0"/>
        </w:sectPr>
      </w:pPr>
    </w:p>
    <w:p>
      <w:pPr>
        <w:rPr>
          <w:rFonts w:ascii="仿宋" w:hAnsi="仿宋" w:eastAsia="仿宋" w:cs="Times New Roman"/>
          <w:color w:val="000000"/>
          <w:kern w:val="0"/>
          <w:sz w:val="32"/>
          <w:szCs w:val="32"/>
        </w:rPr>
      </w:pPr>
      <w:r>
        <w:rPr>
          <w:rFonts w:hint="eastAsia" w:ascii="仿宋_GB2312" w:hAnsi="宋体" w:eastAsia="仿宋_GB2312" w:cs="ArialUnicodeMS"/>
          <w:sz w:val="32"/>
          <w:szCs w:val="32"/>
          <w:highlight w:val="yellow"/>
        </w:rPr>
        <w:br w:type="page"/>
      </w:r>
      <w:r>
        <w:rPr>
          <w:rFonts w:hint="eastAsia" w:ascii="仿宋_GB2312" w:hAnsi="宋体" w:eastAsia="仿宋_GB2312" w:cs="ArialUnicodeMS"/>
          <w:sz w:val="32"/>
          <w:szCs w:val="32"/>
        </w:rPr>
        <w:t xml:space="preserve">    </w:t>
      </w:r>
      <w:r>
        <w:rPr>
          <w:rFonts w:hint="eastAsia" w:ascii="仿宋" w:hAnsi="仿宋" w:eastAsia="仿宋" w:cs="Times New Roman"/>
          <w:b/>
          <w:bCs/>
          <w:color w:val="000000"/>
          <w:kern w:val="0"/>
          <w:sz w:val="32"/>
          <w:szCs w:val="32"/>
        </w:rPr>
        <w:t>（一）财政拨款收入：</w:t>
      </w:r>
      <w:r>
        <w:rPr>
          <w:rFonts w:hint="eastAsia" w:ascii="仿宋" w:hAnsi="仿宋" w:eastAsia="仿宋"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 w:hAnsi="仿宋" w:eastAsia="仿宋" w:cs="Times New Roman"/>
          <w:color w:val="000000"/>
          <w:kern w:val="0"/>
          <w:sz w:val="32"/>
          <w:szCs w:val="32"/>
        </w:rPr>
      </w:pPr>
      <w:r>
        <w:rPr>
          <w:rFonts w:hint="eastAsia" w:ascii="仿宋" w:hAnsi="仿宋" w:eastAsia="仿宋" w:cs="Times New Roman"/>
          <w:b/>
          <w:bCs/>
          <w:color w:val="000000"/>
          <w:kern w:val="0"/>
          <w:sz w:val="32"/>
          <w:szCs w:val="32"/>
        </w:rPr>
        <w:t>（二）年初结转和结余：</w:t>
      </w:r>
      <w:r>
        <w:rPr>
          <w:rFonts w:hint="eastAsia" w:ascii="仿宋" w:hAnsi="仿宋" w:eastAsia="仿宋"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 w:hAnsi="仿宋" w:eastAsia="仿宋" w:cs="Times New Roman"/>
          <w:color w:val="000000"/>
          <w:kern w:val="0"/>
          <w:sz w:val="32"/>
          <w:szCs w:val="32"/>
        </w:rPr>
      </w:pPr>
      <w:r>
        <w:rPr>
          <w:rFonts w:hint="eastAsia" w:ascii="仿宋" w:hAnsi="仿宋" w:eastAsia="仿宋" w:cs="Times New Roman"/>
          <w:b/>
          <w:bCs/>
          <w:color w:val="000000"/>
          <w:kern w:val="0"/>
          <w:sz w:val="32"/>
          <w:szCs w:val="32"/>
        </w:rPr>
        <w:t>（三）年末结转和结余：</w:t>
      </w:r>
      <w:r>
        <w:rPr>
          <w:rFonts w:hint="eastAsia" w:ascii="仿宋" w:hAnsi="仿宋" w:eastAsia="仿宋"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 w:hAnsi="仿宋" w:eastAsia="仿宋" w:cs="Times New Roman"/>
          <w:color w:val="000000"/>
          <w:kern w:val="0"/>
          <w:sz w:val="32"/>
          <w:szCs w:val="32"/>
        </w:rPr>
      </w:pPr>
      <w:r>
        <w:rPr>
          <w:rFonts w:hint="eastAsia" w:ascii="仿宋" w:hAnsi="仿宋" w:eastAsia="仿宋" w:cs="Times New Roman"/>
          <w:b/>
          <w:bCs/>
          <w:color w:val="000000"/>
          <w:kern w:val="0"/>
          <w:sz w:val="32"/>
          <w:szCs w:val="32"/>
        </w:rPr>
        <w:t>（四）基本支出：</w:t>
      </w:r>
      <w:r>
        <w:rPr>
          <w:rFonts w:hint="eastAsia" w:ascii="仿宋" w:hAnsi="仿宋" w:eastAsia="仿宋"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 w:hAnsi="仿宋" w:eastAsia="仿宋" w:cs="Times New Roman"/>
          <w:color w:val="000000"/>
          <w:kern w:val="0"/>
          <w:sz w:val="32"/>
          <w:szCs w:val="32"/>
        </w:rPr>
      </w:pPr>
      <w:r>
        <w:rPr>
          <w:rFonts w:hint="eastAsia" w:ascii="仿宋" w:hAnsi="仿宋" w:eastAsia="仿宋" w:cs="Times New Roman"/>
          <w:b/>
          <w:bCs/>
          <w:color w:val="000000"/>
          <w:kern w:val="0"/>
          <w:sz w:val="32"/>
          <w:szCs w:val="32"/>
        </w:rPr>
        <w:t>（五）项目支出：</w:t>
      </w:r>
      <w:r>
        <w:rPr>
          <w:rFonts w:hint="eastAsia" w:ascii="仿宋" w:hAnsi="仿宋" w:eastAsia="仿宋" w:cs="Times New Roman"/>
          <w:color w:val="000000"/>
          <w:kern w:val="0"/>
          <w:sz w:val="32"/>
          <w:szCs w:val="32"/>
        </w:rPr>
        <w:t>填列单位为完成特定的行政工作任务或事业发展目标，在基本支出之外发生的各项支出</w:t>
      </w:r>
    </w:p>
    <w:p>
      <w:pPr>
        <w:snapToGrid w:val="0"/>
        <w:spacing w:line="560" w:lineRule="exact"/>
        <w:ind w:firstLine="643" w:firstLineChars="200"/>
        <w:rPr>
          <w:rFonts w:ascii="仿宋" w:hAnsi="仿宋" w:eastAsia="仿宋" w:cs="Times New Roman"/>
          <w:color w:val="000000"/>
          <w:kern w:val="0"/>
          <w:sz w:val="32"/>
          <w:szCs w:val="32"/>
        </w:rPr>
      </w:pPr>
      <w:r>
        <w:rPr>
          <w:rFonts w:hint="eastAsia" w:ascii="仿宋" w:hAnsi="仿宋" w:eastAsia="仿宋" w:cs="Times New Roman"/>
          <w:b/>
          <w:bCs/>
          <w:color w:val="000000"/>
          <w:kern w:val="0"/>
          <w:sz w:val="32"/>
          <w:szCs w:val="32"/>
        </w:rPr>
        <w:t>（六）“三公”经费：</w:t>
      </w:r>
      <w:r>
        <w:rPr>
          <w:rFonts w:hint="eastAsia" w:ascii="仿宋" w:hAnsi="仿宋" w:eastAsia="仿宋"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 w:hAnsi="仿宋" w:eastAsia="仿宋" w:cs="Times New Roman"/>
          <w:color w:val="000000"/>
          <w:kern w:val="0"/>
          <w:sz w:val="32"/>
          <w:szCs w:val="32"/>
        </w:rPr>
      </w:pPr>
      <w:r>
        <w:rPr>
          <w:rFonts w:hint="eastAsia" w:ascii="仿宋" w:hAnsi="仿宋" w:eastAsia="仿宋" w:cs="Times New Roman"/>
          <w:b/>
          <w:bCs/>
          <w:color w:val="000000"/>
          <w:kern w:val="0"/>
          <w:sz w:val="32"/>
          <w:szCs w:val="32"/>
        </w:rPr>
        <w:t>（七）其他交通费用：</w:t>
      </w:r>
      <w:r>
        <w:rPr>
          <w:rFonts w:hint="eastAsia" w:ascii="仿宋" w:hAnsi="仿宋" w:eastAsia="仿宋" w:cs="Times New Roman"/>
          <w:color w:val="000000"/>
          <w:kern w:val="0"/>
          <w:sz w:val="32"/>
          <w:szCs w:val="32"/>
        </w:rPr>
        <w:t>填列单位除公务用车运行维护费以外的其他交通费用。如公务交通补贴等。</w:t>
      </w:r>
    </w:p>
    <w:p>
      <w:pPr>
        <w:widowControl/>
        <w:spacing w:line="560" w:lineRule="exact"/>
        <w:ind w:firstLine="643" w:firstLineChars="200"/>
        <w:rPr>
          <w:rFonts w:ascii="仿宋" w:hAnsi="仿宋" w:eastAsia="仿宋" w:cs="Times New Roman"/>
          <w:color w:val="000000"/>
          <w:kern w:val="0"/>
          <w:sz w:val="32"/>
          <w:szCs w:val="32"/>
        </w:rPr>
      </w:pPr>
      <w:r>
        <w:rPr>
          <w:rFonts w:hint="eastAsia" w:ascii="仿宋" w:hAnsi="仿宋" w:eastAsia="仿宋" w:cs="Times New Roman"/>
          <w:b/>
          <w:bCs/>
          <w:color w:val="000000"/>
          <w:kern w:val="0"/>
          <w:sz w:val="32"/>
          <w:szCs w:val="32"/>
        </w:rPr>
        <w:t>（八）公务用车购置：</w:t>
      </w:r>
      <w:r>
        <w:rPr>
          <w:rFonts w:hint="eastAsia" w:ascii="仿宋" w:hAnsi="仿宋" w:eastAsia="仿宋" w:cs="Times New Roman"/>
          <w:color w:val="000000"/>
          <w:kern w:val="0"/>
          <w:sz w:val="32"/>
          <w:szCs w:val="32"/>
        </w:rPr>
        <w:t>填列单位公务用车车辆购置支出（含车辆购置税、牌照费）。</w:t>
      </w:r>
    </w:p>
    <w:p>
      <w:pPr>
        <w:widowControl/>
        <w:spacing w:line="560" w:lineRule="exact"/>
        <w:ind w:firstLine="643" w:firstLineChars="200"/>
        <w:rPr>
          <w:rFonts w:ascii="仿宋" w:hAnsi="仿宋" w:eastAsia="仿宋" w:cs="Times New Roman"/>
          <w:color w:val="000000"/>
          <w:kern w:val="0"/>
          <w:sz w:val="32"/>
          <w:szCs w:val="32"/>
        </w:rPr>
      </w:pPr>
      <w:r>
        <w:rPr>
          <w:rFonts w:hint="eastAsia" w:ascii="仿宋" w:hAnsi="仿宋" w:eastAsia="仿宋" w:cs="Times New Roman"/>
          <w:b/>
          <w:bCs/>
          <w:color w:val="000000"/>
          <w:kern w:val="0"/>
          <w:sz w:val="32"/>
          <w:szCs w:val="32"/>
        </w:rPr>
        <w:t>（九）机关运行经费：</w:t>
      </w:r>
      <w:r>
        <w:rPr>
          <w:rFonts w:hint="eastAsia" w:ascii="仿宋" w:hAnsi="仿宋" w:eastAsia="仿宋"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 w:hAnsi="仿宋" w:eastAsia="仿宋" w:cs="ArialUnicodeMS"/>
          <w:kern w:val="0"/>
          <w:sz w:val="32"/>
          <w:szCs w:val="32"/>
        </w:rPr>
      </w:pPr>
      <w:r>
        <w:rPr>
          <w:rFonts w:hint="eastAsia" w:ascii="仿宋" w:hAnsi="仿宋" w:eastAsia="仿宋" w:cs="Times New Roman"/>
          <w:b/>
          <w:bCs/>
          <w:color w:val="000000"/>
          <w:kern w:val="0"/>
          <w:sz w:val="32"/>
          <w:szCs w:val="32"/>
        </w:rPr>
        <w:t xml:space="preserve">    （十）经费形式:</w:t>
      </w:r>
      <w:r>
        <w:rPr>
          <w:rFonts w:hint="eastAsia" w:ascii="仿宋" w:hAnsi="仿宋" w:eastAsia="仿宋" w:cs="Times New Roman"/>
          <w:color w:val="000000"/>
          <w:kern w:val="0"/>
          <w:sz w:val="32"/>
          <w:szCs w:val="32"/>
        </w:rPr>
        <w:t>按照经费来源，</w:t>
      </w:r>
      <w:r>
        <w:rPr>
          <w:rFonts w:hint="eastAsia" w:ascii="仿宋" w:hAnsi="仿宋" w:eastAsia="仿宋" w:cs="ArialUnicodeMS"/>
          <w:kern w:val="0"/>
          <w:sz w:val="32"/>
          <w:szCs w:val="32"/>
        </w:rPr>
        <w:t>可分为财政拨款、财政性资金基本保证、财政性资金定额或定项补助、财政性资金零补助四类。</w:t>
      </w:r>
    </w:p>
    <w:p/>
    <w:p/>
    <w:p/>
    <w:p/>
    <w:p/>
    <w:p/>
    <w:p/>
    <w:p/>
    <w:p/>
    <w:p/>
    <w:p/>
    <w:p>
      <w:pPr>
        <w:jc w:val="left"/>
        <w:sectPr>
          <w:headerReference r:id="rId20"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4445" t="4445" r="5080" b="6985"/>
                <wp:wrapNone/>
                <wp:docPr id="2"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2019年度部门决算报表</w:t>
                            </w:r>
                          </w:p>
                        </w:txbxContent>
                      </wps:txbx>
                      <wps:bodyPr anchor="ctr" upright="1"/>
                    </wps:wsp>
                  </a:graphicData>
                </a:graphic>
              </wp:anchor>
            </w:drawing>
          </mc:Choice>
          <mc:Fallback>
            <w:pict>
              <v:shape id="文本框 4" o:spid="_x0000_s1026"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o4w9h2AAAAA0BAAAPAAAAAAAAAAEAIAAAACIAAABkcnMvZG93bnJl&#10;di54bWxQSwECFAAUAAAACACHTuJAf8evIzYCAACNBAAADgAAAAAAAAABACAAAAAnAQAAZHJzL2Uy&#10;b0RvYy54bWxQSwUGAAAAAAYABgBZAQAAzwUAAAAA&#10;">
                <v:fill type="pattern" on="t" color2="#FFFFFF" focussize="0,0" r:id="rId25"/>
                <v:stroke weight="0.5pt" color="#FFD96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2019年度部门决算报表</w:t>
                      </w:r>
                    </w:p>
                  </w:txbxContent>
                </v:textbox>
              </v:shape>
            </w:pict>
          </mc:Fallback>
        </mc:AlternateContent>
      </w:r>
    </w:p>
    <w:p>
      <w:pPr>
        <w:tabs>
          <w:tab w:val="left" w:pos="886"/>
        </w:tabs>
        <w:jc w:val="left"/>
      </w:pPr>
    </w:p>
    <w:tbl>
      <w:tblPr>
        <w:tblStyle w:val="8"/>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465"/>
        <w:gridCol w:w="266"/>
        <w:gridCol w:w="691"/>
        <w:gridCol w:w="3295"/>
        <w:gridCol w:w="426"/>
        <w:gridCol w:w="1138"/>
      </w:tblGrid>
      <w:tr>
        <w:tblPrEx>
          <w:tblCellMar>
            <w:top w:w="0" w:type="dxa"/>
            <w:left w:w="0" w:type="dxa"/>
            <w:bottom w:w="0" w:type="dxa"/>
            <w:right w:w="0" w:type="dxa"/>
          </w:tblCellMar>
        </w:tblPrEx>
        <w:trPr>
          <w:trHeight w:val="489" w:hRule="atLeast"/>
          <w:jc w:val="center"/>
        </w:trPr>
        <w:tc>
          <w:tcPr>
            <w:tcW w:w="9517" w:type="dxa"/>
            <w:gridSpan w:val="7"/>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部门：保定市满城区发展和改革局</w:t>
            </w: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11610.29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553.24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5604.95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40.00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57.84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16.96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10791.03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5604.95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304.91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23.58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49.35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17215.24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17441.86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2421.76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2195.14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19637.00　</w:t>
            </w:r>
          </w:p>
        </w:tc>
        <w:tc>
          <w:tcPr>
            <w:tcW w:w="3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11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19637.00　</w:t>
            </w:r>
          </w:p>
        </w:tc>
      </w:tr>
      <w:tr>
        <w:tblPrEx>
          <w:tblCellMar>
            <w:top w:w="0" w:type="dxa"/>
            <w:left w:w="0" w:type="dxa"/>
            <w:bottom w:w="0" w:type="dxa"/>
            <w:right w:w="0" w:type="dxa"/>
          </w:tblCellMar>
        </w:tblPrEx>
        <w:trPr>
          <w:trHeight w:val="213" w:hRule="atLeast"/>
          <w:jc w:val="center"/>
        </w:trPr>
        <w:tc>
          <w:tcPr>
            <w:tcW w:w="951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8"/>
        <w:tblW w:w="10092" w:type="dxa"/>
        <w:jc w:val="center"/>
        <w:tblLayout w:type="autofit"/>
        <w:tblCellMar>
          <w:top w:w="0" w:type="dxa"/>
          <w:left w:w="0" w:type="dxa"/>
          <w:bottom w:w="0" w:type="dxa"/>
          <w:right w:w="0" w:type="dxa"/>
        </w:tblCellMar>
      </w:tblPr>
      <w:tblGrid>
        <w:gridCol w:w="38"/>
        <w:gridCol w:w="38"/>
        <w:gridCol w:w="2016"/>
        <w:gridCol w:w="3856"/>
        <w:gridCol w:w="1265"/>
        <w:gridCol w:w="1105"/>
        <w:gridCol w:w="317"/>
        <w:gridCol w:w="316"/>
        <w:gridCol w:w="450"/>
        <w:gridCol w:w="509"/>
        <w:gridCol w:w="471"/>
      </w:tblGrid>
      <w:tr>
        <w:tblPrEx>
          <w:tblCellMar>
            <w:top w:w="0" w:type="dxa"/>
            <w:left w:w="0" w:type="dxa"/>
            <w:bottom w:w="0" w:type="dxa"/>
            <w:right w:w="0" w:type="dxa"/>
          </w:tblCellMar>
        </w:tblPrEx>
        <w:trPr>
          <w:trHeight w:val="670" w:hRule="atLeast"/>
          <w:jc w:val="center"/>
        </w:trPr>
        <w:tc>
          <w:tcPr>
            <w:tcW w:w="10092" w:type="dxa"/>
            <w:gridSpan w:val="11"/>
            <w:tcBorders>
              <w:top w:val="nil"/>
              <w:left w:val="nil"/>
              <w:bottom w:val="nil"/>
              <w:right w:val="nil"/>
            </w:tcBorders>
            <w:shd w:val="clear" w:color="auto" w:fill="auto"/>
            <w:noWrap/>
            <w:tcMar>
              <w:top w:w="15" w:type="dxa"/>
              <w:left w:w="15" w:type="dxa"/>
              <w:right w:w="15" w:type="dxa"/>
            </w:tcMar>
            <w:vAlign w:val="bottom"/>
          </w:tcPr>
          <w:p>
            <w:pPr>
              <w:widowControl/>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2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6897"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部门：保定市满城区发展和改革局</w:t>
            </w:r>
          </w:p>
        </w:tc>
        <w:tc>
          <w:tcPr>
            <w:tcW w:w="105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568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2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05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35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35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4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5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47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200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68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7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200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8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7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200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8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7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68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2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0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3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3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4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5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4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568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17215.24</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17215.24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553.24</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553.24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20103</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政府办公厅（室）及相关机构事务</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2010308</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信访事务</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发展与改革事务</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550.24</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550.24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2010401</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301.80</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2010406</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社会事业发展规划</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6.50</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2010408</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物价管理</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33.37</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2010450</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事业运行</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179.97</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179.97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2010499</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其他发展与改革事务支出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28.60</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206</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科学技术支出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20604</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技术研究与开发</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2060402</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应用技术研究与开发</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48.55</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9.29</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9.32</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2101102</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事业单位医疗</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7.64</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节能环保支出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10564.41</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10564.41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21103</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污染防治</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10564.41</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10564.41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2110301</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大气</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10564.41</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10564.41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21208</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国有土地使用权出让收入及对应专项债务收放安排的支出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2120809</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支付破产或改制企业职工安置费</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1018.21</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1018.21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2120899</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其他国有土地使用权出让收入安排的支出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4586.74</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4586.74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农林水支出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21305</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扶贫</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2130599</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其他扶贫支出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222</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粮油物资储备支出</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49.35</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22201</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粮油事务</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49.35</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2220106</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粮食专项业务活动</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32.39</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0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2220150</w:t>
            </w:r>
          </w:p>
        </w:tc>
        <w:tc>
          <w:tcPr>
            <w:tcW w:w="3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事业运行</w:t>
            </w:r>
          </w:p>
        </w:tc>
        <w:tc>
          <w:tcPr>
            <w:tcW w:w="12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0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8"/>
        <w:tblW w:w="9680" w:type="dxa"/>
        <w:jc w:val="center"/>
        <w:tblLayout w:type="fixed"/>
        <w:tblCellMar>
          <w:top w:w="0" w:type="dxa"/>
          <w:left w:w="0" w:type="dxa"/>
          <w:bottom w:w="0" w:type="dxa"/>
          <w:right w:w="0" w:type="dxa"/>
        </w:tblCellMar>
      </w:tblPr>
      <w:tblGrid>
        <w:gridCol w:w="941"/>
        <w:gridCol w:w="53"/>
        <w:gridCol w:w="111"/>
        <w:gridCol w:w="1609"/>
        <w:gridCol w:w="1134"/>
        <w:gridCol w:w="1276"/>
        <w:gridCol w:w="1134"/>
        <w:gridCol w:w="850"/>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71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2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6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71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71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17441.86</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659.08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16782.78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553.24</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543.74</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9.50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20103</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政府办公厅（室）及相关机构事务</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2010308</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信访事务</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发展与改革事务</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550.24</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543.74</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6.50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2010401</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301.80</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301.80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2010406</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社会事业发展规划</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6.50</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6.50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2010408</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物价管理</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33.37</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33.37</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2010450</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事业运行</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179.97</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179.97</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2010499</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其他发展与改革事务支出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28.60</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206</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科学技术支出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20604</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技术研究与开发</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2060402</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应用技术研究与开发</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48.55</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48.55</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9.29</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9.29</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9.32</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9.32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2101102</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事业单位医疗</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7.64</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7.64</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节能环保支出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21103</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污染防治</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2110301</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大气</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21208</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国有土地使用权出让收入及对应专项债务收放安排的支出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2120809</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支付破产或改制企业职工安置费</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1018.21</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1018.21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2120899</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其他国有土地使用权出让收入安排的支出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4586.74</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4586.74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农林水支出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21305</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扶贫</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2130599</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其他扶贫支出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222</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粮油物资储备支出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49.35</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32.39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22201</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粮油事务</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49.35</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32.39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2220106</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粮食专项业务活动</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32.39</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32.39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2220150</w:t>
            </w:r>
          </w:p>
        </w:tc>
        <w:tc>
          <w:tcPr>
            <w:tcW w:w="16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事业运行</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8"/>
        <w:tblW w:w="9520" w:type="dxa"/>
        <w:jc w:val="center"/>
        <w:tblLayout w:type="fixed"/>
        <w:tblCellMar>
          <w:top w:w="0" w:type="dxa"/>
          <w:left w:w="0" w:type="dxa"/>
          <w:bottom w:w="0" w:type="dxa"/>
          <w:right w:w="0" w:type="dxa"/>
        </w:tblCellMar>
      </w:tblPr>
      <w:tblGrid>
        <w:gridCol w:w="2351"/>
        <w:gridCol w:w="425"/>
        <w:gridCol w:w="992"/>
        <w:gridCol w:w="2268"/>
        <w:gridCol w:w="425"/>
        <w:gridCol w:w="1134"/>
        <w:gridCol w:w="993"/>
        <w:gridCol w:w="932"/>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35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90" w:hRule="atLeast"/>
          <w:jc w:val="center"/>
        </w:trPr>
        <w:tc>
          <w:tcPr>
            <w:tcW w:w="235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     入</w:t>
            </w:r>
          </w:p>
        </w:tc>
        <w:tc>
          <w:tcPr>
            <w:tcW w:w="5752"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     出</w:t>
            </w:r>
          </w:p>
        </w:tc>
      </w:tr>
      <w:tr>
        <w:tblPrEx>
          <w:tblCellMar>
            <w:top w:w="0" w:type="dxa"/>
            <w:left w:w="0" w:type="dxa"/>
            <w:bottom w:w="0" w:type="dxa"/>
            <w:right w:w="0" w:type="dxa"/>
          </w:tblCellMar>
        </w:tblPrEx>
        <w:trPr>
          <w:trHeight w:val="312" w:hRule="atLeast"/>
          <w:jc w:val="center"/>
        </w:trPr>
        <w:tc>
          <w:tcPr>
            <w:tcW w:w="23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2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13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9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3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11610.29</w:t>
            </w: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553.24</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553.24</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49.35</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49.35</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17215.24</w:t>
            </w: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17441.86</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11836.91</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2421.76</w:t>
            </w: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2195.14</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2195.14</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2421.76</w:t>
            </w: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57</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19637.00</w:t>
            </w:r>
          </w:p>
        </w:tc>
        <w:tc>
          <w:tcPr>
            <w:tcW w:w="2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58</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19637.00</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14032.05</w:t>
            </w:r>
          </w:p>
        </w:tc>
        <w:tc>
          <w:tcPr>
            <w:tcW w:w="9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5604.95</w:t>
            </w: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8"/>
        <w:tblW w:w="9106" w:type="dxa"/>
        <w:jc w:val="center"/>
        <w:tblLayout w:type="fixed"/>
        <w:tblCellMar>
          <w:top w:w="0" w:type="dxa"/>
          <w:left w:w="0" w:type="dxa"/>
          <w:bottom w:w="0" w:type="dxa"/>
          <w:right w:w="0" w:type="dxa"/>
        </w:tblCellMar>
      </w:tblPr>
      <w:tblGrid>
        <w:gridCol w:w="550"/>
        <w:gridCol w:w="50"/>
        <w:gridCol w:w="1374"/>
        <w:gridCol w:w="1162"/>
        <w:gridCol w:w="590"/>
        <w:gridCol w:w="1843"/>
        <w:gridCol w:w="667"/>
        <w:gridCol w:w="444"/>
        <w:gridCol w:w="217"/>
        <w:gridCol w:w="510"/>
        <w:gridCol w:w="548"/>
        <w:gridCol w:w="206"/>
        <w:gridCol w:w="945"/>
      </w:tblGrid>
      <w:tr>
        <w:tblPrEx>
          <w:tblCellMar>
            <w:top w:w="0" w:type="dxa"/>
            <w:left w:w="0" w:type="dxa"/>
            <w:bottom w:w="0" w:type="dxa"/>
            <w:right w:w="0" w:type="dxa"/>
          </w:tblCellMar>
        </w:tblPrEx>
        <w:trPr>
          <w:trHeight w:val="600" w:hRule="atLeast"/>
          <w:jc w:val="center"/>
        </w:trPr>
        <w:tc>
          <w:tcPr>
            <w:tcW w:w="9106" w:type="dxa"/>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5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59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38"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55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74" w:type="dxa"/>
            <w:tcBorders>
              <w:top w:val="nil"/>
              <w:left w:val="nil"/>
              <w:bottom w:val="nil"/>
              <w:right w:val="nil"/>
            </w:tcBorders>
            <w:shd w:val="clear" w:color="auto" w:fill="auto"/>
            <w:noWrap/>
            <w:tcMar>
              <w:top w:w="15" w:type="dxa"/>
              <w:left w:w="15" w:type="dxa"/>
              <w:right w:w="15" w:type="dxa"/>
            </w:tcMar>
            <w:vAlign w:val="bottom"/>
          </w:tcPr>
          <w:p>
            <w:pPr>
              <w:jc w:val="left"/>
              <w:rPr>
                <w:rFonts w:ascii="Arial" w:hAnsi="Arial" w:cs="Arial"/>
                <w:color w:val="000000"/>
                <w:sz w:val="20"/>
                <w:szCs w:val="20"/>
              </w:rPr>
            </w:pPr>
            <w:r>
              <w:rPr>
                <w:rFonts w:hint="eastAsia" w:ascii="Arial" w:hAnsi="Arial" w:cs="Arial"/>
                <w:color w:val="000000"/>
                <w:sz w:val="20"/>
                <w:szCs w:val="20"/>
              </w:rPr>
              <w:t>:</w:t>
            </w:r>
          </w:p>
        </w:tc>
        <w:tc>
          <w:tcPr>
            <w:tcW w:w="359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38"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56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537"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97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595"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328"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05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1"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97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95"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28"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97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595"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28"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569"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569"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11836.91</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659.08</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11177.83</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553.24</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543.74</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9.50</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20103</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政府办公厅（室）及相关机构事务</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2010308</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信访事务</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发展与改革事务</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550.24</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543.74</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6.50</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2010401</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301.80</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301.80</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2010406</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社会事业发展规划</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6.50</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6.50</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2010408</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物价管理</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33.37</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33.37</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2010450</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事业运行</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179.97</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179.97</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2010499</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其他发展与改革事务支出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28.60</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28.60</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206</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科学技术支出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20604</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技术研究与开发</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2060402</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应用技术研究与开发</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40.00</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57.84</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48.55</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9.29</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9.32</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2101102</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事业单位医疗</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7.64</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节能环保支出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21103</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污染防治</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2110301</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大气</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10791.03</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农林水支出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21305</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扶贫</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2130599</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其他扶贫支出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304.91</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330" w:firstLineChars="150"/>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23.58</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222</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粮油物资储备支出</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49.35</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32.39</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2220106</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440" w:firstLineChars="200"/>
              <w:jc w:val="left"/>
              <w:rPr>
                <w:rFonts w:ascii="宋体" w:hAnsi="宋体" w:eastAsia="宋体" w:cs="宋体"/>
                <w:color w:val="000000"/>
                <w:sz w:val="22"/>
              </w:rPr>
            </w:pPr>
            <w:r>
              <w:rPr>
                <w:rFonts w:hint="eastAsia" w:ascii="宋体" w:hAnsi="宋体" w:eastAsia="宋体" w:cs="宋体"/>
                <w:color w:val="000000"/>
                <w:sz w:val="22"/>
              </w:rPr>
              <w:t>粮油事务</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32.39</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32.39</w:t>
            </w:r>
          </w:p>
        </w:tc>
      </w:tr>
      <w:tr>
        <w:tblPrEx>
          <w:tblCellMar>
            <w:top w:w="0" w:type="dxa"/>
            <w:left w:w="0" w:type="dxa"/>
            <w:bottom w:w="0" w:type="dxa"/>
            <w:right w:w="0" w:type="dxa"/>
          </w:tblCellMar>
        </w:tblPrEx>
        <w:trPr>
          <w:trHeight w:val="308"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2220150</w:t>
            </w:r>
          </w:p>
        </w:tc>
        <w:tc>
          <w:tcPr>
            <w:tcW w:w="3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firstLine="440" w:firstLineChars="200"/>
              <w:jc w:val="left"/>
              <w:rPr>
                <w:rFonts w:ascii="宋体" w:hAnsi="宋体" w:eastAsia="宋体" w:cs="宋体"/>
                <w:color w:val="000000"/>
                <w:sz w:val="22"/>
              </w:rPr>
            </w:pPr>
            <w:r>
              <w:rPr>
                <w:rFonts w:hint="eastAsia" w:ascii="宋体" w:hAnsi="宋体" w:eastAsia="宋体" w:cs="宋体"/>
                <w:color w:val="000000"/>
                <w:sz w:val="22"/>
              </w:rPr>
              <w:t>事业运行</w:t>
            </w:r>
          </w:p>
        </w:tc>
        <w:tc>
          <w:tcPr>
            <w:tcW w:w="1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0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16.96</w:t>
            </w:r>
          </w:p>
        </w:tc>
        <w:tc>
          <w:tcPr>
            <w:tcW w:w="11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662" w:hRule="atLeast"/>
          <w:jc w:val="center"/>
        </w:trPr>
        <w:tc>
          <w:tcPr>
            <w:tcW w:w="9106" w:type="dxa"/>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60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4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7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339" w:hRule="atLeast"/>
          <w:jc w:val="center"/>
        </w:trPr>
        <w:tc>
          <w:tcPr>
            <w:tcW w:w="6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3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4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7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13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5970"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60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3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5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84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11"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27"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754"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60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7"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54"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577.35</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30.17</w:t>
            </w: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163.05</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0.95</w:t>
            </w: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94.25</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103.91</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83.17</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58.10</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33.47</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9.06</w:t>
            </w: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16.96</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9.20</w:t>
            </w: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8.56</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0.23</w:t>
            </w: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23.58</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1.66</w:t>
            </w: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51.57</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0.13</w:t>
            </w: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21.57</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15.93</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14.06</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0.01</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 xml:space="preserve"> 对民间非营利组织和群众性自治组织补贴</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7.50</w:t>
            </w: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1.43</w:t>
            </w: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6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3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11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2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19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11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628.92</w:t>
            </w:r>
          </w:p>
        </w:tc>
        <w:tc>
          <w:tcPr>
            <w:tcW w:w="5025"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30.17</w:t>
            </w:r>
          </w:p>
        </w:tc>
      </w:tr>
    </w:tbl>
    <w:p>
      <w:r>
        <w:br w:type="page"/>
      </w:r>
    </w:p>
    <w:tbl>
      <w:tblPr>
        <w:tblStyle w:val="8"/>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0" w:type="auto"/>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部门：保定市满城区发展和改革局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12.85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10.00</w:t>
            </w:r>
          </w:p>
        </w:tc>
        <w:tc>
          <w:tcPr>
            <w:tcW w:w="0" w:type="auto"/>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0.35</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9.31</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1.68</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7.50</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7.50</w:t>
            </w:r>
          </w:p>
        </w:tc>
        <w:tc>
          <w:tcPr>
            <w:tcW w:w="0" w:type="auto"/>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0.13</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8"/>
        <w:tblW w:w="9122" w:type="dxa"/>
        <w:jc w:val="center"/>
        <w:tblLayout w:type="fixed"/>
        <w:tblCellMar>
          <w:top w:w="0" w:type="dxa"/>
          <w:left w:w="0" w:type="dxa"/>
          <w:bottom w:w="0" w:type="dxa"/>
          <w:right w:w="0" w:type="dxa"/>
        </w:tblCellMar>
      </w:tblPr>
      <w:tblGrid>
        <w:gridCol w:w="703"/>
        <w:gridCol w:w="50"/>
        <w:gridCol w:w="50"/>
        <w:gridCol w:w="3758"/>
        <w:gridCol w:w="851"/>
        <w:gridCol w:w="992"/>
        <w:gridCol w:w="709"/>
        <w:gridCol w:w="611"/>
        <w:gridCol w:w="714"/>
        <w:gridCol w:w="684"/>
      </w:tblGrid>
      <w:tr>
        <w:tblPrEx>
          <w:tblCellMar>
            <w:top w:w="0" w:type="dxa"/>
            <w:left w:w="0" w:type="dxa"/>
            <w:bottom w:w="0" w:type="dxa"/>
            <w:right w:w="0" w:type="dxa"/>
          </w:tblCellMar>
        </w:tblPrEx>
        <w:trPr>
          <w:trHeight w:val="780" w:hRule="atLeast"/>
          <w:jc w:val="center"/>
        </w:trPr>
        <w:tc>
          <w:tcPr>
            <w:tcW w:w="9122"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7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9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703"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9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456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5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9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20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68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80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75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61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7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6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0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5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0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5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456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456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5604.95</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5604.95</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5604.95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8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w:t>
            </w:r>
          </w:p>
        </w:tc>
        <w:tc>
          <w:tcPr>
            <w:tcW w:w="3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5604.95</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5604.95</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5604.95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21208</w:t>
            </w:r>
          </w:p>
        </w:tc>
        <w:tc>
          <w:tcPr>
            <w:tcW w:w="3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国有土地使用权出让收入及对应专项债务收放安排的支出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5604.95</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5604.95</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5604.95</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2120809</w:t>
            </w:r>
          </w:p>
        </w:tc>
        <w:tc>
          <w:tcPr>
            <w:tcW w:w="3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支付破产或改制企业职工安置费</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1018.21</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1018.21</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1018.21</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2120899</w:t>
            </w:r>
          </w:p>
        </w:tc>
        <w:tc>
          <w:tcPr>
            <w:tcW w:w="3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其他国有土地使用权出让收入安排的支出</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4586.74</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4586.74</w:t>
            </w: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4586.74</w:t>
            </w: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注：本表反映部门本年度政府性基金预算拨款收入、支出及结转和结余情况。</w:t>
      </w:r>
      <w:r>
        <w:br w:type="page"/>
      </w:r>
    </w:p>
    <w:tbl>
      <w:tblPr>
        <w:tblStyle w:val="8"/>
        <w:tblW w:w="9915" w:type="dxa"/>
        <w:jc w:val="center"/>
        <w:tblLayout w:type="autofit"/>
        <w:tblCellMar>
          <w:top w:w="0" w:type="dxa"/>
          <w:left w:w="0" w:type="dxa"/>
          <w:bottom w:w="0" w:type="dxa"/>
          <w:right w:w="0" w:type="dxa"/>
        </w:tblCellMar>
      </w:tblPr>
      <w:tblGrid>
        <w:gridCol w:w="1287"/>
        <w:gridCol w:w="74"/>
        <w:gridCol w:w="74"/>
        <w:gridCol w:w="3795"/>
        <w:gridCol w:w="968"/>
        <w:gridCol w:w="1859"/>
        <w:gridCol w:w="1858"/>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0.00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right="110"/>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right="220"/>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注：本部门本年度无国有资本经营预算财政拨付支出，</w:t>
      </w:r>
      <w:r>
        <w:rPr>
          <w:rFonts w:hint="eastAsia"/>
          <w:lang w:val="en-US" w:eastAsia="zh-CN"/>
        </w:rPr>
        <w:t>按要求</w:t>
      </w:r>
      <w:r>
        <w:rPr>
          <w:rFonts w:hint="eastAsia"/>
        </w:rPr>
        <w:t>空表列示。</w:t>
      </w:r>
      <w:r>
        <w:br w:type="page"/>
      </w:r>
    </w:p>
    <w:p>
      <w:r>
        <mc:AlternateContent>
          <mc:Choice Requires="wps">
            <w:drawing>
              <wp:anchor distT="0" distB="0" distL="114300" distR="114300" simplePos="0" relativeHeight="251670528" behindDoc="0" locked="0" layoutInCell="1" allowOverlap="1">
                <wp:simplePos x="0" y="0"/>
                <wp:positionH relativeFrom="column">
                  <wp:posOffset>-895350</wp:posOffset>
                </wp:positionH>
                <wp:positionV relativeFrom="paragraph">
                  <wp:posOffset>-1082675</wp:posOffset>
                </wp:positionV>
                <wp:extent cx="7557770" cy="10682605"/>
                <wp:effectExtent l="0" t="0" r="1270" b="63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052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gm8tf3QAAAA8BAAAPAAAAAAAA&#10;AAEAIAAAACIAAABkcnMvZG93bnJldi54bWxQSwECFAAUAAAACACHTuJAVzmx2H8CAADoBAAADgAA&#10;AAAAAAABACAAAAAsAQAAZHJzL2Uyb0RvYy54bWxQSwUGAAAAAAYABgBZAQAAHQYAAAAA&#10;">
                <v:fill on="t" focussize="0,0"/>
                <v:stroke on="f" weight="1pt" miterlimit="8" joinstyle="miter"/>
                <v:imagedata o:title=""/>
                <o:lock v:ext="edit" aspectratio="f"/>
              </v:rect>
            </w:pict>
          </mc:Fallback>
        </mc:AlternateContent>
      </w:r>
    </w:p>
    <w:sectPr>
      <w:headerReference r:id="rId22" w:type="first"/>
      <w:headerReference r:id="rId21" w:type="default"/>
      <w:footerReference r:id="rId23"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思源黑体 HW Bold">
    <w:altName w:val="黑体"/>
    <w:panose1 w:val="00000000000000000000"/>
    <w:charset w:val="86"/>
    <w:family w:val="swiss"/>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隶书">
    <w:altName w:val="微软雅黑"/>
    <w:panose1 w:val="02010509060101010101"/>
    <w:charset w:val="86"/>
    <w:family w:val="roman"/>
    <w:pitch w:val=""/>
    <w:sig w:usb0="00000000" w:usb1="00000000" w:usb2="00000000" w:usb3="00000000" w:csb0="00000000" w:csb1="00000000"/>
  </w:font>
  <w:font w:name="DengXian-Bold">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80768"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38"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a:effectLst/>
                    </wps:spPr>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- 19 -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2" o:spid="_x0000_s1026" o:spt="202" type="#_x0000_t202" style="position:absolute;left:0pt;margin-left:209.65pt;margin-top:-12.95pt;height:14.3pt;width:30.6pt;mso-position-horizontal-relative:margin;z-index:251680768;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UcT/ZAAAACQEAAA8AAAAAAAAAAQAgAAAAIgAAAGRy&#10;cy9kb3ducmV2LnhtbFBLAQIUABQAAAAIAIdO4kA5dpITPQIAAHAEAAAOAAAAAAAAAAEAIAAAACgB&#10;AABkcnMvZTJvRG9jLnhtbFBLBQYAAAAABgAGAFkBAADXBQAAAAA=&#10;">
              <v:fill on="f" focussize="0,0"/>
              <v:stroke on="f" weight="0.5pt"/>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- 19 -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81792"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41"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a:effectLst/>
                    </wps:spPr>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- 10 -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3" o:spid="_x0000_s1026" o:spt="202" type="#_x0000_t202" style="position:absolute;left:0pt;margin-left:206.55pt;margin-top:-22.45pt;height:35.15pt;width:34pt;mso-position-horizontal-relative:margin;z-index:251681792;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F1c372QAAAAoBAAAPAAAAAAAAAAEAIAAAACIAAABk&#10;cnMvZG93bnJldi54bWxQSwECFAAUAAAACACHTuJAG3bSWj4CAABwBAAADgAAAAAAAAABACAAAAAo&#10;AQAAZHJzL2Uyb0RvYy54bWxQSwUGAAAAAAYABgBZAQAA2AUAAAAA&#10;">
              <v:fill on="f" focussize="0,0"/>
              <v:stroke on="f" weight="0.5pt"/>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- 10 -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8281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2"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a:effectLst/>
                    </wps:spPr>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- 23 -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文本框 5" o:spid="_x0000_s1026" o:spt="202" type="#_x0000_t202" style="position:absolute;left:0pt;margin-left:209.15pt;margin-top:-6pt;height:18.7pt;width:144pt;mso-position-horizontal-relative:margin;mso-wrap-style:none;z-index:25168281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33f3PZAAAACgEAAA8AAAAAAAAAAQAgAAAAIgAAAGRy&#10;cy9kb3ducmV2LnhtbFBLAQIUABQAAAAIAIdO4kDzBZJVPQIAAG8EAAAOAAAAAAAAAAEAIAAAACgB&#10;AABkcnMvZTJvRG9jLnhtbFBLBQYAAAAABgAGAFkBAADXBQ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83840"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43"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a:effectLst/>
                    </wps:spPr>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- 20 -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14" o:spid="_x0000_s1026" o:spt="202" type="#_x0000_t202" style="position:absolute;left:0pt;margin-left:205.45pt;margin-top:-18.75pt;height:31.45pt;width:30.15pt;mso-position-horizontal-relative:margin;z-index:251683840;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uKWjNoAAAAKAQAADwAAAAAAAAABACAAAAAi&#10;AAAAZHJzL2Rvd25yZXYueG1sUEsBAhQAFAAAAAgAh07iQC8RE2tBAgAAcQQAAA4AAAAAAAAAAQAg&#10;AAAAKQEAAGRycy9lMm9Eb2MueG1sUEsFBgAAAAAGAAYAWQEAANwFA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- 20 -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86912"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1"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a:effectLst/>
                    </wps:spPr>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- 36 -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文本框 45" o:spid="_x0000_s1026" o:spt="202" type="#_x0000_t202" style="position:absolute;left:0pt;margin-left:209.15pt;margin-top:-6pt;height:18.7pt;width:144pt;mso-position-horizontal-relative:margin;mso-wrap-style:none;z-index:25168691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&#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33f3PZAAAACgEAAA8AAAAAAAAAAQAgAAAAIgAAAGRy&#10;cy9kb3ducmV2LnhtbFBLAQIUABQAAAAIAIdO4kB7qSIjPQIAAHAEAAAOAAAAAAAAAAEAIAAAACgB&#10;AABkcnMvZTJvRG9jLnhtbFBLBQYAAAAABgAGAFkBAADXBQ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- 36 -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7456"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52"/>
              <wp:cNvGraphicFramePr/>
              <a:graphic xmlns:a="http://schemas.openxmlformats.org/drawingml/2006/main">
                <a:graphicData uri="http://schemas.microsoft.com/office/word/2010/wordprocessingGroup">
                  <wpg:wgp>
                    <wpg:cNvGrpSpPr/>
                    <wpg:grpSpPr>
                      <a:xfrm>
                        <a:off x="0" y="0"/>
                        <a:ext cx="2000250" cy="406400"/>
                        <a:chOff x="1337" y="880"/>
                        <a:chExt cx="3150" cy="640"/>
                      </a:xfrm>
                      <a:effectLst/>
                    </wpg:grpSpPr>
                    <wps:wsp>
                      <wps:cNvPr id="77"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52" o:spid="_x0000_s1026" o:spt="203" style="position:absolute;left:0pt;margin-top:29.75pt;height:32pt;width:157.5pt;mso-position-horizontal:left;mso-position-horizontal-relative:page;mso-position-vertical-relative:page;z-index:25166745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OzG97nXAAAABwEAAA8AAAAAAAAAAQAgAAAAIgAAAGRycy9kb3ducmV2Lnht&#10;bFBLAQIUABQAAAAIAIdO4kBi7gJ3UAMAAK0IAAAOAAAAAAAAAAEAIAAAACYBAABkcnMvZTJvRG9j&#10;LnhtbFBLBQYAAAAABgAGAFkBAADo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0</wp:posOffset>
              </wp:positionV>
              <wp:extent cx="7575550" cy="748665"/>
              <wp:effectExtent l="0" t="0" r="0" b="0"/>
              <wp:wrapNone/>
              <wp:docPr id="18" name="组合 48"/>
              <wp:cNvGraphicFramePr/>
              <a:graphic xmlns:a="http://schemas.openxmlformats.org/drawingml/2006/main">
                <a:graphicData uri="http://schemas.microsoft.com/office/word/2010/wordprocessingGroup">
                  <wpg:wgp>
                    <wpg:cNvGrpSpPr/>
                    <wpg:grpSpPr>
                      <a:xfrm>
                        <a:off x="0" y="0"/>
                        <a:ext cx="7575550" cy="748665"/>
                        <a:chOff x="881" y="505"/>
                        <a:chExt cx="11930" cy="1179203"/>
                      </a:xfrm>
                    </wpg:grpSpPr>
                    <wps:wsp>
                      <wps:cNvPr id="14" name="矩形 2"/>
                      <wps:cNvSpPr/>
                      <wps:spPr>
                        <a:xfrm>
                          <a:off x="881" y="1538"/>
                          <a:ext cx="11925" cy="146"/>
                        </a:xfrm>
                        <a:prstGeom prst="rect">
                          <a:avLst/>
                        </a:prstGeom>
                        <a:solidFill>
                          <a:srgbClr val="8DC182"/>
                        </a:solidFill>
                        <a:ln w="12700">
                          <a:noFill/>
                        </a:ln>
                      </wps:spPr>
                      <wps:bodyPr anchor="ctr" upright="1"/>
                    </wps:wsp>
                    <wps:wsp>
                      <wps:cNvPr id="16"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17"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8DC182"/>
                        </a:solidFill>
                        <a:ln w="12700">
                          <a:noFill/>
                        </a:ln>
                      </wps:spPr>
                      <wps:bodyPr anchor="ctr" upright="1"/>
                    </wps:wsp>
                  </wpg:wgp>
                </a:graphicData>
              </a:graphic>
              <wp14:sizeRelH relativeFrom="page">
                <wp14:pctWidth>100000</wp14:pctWidth>
              </wp14:sizeRelH>
              <wp14:sizeRelV relativeFrom="page">
                <wp14:pctHeight>0</wp14:pctHeight>
              </wp14:sizeRelV>
            </wp:anchor>
          </w:drawing>
        </mc:Choice>
        <mc:Fallback>
          <w:pict>
            <v:group id="组合 48" o:spid="_x0000_s1026" o:spt="203" style="position:absolute;left:0pt;margin-left:0pt;margin-top:0pt;height:58.95pt;width:596.5pt;mso-position-horizontal-relative:page;mso-position-vertical-relative:page;z-index:251666432;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C+U0b31QAAAAYBAAAPAAAAAAAAAAEAIAAAACIAAABkcnMvZG93bnJldi54bWxQSwECFAAUAAAA&#10;CACHTuJAxVDDJrkDAADSDAAADgAAAAAAAAABACAAAAAkAQAAZHJzL2Uyb0RvYy54bWxQSwUGAAAA&#10;AAYABgBZAQAATwcAAAAA&#10;">
              <o:lock v:ext="edit" aspectratio="f"/>
              <v:rect id="矩形 2" o:spid="_x0000_s1026" o:spt="1" style="position:absolute;left:881;top:1538;height:146;width:11925;v-text-anchor:middle;" fillcolor="#8DC182" filled="t" stroked="f" coordsize="21600,21600" o:gfxdata="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GyjbsAAADb&#10;AAAADwAAAAAAAAABACAAAAAiAAAAZHJzL2Rvd25yZXYueG1sUEsBAhQAFAAAAAgAh07iQDMvBZ47&#10;AAAAOQAAABAAAAAAAAAAAQAgAAAACgEAAGRycy9zaGFwZXhtbC54bWxQSwUGAAAAAAYABgBbAQAA&#10;tAM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OPZvRrkAAADb&#10;AAAADwAAAGRycy9kb3ducmV2LnhtbEVPy6rCMBDdC/5DmAvubFoXItXo4l6uiLjwBW6HZmyLzaQk&#10;sda/N4Lgbg7nOYtVbxrRkfO1ZQVZkoIgLqyuuVRwPv2PZyB8QNbYWCYFT/KwWg4HC8y1ffCBumMo&#10;RQxhn6OCKoQ2l9IXFRn0iW2JI3e1zmCI0JVSO3zEcNPISZpOpcGaY0OFLf1WVNyOd6Pg3v3tt4fN&#10;LLvsdv36ebs4fyKn1OgnS+cgAvXhK/64NzrOn8L7l3i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2b0a5AAAA2wAA&#10;AA8AAAAAAAAAAQAgAAAAIgAAAGRycy9kb3ducmV2LnhtbFBLAQIUABQAAAAIAIdO4kAzLwWeOwAA&#10;ADkAAAAQAAAAAAAAAAEAIAAAAAgBAABkcnMvc2hhcGV4bWwueG1sUEsFBgAAAAAGAAYAWwEAALID&#10;A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8DC182" filled="t" stroked="f" coordsize="2619,1265" o:gfxdata="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ARb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87936" behindDoc="0" locked="0" layoutInCell="1" allowOverlap="1">
              <wp:simplePos x="0" y="0"/>
              <wp:positionH relativeFrom="page">
                <wp:posOffset>31750</wp:posOffset>
              </wp:positionH>
              <wp:positionV relativeFrom="page">
                <wp:posOffset>365125</wp:posOffset>
              </wp:positionV>
              <wp:extent cx="7553960" cy="447675"/>
              <wp:effectExtent l="0" t="0" r="0" b="0"/>
              <wp:wrapNone/>
              <wp:docPr id="55" name="组合 5"/>
              <wp:cNvGraphicFramePr/>
              <a:graphic xmlns:a="http://schemas.openxmlformats.org/drawingml/2006/main">
                <a:graphicData uri="http://schemas.microsoft.com/office/word/2010/wordprocessingGroup">
                  <wpg:wgp>
                    <wpg:cNvGrpSpPr/>
                    <wpg:grpSpPr>
                      <a:xfrm>
                        <a:off x="0" y="0"/>
                        <a:ext cx="7553960" cy="447675"/>
                        <a:chOff x="881" y="505"/>
                        <a:chExt cx="11930" cy="1179203"/>
                      </a:xfrm>
                    </wpg:grpSpPr>
                    <wps:wsp>
                      <wps:cNvPr id="52" name="矩形 2"/>
                      <wps:cNvSpPr/>
                      <wps:spPr>
                        <a:xfrm>
                          <a:off x="881" y="1538"/>
                          <a:ext cx="11925" cy="146"/>
                        </a:xfrm>
                        <a:prstGeom prst="rect">
                          <a:avLst/>
                        </a:prstGeom>
                        <a:solidFill>
                          <a:srgbClr val="8DC182"/>
                        </a:solidFill>
                        <a:ln w="12700">
                          <a:noFill/>
                        </a:ln>
                      </wps:spPr>
                      <wps:bodyPr anchor="ctr" upright="1"/>
                    </wps:wsp>
                    <wps:wsp>
                      <wps:cNvPr id="53"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54"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8DC182"/>
                        </a:solidFill>
                        <a:ln w="12700">
                          <a:noFill/>
                        </a:ln>
                      </wps:spPr>
                      <wps:bodyPr anchor="ctr" upright="1"/>
                    </wps:wsp>
                  </wpg:wgp>
                </a:graphicData>
              </a:graphic>
            </wp:anchor>
          </w:drawing>
        </mc:Choice>
        <mc:Fallback>
          <w:pict>
            <v:group id="组合 5" o:spid="_x0000_s1026" o:spt="203" style="position:absolute;left:0pt;margin-left:2.5pt;margin-top:28.75pt;height:35.25pt;width:594.8pt;mso-position-horizontal-relative:page;mso-position-vertical-relative:page;z-index:251687936;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BE/KzX2gAAAAkBAAAPAAAAAAAAAAEAIAAAACIAAABkcnMvZG93bnJldi54bWxQSwECFAAU&#10;AAAACACHTuJA1uSPQLcDAADRDAAADgAAAAAAAAABACAAAAApAQAAZHJzL2Uyb0RvYy54bWxQSwUG&#10;AAAAAAYABgBZAQAAUgcAAAAA&#10;">
              <o:lock v:ext="edit" aspectratio="f"/>
              <v:rect id="矩形 2" o:spid="_x0000_s1026" o:spt="1" style="position:absolute;left:881;top:1538;height:146;width:11925;v-text-anchor:middle;" fillcolor="#8DC182" filled="t" stroked="f" coordsize="21600,21600" o:gfxdata="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eNqK/&#10;AAAA2wAAAA8AAAAAAAAAAQAgAAAAIgAAAGRycy9kb3ducmV2LnhtbFBLAQIUABQAAAAIAIdO4kAz&#10;LwWeOwAAADkAAAAQAAAAAAAAAAEAIAAAAA4BAABkcnMvc2hhcGV4bWwueG1sUEsFBgAAAAAGAAYA&#10;WwEAALgD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vut1HrwAAADb&#10;AAAADwAAAGRycy9kb3ducmV2LnhtbEWPQYvCMBSE78L+h/AW9qZpXRSpRg+7rIh40Cp4fTRv22Lz&#10;UpJY6783guBxmJlvmMWqN43oyPnasoJ0lIAgLqyuuVRwOv4NZyB8QNbYWCYFd/KwWn4MFphpe+MD&#10;dXkoRYSwz1BBFUKbSemLigz6kW2Jo/dvncEQpSuldniLcNPIcZJMpcGa40KFLf1UVFzyq1Fw7X73&#10;28Nmlp53u359v5ydP5JT6uszTeYgAvXhHX61N1rB5Bu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rdR68AAAA&#10;2wAAAA8AAAAAAAAAAQAgAAAAIgAAAGRycy9kb3ducmV2LnhtbFBLAQIUABQAAAAIAIdO4kAzLwWe&#10;OwAAADkAAAAQAAAAAAAAAAEAIAAAAAsBAABkcnMvc2hhcGV4bWwueG1sUEsFBgAAAAAGAAYAWwEA&#10;ALUDA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8DC182" filled="t" stroked="f" coordsize="2619,1265" o:gfxdata="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4Yge/&#10;AAAA2wAAAA8AAAAAAAAAAQAgAAAAIgAAAGRycy9kb3ducmV2LnhtbFBLAQIUABQAAAAIAIdO4kAz&#10;LwWeOwAAADkAAAAQAAAAAAAAAAEAIAAAAA4BAABkcnMvc2hhcGV4bWwueG1sUEsFBgAAAAAGAAYA&#10;WwEAALgDA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88960" behindDoc="0" locked="0" layoutInCell="1" allowOverlap="1">
              <wp:simplePos x="0" y="0"/>
              <wp:positionH relativeFrom="page">
                <wp:posOffset>0</wp:posOffset>
              </wp:positionH>
              <wp:positionV relativeFrom="page">
                <wp:posOffset>377825</wp:posOffset>
              </wp:positionV>
              <wp:extent cx="3556000" cy="406400"/>
              <wp:effectExtent l="0" t="0" r="0" b="0"/>
              <wp:wrapNone/>
              <wp:docPr id="5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a:effectLst/>
                    </wpg:grpSpPr>
                    <wps:wsp>
                      <wps:cNvPr id="57"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6" o:spid="_x0000_s1026" o:spt="203" style="position:absolute;left:0pt;margin-left:0pt;margin-top:29.75pt;height:32pt;width:280pt;mso-position-horizontal-relative:page;mso-position-vertical-relative:page;z-index:251688960;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x6bsHtcAAAAHAQAADwAAAAAAAAABACAAAAAiAAAAZHJzL2Rvd25yZXYueG1sUEsBAhQAFAAA&#10;AAgAh07iQG+dVqZGAwAArQgAAA4AAAAAAAAAAQAgAAAAJgEAAGRycy9lMm9Eb2MueG1sUEsFBgAA&#10;AAAGAAYAWQEAAN4GAAAAAA==&#10;">
              <o:lock v:ext="edit" aspectratio="f"/>
              <v:shape id="文本框 6" o:spid="_x0000_s1026" o:spt="202" type="#_x0000_t202" style="position:absolute;left:1401;top:880;height:641;width:3087;" filled="f" stroked="f" coordsize="21600,21600" o:gfxdata="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2g0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filled="t" stroked="f" coordsize="21600,21600" o:gfxdata="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Gjo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ge">
                <wp:posOffset>0</wp:posOffset>
              </wp:positionV>
              <wp:extent cx="7575550" cy="483235"/>
              <wp:effectExtent l="0" t="0" r="0" b="0"/>
              <wp:wrapNone/>
              <wp:docPr id="47" name="组合 12"/>
              <wp:cNvGraphicFramePr/>
              <a:graphic xmlns:a="http://schemas.openxmlformats.org/drawingml/2006/main">
                <a:graphicData uri="http://schemas.microsoft.com/office/word/2010/wordprocessingGroup">
                  <wpg:wgp>
                    <wpg:cNvGrpSpPr/>
                    <wpg:grpSpPr>
                      <a:xfrm>
                        <a:off x="0" y="0"/>
                        <a:ext cx="7575550" cy="483235"/>
                        <a:chOff x="881" y="505"/>
                        <a:chExt cx="11930" cy="1179203"/>
                      </a:xfrm>
                    </wpg:grpSpPr>
                    <wps:wsp>
                      <wps:cNvPr id="44" name="矩形 2"/>
                      <wps:cNvSpPr/>
                      <wps:spPr>
                        <a:xfrm>
                          <a:off x="881" y="1538"/>
                          <a:ext cx="11925" cy="146"/>
                        </a:xfrm>
                        <a:prstGeom prst="rect">
                          <a:avLst/>
                        </a:prstGeom>
                        <a:solidFill>
                          <a:srgbClr val="8DC182"/>
                        </a:solidFill>
                        <a:ln w="12700">
                          <a:noFill/>
                        </a:ln>
                      </wps:spPr>
                      <wps:bodyPr anchor="ctr" upright="1"/>
                    </wps:wsp>
                    <wps:wsp>
                      <wps:cNvPr id="45"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46"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8DC182"/>
                        </a:solidFill>
                        <a:ln w="12700">
                          <a:noFill/>
                        </a:ln>
                      </wps:spPr>
                      <wps:bodyPr anchor="ctr" upright="1"/>
                    </wps:wsp>
                  </wpg:wgp>
                </a:graphicData>
              </a:graphic>
              <wp14:sizeRelH relativeFrom="page">
                <wp14:pctWidth>100000</wp14:pctWidth>
              </wp14:sizeRelH>
              <wp14:sizeRelV relativeFrom="page">
                <wp14:pctHeight>0</wp14:pctHeight>
              </wp14:sizeRelV>
            </wp:anchor>
          </w:drawing>
        </mc:Choice>
        <mc:Fallback>
          <w:pict>
            <v:group id="组合 12" o:spid="_x0000_s1026" o:spt="203" style="position:absolute;left:0pt;margin-left:0pt;margin-top:0pt;height:38.05pt;width:596.5pt;mso-position-horizontal-relative:page;mso-position-vertical-relative:page;z-index:251684864;mso-width-relative:page;mso-height-relative:page;mso-width-percent:1000;" coordorigin="881,505" coordsize="11930,1179203" o:gfxdata="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Dophe+1QAAAAUBAAAPAAAAAAAAAAEAIAAAACIAAABkcnMvZG93bnJldi54bWxQSwECFAAUAAAA&#10;CACHTuJAIrQMqLkDAADSDAAADgAAAAAAAAABACAAAAAkAQAAZHJzL2Uyb0RvYy54bWxQSwUGAAAA&#10;AAYABgBZAQAATwcAAAAA&#10;">
              <o:lock v:ext="edit" aspectratio="f"/>
              <v:rect id="矩形 2" o:spid="_x0000_s1026" o:spt="1" style="position:absolute;left:881;top:1538;height:146;width:11925;v-text-anchor:middle;" fillcolor="#8DC182" filled="t" stroked="f" coordsize="21600,21600" o:gfxdata="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inZC/&#10;AAAA2wAAAA8AAAAAAAAAAQAgAAAAIgAAAGRycy9kb3ducmV2LnhtbFBLAQIUABQAAAAIAIdO4kAz&#10;LwWeOwAAADkAAAAQAAAAAAAAAAEAIAAAAA4BAABkcnMvc2hhcGV4bWwueG1sUEsFBgAAAAAGAAYA&#10;WwEAALgD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25feLLwAAADb&#10;AAAADwAAAGRycy9kb3ducmV2LnhtbEWPQYvCMBSE78L+h/AW9qZpZRWpRg+7rIh40Cp4fTRv22Lz&#10;UpJY6783guBxmJlvmMWqN43oyPnasoJ0lIAgLqyuuVRwOv4NZyB8QNbYWCYFd/KwWn4MFphpe+MD&#10;dXkoRYSwz1BBFUKbSemLigz6kW2Jo/dvncEQpSuldniLcNPIcZJMpcGa40KFLf1UVFzyq1Fw7X73&#10;28Nmlp53u359v5ydP5JT6uszTeYgAvXhHX61N1rB9w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X3iy8AAAA&#10;2wAAAA8AAAAAAAAAAQAgAAAAIgAAAGRycy9kb3ducmV2LnhtbFBLAQIUABQAAAAIAIdO4kAzLwWe&#10;OwAAADkAAAAQAAAAAAAAAAEAIAAAAAsBAABkcnMvc2hhcGV4bWwueG1sUEsFBgAAAAAGAAYAWwEA&#10;ALUDA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8DC182" filled="t" stroked="f" coordsize="2619,1265" o:gfxdata="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r/PNr4A&#10;AADbAAAADwAAAAAAAAABACAAAAAiAAAAZHJzL2Rvd25yZXYueG1sUEsBAhQAFAAAAAgAh07iQDMv&#10;BZ47AAAAOQAAABAAAAAAAAAAAQAgAAAADQEAAGRycy9zaGFwZXhtbC54bWxQSwUGAAAAAAYABgBb&#10;AQAAtwM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85888" behindDoc="0" locked="0" layoutInCell="1" allowOverlap="1">
              <wp:simplePos x="0" y="0"/>
              <wp:positionH relativeFrom="page">
                <wp:align>left</wp:align>
              </wp:positionH>
              <wp:positionV relativeFrom="page">
                <wp:posOffset>377825</wp:posOffset>
              </wp:positionV>
              <wp:extent cx="3228975" cy="406400"/>
              <wp:effectExtent l="0" t="0" r="0" b="0"/>
              <wp:wrapNone/>
              <wp:docPr id="48"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a:effectLst/>
                    </wpg:grpSpPr>
                    <wps:wsp>
                      <wps:cNvPr id="49"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6" o:spid="_x0000_s1026" o:spt="203" style="position:absolute;left:0pt;margin-top:29.75pt;height:32pt;width:254.25pt;mso-position-horizontal:left;mso-position-horizontal-relative:page;mso-position-vertical-relative:page;z-index:251685888;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DwgED7XAAAABwEAAA8AAAAAAAAAAQAgAAAAIgAAAGRycy9kb3ducmV2LnhtbFBLAQIU&#10;ABQAAAAIAIdO4kBqLVqZSgMAAK0IAAAOAAAAAAAAAAEAIAAAACY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filled="t" stroked="f" coordsize="21600,21600" o:gfxdata="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wgo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682625</wp:posOffset>
              </wp:positionV>
              <wp:extent cx="7553960" cy="400050"/>
              <wp:effectExtent l="0" t="0" r="0" b="0"/>
              <wp:wrapNone/>
              <wp:docPr id="37" name="组合 43"/>
              <wp:cNvGraphicFramePr/>
              <a:graphic xmlns:a="http://schemas.openxmlformats.org/drawingml/2006/main">
                <a:graphicData uri="http://schemas.microsoft.com/office/word/2010/wordprocessingGroup">
                  <wpg:wgp>
                    <wpg:cNvGrpSpPr/>
                    <wpg:grpSpPr>
                      <a:xfrm>
                        <a:off x="0" y="0"/>
                        <a:ext cx="7553960" cy="400050"/>
                        <a:chOff x="881" y="505"/>
                        <a:chExt cx="11930" cy="1179203"/>
                      </a:xfrm>
                    </wpg:grpSpPr>
                    <wps:wsp>
                      <wps:cNvPr id="33" name="矩形 2"/>
                      <wps:cNvSpPr/>
                      <wps:spPr>
                        <a:xfrm>
                          <a:off x="881" y="1538"/>
                          <a:ext cx="11925" cy="146"/>
                        </a:xfrm>
                        <a:prstGeom prst="rect">
                          <a:avLst/>
                        </a:prstGeom>
                        <a:solidFill>
                          <a:srgbClr val="8DC182"/>
                        </a:solidFill>
                        <a:ln w="12700">
                          <a:noFill/>
                        </a:ln>
                      </wps:spPr>
                      <wps:bodyPr anchor="ctr" upright="1"/>
                    </wps:wsp>
                    <wps:wsp>
                      <wps:cNvPr id="34"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35"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8DC182"/>
                        </a:solidFill>
                        <a:ln w="12700">
                          <a:noFill/>
                        </a:ln>
                      </wps:spPr>
                      <wps:bodyPr anchor="ctr" upright="1"/>
                    </wps:wsp>
                  </wpg:wgp>
                </a:graphicData>
              </a:graphic>
            </wp:anchor>
          </w:drawing>
        </mc:Choice>
        <mc:Fallback>
          <w:pict>
            <v:group id="组合 43" o:spid="_x0000_s1026" o:spt="203" style="position:absolute;left:0pt;margin-left:0pt;margin-top:53.75pt;height:31.5pt;width:594.8pt;mso-position-horizontal-relative:page;mso-position-vertical-relative:page;z-index:251678720;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CA2E43ZAAAACQEAAA8AAAAAAAAAAQAgAAAAIgAAAGRycy9kb3ducmV2&#10;LnhtbFBLAQIUABQAAAAIAIdO4kBHjDtfwwMAANIMAAAOAAAAAAAAAAEAIAAAACgBAABkcnMvZTJv&#10;RG9jLnhtbFBLBQYAAAAABgAGAFkBAABdBwAAAAA=&#10;">
              <o:lock v:ext="edit" aspectratio="f"/>
              <v:rect id="矩形 2" o:spid="_x0000_s1026" o:spt="1" style="position:absolute;left:881;top:1538;height:146;width:11925;v-text-anchor:middle;" fillcolor="#8DC182" filled="t" stroked="f" coordsize="21600,21600" o:gfxdata="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Ndpm/&#10;AAAA2wAAAA8AAAAAAAAAAQAgAAAAIgAAAGRycy9kb3ducmV2LnhtbFBLAQIUABQAAAAIAIdO4kAz&#10;LwWeOwAAADkAAAAQAAAAAAAAAAEAIAAAAA4BAABkcnMvc2hhcGV4bWwueG1sUEsFBgAAAAAGAAYA&#10;WwEAALgD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7N0IyrwAAADb&#10;AAAADwAAAGRycy9kb3ducmV2LnhtbEWPQYvCMBSE78L+h/AW9qZpXRGpRg+7rIh40Cp4fTRv22Lz&#10;UpJY6783guBxmJlvmMWqN43oyPnasoJ0lIAgLqyuuVRwOv4NZyB8QNbYWCYFd/KwWn4MFphpe+MD&#10;dXkoRYSwz1BBFUKbSemLigz6kW2Jo/dvncEQpSuldniLcNPIcZJMpcGa40KFLf1UVFzyq1Fw7X73&#10;28Nmlp53u359v5ydP5JT6uszTeYgAvXhHX61N1rB9w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dCMq8AAAA&#10;2wAAAA8AAAAAAAAAAQAgAAAAIgAAAGRycy9kb3ducmV2LnhtbFBLAQIUABQAAAAIAIdO4kAzLwWe&#10;OwAAADkAAAAQAAAAAAAAAAEAIAAAAAsBAABkcnMvc2hhcGV4bWwueG1sUEsFBgAAAAAGAAYAWwEA&#10;ALUDA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8DC182" filled="t" stroked="f" coordsize="2619,1265" o:gfxdata="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rIjy/&#10;AAAA2wAAAA8AAAAAAAAAAQAgAAAAIgAAAGRycy9kb3ducmV2LnhtbFBLAQIUABQAAAAIAIdO4kAz&#10;LwWeOwAAADkAAAAQAAAAAAAAAAEAIAAAAA4BAABkcnMvc2hhcGV4bWwueG1sUEsFBgAAAAAGAAYA&#10;WwEAALgDA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40"/>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238"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0" o:spid="_x0000_s1026" o:spt="203" style="position:absolute;left:0pt;margin-left:-2.15pt;margin-top:47.15pt;height:32pt;width:235.7pt;mso-position-horizontal-relative:page;mso-position-vertical-relative:page;z-index:25167974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0UuIkdkAAAAJAQAADwAAAAAAAAABACAAAAAiAAAAZHJzL2Rvd25yZXYueG1sUEsB&#10;AhQAFAAAAAgAh07iQMVMMvFKAwAAsAgAAA4AAAAAAAAAAQAgAAAAKAEAAGRycy9lMm9Eb2MueG1s&#10;UEsFBgAAAAAGAAYAWQEAAOQGA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2576" behindDoc="0" locked="0" layoutInCell="1" allowOverlap="1">
              <wp:simplePos x="0" y="0"/>
              <wp:positionH relativeFrom="page">
                <wp:posOffset>34925</wp:posOffset>
              </wp:positionH>
              <wp:positionV relativeFrom="page">
                <wp:posOffset>596265</wp:posOffset>
              </wp:positionV>
              <wp:extent cx="7579995" cy="416560"/>
              <wp:effectExtent l="0" t="0" r="0" b="0"/>
              <wp:wrapNone/>
              <wp:docPr id="22" name="组合 35"/>
              <wp:cNvGraphicFramePr/>
              <a:graphic xmlns:a="http://schemas.openxmlformats.org/drawingml/2006/main">
                <a:graphicData uri="http://schemas.microsoft.com/office/word/2010/wordprocessingGroup">
                  <wpg:wgp>
                    <wpg:cNvGrpSpPr/>
                    <wpg:grpSpPr>
                      <a:xfrm>
                        <a:off x="0" y="0"/>
                        <a:ext cx="7579995" cy="416560"/>
                        <a:chOff x="881" y="505"/>
                        <a:chExt cx="11971" cy="1179203"/>
                      </a:xfrm>
                    </wpg:grpSpPr>
                    <wps:wsp>
                      <wps:cNvPr id="19" name="矩形 2"/>
                      <wps:cNvSpPr/>
                      <wps:spPr>
                        <a:xfrm>
                          <a:off x="881" y="1538"/>
                          <a:ext cx="11925" cy="146"/>
                        </a:xfrm>
                        <a:prstGeom prst="rect">
                          <a:avLst/>
                        </a:prstGeom>
                        <a:solidFill>
                          <a:srgbClr val="8DC182"/>
                        </a:solidFill>
                        <a:ln w="12700">
                          <a:noFill/>
                        </a:ln>
                      </wps:spPr>
                      <wps:bodyPr anchor="ctr" upright="1"/>
                    </wps:wsp>
                    <wps:wsp>
                      <wps:cNvPr id="20"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21" name="任意多边形 4"/>
                      <wps:cNvSpPr/>
                      <wps:spPr>
                        <a:xfrm>
                          <a:off x="10467" y="505"/>
                          <a:ext cx="2385" cy="1107"/>
                        </a:xfrm>
                        <a:custGeom>
                          <a:avLst/>
                          <a:gdLst>
                            <a:gd name="A1" fmla="val 0"/>
                            <a:gd name="A2" fmla="val 0"/>
                            <a:gd name="A3" fmla="val 0"/>
                          </a:gdLst>
                          <a:ahLst/>
                          <a:cxnLst>
                            <a:cxn ang="0">
                              <a:pos x="608" y="0"/>
                            </a:cxn>
                            <a:cxn ang="0">
                              <a:pos x="2385" y="8"/>
                            </a:cxn>
                            <a:cxn ang="0">
                              <a:pos x="2385" y="1107"/>
                            </a:cxn>
                            <a:cxn ang="0">
                              <a:pos x="0" y="1107"/>
                            </a:cxn>
                            <a:cxn ang="0">
                              <a:pos x="608" y="0"/>
                            </a:cxn>
                          </a:cxnLst>
                          <a:pathLst>
                            <a:path w="2619" h="1265">
                              <a:moveTo>
                                <a:pt x="668" y="0"/>
                              </a:moveTo>
                              <a:lnTo>
                                <a:pt x="2619" y="10"/>
                              </a:lnTo>
                              <a:lnTo>
                                <a:pt x="2619" y="1265"/>
                              </a:lnTo>
                              <a:lnTo>
                                <a:pt x="0" y="1265"/>
                              </a:lnTo>
                              <a:lnTo>
                                <a:pt x="668" y="0"/>
                              </a:lnTo>
                              <a:close/>
                            </a:path>
                          </a:pathLst>
                        </a:custGeom>
                        <a:solidFill>
                          <a:srgbClr val="8DC182"/>
                        </a:solidFill>
                        <a:ln w="12700">
                          <a:noFill/>
                        </a:ln>
                      </wps:spPr>
                      <wps:bodyPr anchor="ctr" upright="1"/>
                    </wps:wsp>
                  </wpg:wgp>
                </a:graphicData>
              </a:graphic>
            </wp:anchor>
          </w:drawing>
        </mc:Choice>
        <mc:Fallback>
          <w:pict>
            <v:group id="组合 35" o:spid="_x0000_s1026" o:spt="203" style="position:absolute;left:0pt;margin-left:2.75pt;margin-top:46.95pt;height:32.8pt;width:596.85pt;mso-position-horizontal-relative:page;mso-position-vertical-relative:page;z-index:251672576;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">
              <o:lock v:ext="edit" aspectratio="f"/>
              <v:rect id="矩形 2" o:spid="_x0000_s1026" o:spt="1" style="position:absolute;left:881;top:1538;height:146;width:11925;v-text-anchor:middle;" fillcolor="#8DC182" filled="t" stroked="f" coordsize="21600,21600" o:gfxdata="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EB0TvQAA&#10;ANsAAAAPAAAAAAAAAAEAIAAAACIAAABkcnMvZG93bnJldi54bWxQSwECFAAUAAAACACHTuJAMy8F&#10;njsAAAA5AAAAEAAAAAAAAAABACAAAAAMAQAAZHJzL3NoYXBleG1sLnhtbFBLBQYAAAAABgAGAFsB&#10;AAC2Aw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Fj+YFLYAAADb&#10;AAAADwAAAGRycy9kb3ducmV2LnhtbEVPuwrCMBTdBf8hXMFN0zqIVKODoog4+ALXS3Nti81NSWKt&#10;f28GwfFw3otVZ2rRkvOVZQXpOAFBnFtdcaHgdt2OZiB8QNZYWyYFH/KwWvZ7C8y0ffOZ2ksoRAxh&#10;n6GCMoQmk9LnJRn0Y9sQR+5hncEQoSukdviO4aaWkySZSoMVx4YSG1qXlD8vL6Pg1W5Oh/N+lt6P&#10;x273ed6dv5JTajhIkzmIQF34i3/uvVYwievjl/gD5P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Y/mBS2AAAA2wAAAA8A&#10;AAAAAAAAAQAgAAAAIgAAAGRycy9kb3ducmV2LnhtbFBLAQIUABQAAAAIAIdO4kAzLwWeOwAAADkA&#10;AAAQAAAAAAAAAAEAIAAAAAUBAABkcnMvc2hhcGV4bWwueG1sUEsFBgAAAAAGAAYAWwEAAK8DAAAA&#10;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7;width:2385;v-text-anchor:middle;" fillcolor="#8DC182" filled="t" stroked="f" coordsize="2619,1265" o:gfxdata="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JsuK/&#10;AAAA2wAAAA8AAAAAAAAAAQAgAAAAIgAAAGRycy9kb3ducmV2LnhtbFBLAQIUABQAAAAIAIdO4kAz&#10;LwWeOwAAADkAAAAQAAAAAAAAAAEAIAAAAA4BAABkcnMvc2hhcGV4bWwueG1sUEsFBgAAAAAGAAYA&#10;WwEAALgDAAAAAA==&#10;" path="m668,0l2619,10,2619,1265,0,1265,668,0xe">
                <v:path o:connectlocs="608,0;2385,8;2385,1107;0,1107;60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73600"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32"/>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136"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32" o:spid="_x0000_s1026" o:spt="203" style="position:absolute;left:0pt;margin-left:1.95pt;margin-top:47.1pt;height:32pt;width:235.7pt;mso-position-horizontal-relative:page;mso-position-vertical-relative:page;z-index:251673600;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AAAAAZHJzL1BLAQIU&#10;ABQAAAAIAIdO4kALh2iJ2QAAAAgBAAAPAAAAAAAAAAEAIAAAACIAAABkcnMvZG93bnJldi54bWxQ&#10;SwECFAAUAAAACACHTuJAggO4lkwDAACwCAAADgAAAAAAAAABACAAAAAoAQAAZHJzL2Uyb0RvYy54&#10;bWxQSwUGAAAAAAYABgBZAQAA5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0</wp:posOffset>
              </wp:positionV>
              <wp:extent cx="7553960" cy="480695"/>
              <wp:effectExtent l="0" t="0" r="0" b="0"/>
              <wp:wrapNone/>
              <wp:docPr id="26" name="组合 20"/>
              <wp:cNvGraphicFramePr/>
              <a:graphic xmlns:a="http://schemas.openxmlformats.org/drawingml/2006/main">
                <a:graphicData uri="http://schemas.microsoft.com/office/word/2010/wordprocessingGroup">
                  <wpg:wgp>
                    <wpg:cNvGrpSpPr/>
                    <wpg:grpSpPr>
                      <a:xfrm>
                        <a:off x="0" y="0"/>
                        <a:ext cx="7553960" cy="480695"/>
                        <a:chOff x="881" y="505"/>
                        <a:chExt cx="11930" cy="1179203"/>
                      </a:xfrm>
                    </wpg:grpSpPr>
                    <wps:wsp>
                      <wps:cNvPr id="23" name="矩形 2"/>
                      <wps:cNvSpPr/>
                      <wps:spPr>
                        <a:xfrm>
                          <a:off x="881" y="1538"/>
                          <a:ext cx="11925" cy="146"/>
                        </a:xfrm>
                        <a:prstGeom prst="rect">
                          <a:avLst/>
                        </a:prstGeom>
                        <a:solidFill>
                          <a:srgbClr val="8DC182"/>
                        </a:solidFill>
                        <a:ln w="12700">
                          <a:noFill/>
                        </a:ln>
                      </wps:spPr>
                      <wps:bodyPr anchor="ctr" upright="1"/>
                    </wps:wsp>
                    <wps:wsp>
                      <wps:cNvPr id="24"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25"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8DC182"/>
                        </a:solidFill>
                        <a:ln w="12700">
                          <a:noFill/>
                        </a:ln>
                      </wps:spPr>
                      <wps:bodyPr anchor="ctr" upright="1"/>
                    </wps:wsp>
                  </wpg:wgp>
                </a:graphicData>
              </a:graphic>
            </wp:anchor>
          </w:drawing>
        </mc:Choice>
        <mc:Fallback>
          <w:pict>
            <v:group id="组合 20" o:spid="_x0000_s1026" o:spt="203" style="position:absolute;left:0pt;margin-left:0pt;margin-top:0pt;height:37.85pt;width:594.8pt;mso-position-horizontal-relative:page;mso-position-vertical-relative:page;z-index:251674624;mso-width-relative:page;mso-height-relative:page;" coordorigin="881,505" coordsize="11930,1179203" o:gfxdata="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Behw7HXAAAABQEAAA8AAAAAAAAAAQAgAAAAIgAAAGRycy9kb3ducmV2LnhtbFBLAQIUABQA&#10;AAAIAIdO4kB7SVeBuQMAANIMAAAOAAAAAAAAAAEAIAAAACYBAABkcnMvZTJvRG9jLnhtbFBLBQYA&#10;AAAABgAGAFkBAABRBwAAAAA=&#10;">
              <o:lock v:ext="edit" aspectratio="f"/>
              <v:rect id="矩形 2" o:spid="_x0000_s1026" o:spt="1" style="position:absolute;left:881;top:1538;height:146;width:11925;v-text-anchor:middle;" fillcolor="#8DC182" filled="t" stroked="f" coordsize="21600,21600" o:gfxdata="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U4ES/&#10;AAAA2wAAAA8AAAAAAAAAAQAgAAAAIgAAAGRycy9kb3ducmV2LnhtbFBLAQIUABQAAAAIAIdO4kAz&#10;LwWeOwAAADkAAAAQAAAAAAAAAAEAIAAAAA4BAABkcnMvc2hhcGV4bWwueG1sUEsFBgAAAAAGAAYA&#10;WwEAALgD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aQSeF70AAADb&#10;AAAADwAAAGRycy9kb3ducmV2LnhtbEWPT4vCMBTE7wv7HcITvK1pRUS6ph6UFREP/lnw+miebWnz&#10;UpJY67c3wsIeh5n5DbNcDaYVPTlfW1aQThIQxIXVNZcKfi8/XwsQPiBrbC2Tgid5WOWfH0vMtH3w&#10;ifpzKEWEsM9QQRVCl0npi4oM+ontiKN3s85giNKVUjt8RLhp5TRJ5tJgzXGhwo7WFRXN+W4U3PvN&#10;cX/aLdLr4TBsn83V+Qs5pcajNPkGEWgI/+G/9k4rmM7g/SX+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J4X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8DC182" filled="t" stroked="f" coordsize="2619,1265" o:gfxdata="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OytOG/&#10;AAAA2wAAAA8AAAAAAAAAAQAgAAAAIgAAAGRycy9kb3ducmV2LnhtbFBLAQIUABQAAAAIAIdO4kAz&#10;LwWeOwAAADkAAAAQAAAAAAAAAAEAIAAAAA4BAABkcnMvc2hhcGV4bWwueG1sUEsFBgAAAAAGAAYA&#10;WwEAALgDA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7564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7"/>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181"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7" o:spid="_x0000_s1026" o:spt="203" style="position:absolute;left:0pt;margin-left:-2.15pt;margin-top:47.15pt;height:32pt;width:235.7pt;mso-position-horizontal-relative:page;mso-position-vertical-relative:page;z-index:25167564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RS4iR2QAAAAkBAAAPAAAAAAAAAAEAIAAAACIAAABkcnMvZG93bnJldi54bWxQSwECFAAU&#10;AAAACACHTuJA90+gv0YDAACwCAAADgAAAAAAAAABACAAAAAo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7696"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29"/>
              <wp:cNvGraphicFramePr/>
              <a:graphic xmlns:a="http://schemas.openxmlformats.org/drawingml/2006/main">
                <a:graphicData uri="http://schemas.microsoft.com/office/word/2010/wordprocessingGroup">
                  <wpg:wgp>
                    <wpg:cNvGrpSpPr/>
                    <wpg:grpSpPr>
                      <a:xfrm>
                        <a:off x="0" y="0"/>
                        <a:ext cx="2000250" cy="406400"/>
                        <a:chOff x="1337" y="880"/>
                        <a:chExt cx="3150" cy="640"/>
                      </a:xfrm>
                      <a:effectLst/>
                    </wpg:grpSpPr>
                    <wps:wsp>
                      <wps:cNvPr id="190"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29" o:spid="_x0000_s1026" o:spt="203" style="position:absolute;left:0pt;margin-top:29.75pt;height:32pt;width:157.5pt;mso-position-horizontal:left;mso-position-horizontal-relative:page;mso-position-vertical-relative:page;z-index:25167769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7Mb3udcAAAAHAQAADwAAAAAAAAABACAAAAAiAAAAZHJzL2Rvd25yZXYu&#10;eG1sUEsBAhQAFAAAAAgAh07iQMDaZ95SAwAAsAgAAA4AAAAAAAAAAQAgAAAAJgEAAGRycy9lMm9E&#10;b2MueG1sUEsFBgAAAAAGAAYAWQEAAOoGA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7575550" cy="748665"/>
              <wp:effectExtent l="0" t="0" r="0" b="0"/>
              <wp:wrapNone/>
              <wp:docPr id="32" name="组合 25"/>
              <wp:cNvGraphicFramePr/>
              <a:graphic xmlns:a="http://schemas.openxmlformats.org/drawingml/2006/main">
                <a:graphicData uri="http://schemas.microsoft.com/office/word/2010/wordprocessingGroup">
                  <wpg:wgp>
                    <wpg:cNvGrpSpPr/>
                    <wpg:grpSpPr>
                      <a:xfrm>
                        <a:off x="0" y="0"/>
                        <a:ext cx="7575550" cy="748665"/>
                        <a:chOff x="881" y="505"/>
                        <a:chExt cx="11930" cy="1179203"/>
                      </a:xfrm>
                    </wpg:grpSpPr>
                    <wps:wsp>
                      <wps:cNvPr id="27" name="矩形 2"/>
                      <wps:cNvSpPr/>
                      <wps:spPr>
                        <a:xfrm>
                          <a:off x="881" y="1538"/>
                          <a:ext cx="11925" cy="146"/>
                        </a:xfrm>
                        <a:prstGeom prst="rect">
                          <a:avLst/>
                        </a:prstGeom>
                        <a:solidFill>
                          <a:srgbClr val="8DC182"/>
                        </a:solidFill>
                        <a:ln w="12700">
                          <a:noFill/>
                        </a:ln>
                      </wps:spPr>
                      <wps:bodyPr anchor="ctr" upright="1"/>
                    </wps:wsp>
                    <wps:wsp>
                      <wps:cNvPr id="28"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29"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8DC182"/>
                        </a:solidFill>
                        <a:ln w="12700">
                          <a:noFill/>
                        </a:ln>
                      </wps:spPr>
                      <wps:bodyPr anchor="ctr" upright="1"/>
                    </wps:wsp>
                  </wpg:wgp>
                </a:graphicData>
              </a:graphic>
              <wp14:sizeRelH relativeFrom="page">
                <wp14:pctWidth>100000</wp14:pctWidth>
              </wp14:sizeRelH>
              <wp14:sizeRelV relativeFrom="page">
                <wp14:pctHeight>0</wp14:pctHeight>
              </wp14:sizeRelV>
            </wp:anchor>
          </w:drawing>
        </mc:Choice>
        <mc:Fallback>
          <w:pict>
            <v:group id="组合 25" o:spid="_x0000_s1026" o:spt="203" style="position:absolute;left:0pt;margin-left:0pt;margin-top:0pt;height:58.95pt;width:596.5pt;mso-position-horizontal-relative:page;mso-position-vertical-relative:page;z-index:251676672;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C+U0b31QAAAAYBAAAPAAAAAAAAAAEAIAAAACIAAABkcnMvZG93bnJldi54bWxQSwECFAAU&#10;AAAACACHTuJASx8VybwDAADSDAAADgAAAAAAAAABACAAAAAkAQAAZHJzL2Uyb0RvYy54bWxQSwUG&#10;AAAAAAYABgBZAQAAUgcAAAAA&#10;">
              <o:lock v:ext="edit" aspectratio="f"/>
              <v:rect id="矩形 2" o:spid="_x0000_s1026" o:spt="1" style="position:absolute;left:881;top:1538;height:146;width:11925;v-text-anchor:middle;" fillcolor="#8DC182" filled="t" stroked="f" coordsize="21600,21600" o:gfxdata="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v5ke/&#10;AAAA2wAAAA8AAAAAAAAAAQAgAAAAIgAAAGRycy9kb3ducmV2LnhtbFBLAQIUABQAAAAIAIdO4kAz&#10;LwWeOwAAADkAAAAQAAAAAAAAAAEAIAAAAA4BAABkcnMvc2hhcGV4bWwueG1sUEsFBgAAAAAGAAYA&#10;WwEAALgD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6EmUErYAAADb&#10;AAAADwAAAGRycy9kb3ducmV2LnhtbEVPuwrCMBTdBf8hXMFN0zqIVKODoog4+ALXS3Nti81NSWKt&#10;f28GwfFw3otVZ2rRkvOVZQXpOAFBnFtdcaHgdt2OZiB8QNZYWyYFH/KwWvZ7C8y0ffOZ2ksoRAxh&#10;n6GCMoQmk9LnJRn0Y9sQR+5hncEQoSukdviO4aaWkySZSoMVx4YSG1qXlD8vL6Pg1W5Oh/N+lt6P&#10;x273ed6dv5JTajhIkzmIQF34i3/uvVYwiWPjl/gD5P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hJlBK2AAAA2wAAAA8A&#10;AAAAAAAAAQAgAAAAIgAAAGRycy9kb3ducmV2LnhtbFBLAQIUABQAAAAIAIdO4kAzLwWeOwAAADkA&#10;AAAQAAAAAAAAAAEAIAAAAAUBAABkcnMvc2hhcGV4bWwueG1sUEsFBgAAAAAGAAYAWwEAAK8DAAAA&#10;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8DC182" filled="t" stroked="f" coordsize="2619,1265" o:gfxdata="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vuS/&#10;AAAA2wAAAA8AAAAAAAAAAQAgAAAAIgAAAGRycy9kb3ducmV2LnhtbFBLAQIUABQAAAAIAIdO4kAz&#10;LwWeOwAAADkAAAAQAAAAAAAAAAEAIAAAAA4BAABkcnMvc2hhcGV4bWwueG1sUEsFBgAAAAAGAAYA&#10;WwEAALgDAAAAAA==&#10;" path="m668,0l2619,10,2619,1265,0,1265,668,0xe">
                <v:path o:connectlocs="598,0;2345,8;2345,1108;0,1108;598,0" o:connectangles="0,0,0,0,0"/>
                <v:fill on="t" focussize="0,0"/>
                <v:stroke on="f" weight="1pt"/>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78C1413D"/>
    <w:multiLevelType w:val="singleLevel"/>
    <w:tmpl w:val="78C1413D"/>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NTVhNjM4NzlkMzdkMjBlM2U5NTBiN2YyZTIxZjUifQ=="/>
  </w:docVars>
  <w:rsids>
    <w:rsidRoot w:val="6AAF1C96"/>
    <w:rsid w:val="00013A60"/>
    <w:rsid w:val="00042854"/>
    <w:rsid w:val="00064438"/>
    <w:rsid w:val="0007063E"/>
    <w:rsid w:val="00073392"/>
    <w:rsid w:val="00073F4E"/>
    <w:rsid w:val="00086C89"/>
    <w:rsid w:val="000A39FB"/>
    <w:rsid w:val="000F63C5"/>
    <w:rsid w:val="00106FF4"/>
    <w:rsid w:val="00107B42"/>
    <w:rsid w:val="00117746"/>
    <w:rsid w:val="0016334F"/>
    <w:rsid w:val="00163F95"/>
    <w:rsid w:val="00180A9A"/>
    <w:rsid w:val="001829C0"/>
    <w:rsid w:val="00184809"/>
    <w:rsid w:val="00192112"/>
    <w:rsid w:val="00192ED4"/>
    <w:rsid w:val="001B0127"/>
    <w:rsid w:val="001C12D5"/>
    <w:rsid w:val="001C69F7"/>
    <w:rsid w:val="001D4DF8"/>
    <w:rsid w:val="001F2CF8"/>
    <w:rsid w:val="0025388B"/>
    <w:rsid w:val="002650EC"/>
    <w:rsid w:val="002A6C46"/>
    <w:rsid w:val="002C19B5"/>
    <w:rsid w:val="002D0516"/>
    <w:rsid w:val="002F793A"/>
    <w:rsid w:val="00330FE5"/>
    <w:rsid w:val="00355E58"/>
    <w:rsid w:val="00370449"/>
    <w:rsid w:val="003A42CF"/>
    <w:rsid w:val="003A4EE8"/>
    <w:rsid w:val="003A55CB"/>
    <w:rsid w:val="00433C25"/>
    <w:rsid w:val="00441915"/>
    <w:rsid w:val="00442CC2"/>
    <w:rsid w:val="00443531"/>
    <w:rsid w:val="00446244"/>
    <w:rsid w:val="00454B66"/>
    <w:rsid w:val="004650DE"/>
    <w:rsid w:val="00473C20"/>
    <w:rsid w:val="004D61CB"/>
    <w:rsid w:val="004E5483"/>
    <w:rsid w:val="005011D6"/>
    <w:rsid w:val="00503F2E"/>
    <w:rsid w:val="00510988"/>
    <w:rsid w:val="005125BB"/>
    <w:rsid w:val="00552226"/>
    <w:rsid w:val="00566120"/>
    <w:rsid w:val="00580A95"/>
    <w:rsid w:val="00582E6D"/>
    <w:rsid w:val="005861B9"/>
    <w:rsid w:val="005954D5"/>
    <w:rsid w:val="005A53FA"/>
    <w:rsid w:val="005B1A87"/>
    <w:rsid w:val="005B29FA"/>
    <w:rsid w:val="005B5959"/>
    <w:rsid w:val="005D1293"/>
    <w:rsid w:val="005D344A"/>
    <w:rsid w:val="00627F0B"/>
    <w:rsid w:val="00644D5F"/>
    <w:rsid w:val="0067164F"/>
    <w:rsid w:val="006727AD"/>
    <w:rsid w:val="00691425"/>
    <w:rsid w:val="006A516E"/>
    <w:rsid w:val="006A54D1"/>
    <w:rsid w:val="006B0830"/>
    <w:rsid w:val="006D1358"/>
    <w:rsid w:val="00711FA2"/>
    <w:rsid w:val="00716E2B"/>
    <w:rsid w:val="00753BF2"/>
    <w:rsid w:val="0076304F"/>
    <w:rsid w:val="00770F18"/>
    <w:rsid w:val="00773B74"/>
    <w:rsid w:val="0078290C"/>
    <w:rsid w:val="00786D2F"/>
    <w:rsid w:val="007C06CA"/>
    <w:rsid w:val="007E03F9"/>
    <w:rsid w:val="008056C8"/>
    <w:rsid w:val="008163FB"/>
    <w:rsid w:val="0082605B"/>
    <w:rsid w:val="00855C36"/>
    <w:rsid w:val="00857DBE"/>
    <w:rsid w:val="008701BC"/>
    <w:rsid w:val="00883D92"/>
    <w:rsid w:val="00891C13"/>
    <w:rsid w:val="0089519D"/>
    <w:rsid w:val="008A5362"/>
    <w:rsid w:val="008B3471"/>
    <w:rsid w:val="008B5DBE"/>
    <w:rsid w:val="008C01C4"/>
    <w:rsid w:val="008E2434"/>
    <w:rsid w:val="008F21F1"/>
    <w:rsid w:val="008F221B"/>
    <w:rsid w:val="008F5A2D"/>
    <w:rsid w:val="008F6645"/>
    <w:rsid w:val="00921602"/>
    <w:rsid w:val="00957EA1"/>
    <w:rsid w:val="0096415F"/>
    <w:rsid w:val="00966E5B"/>
    <w:rsid w:val="009B4EF0"/>
    <w:rsid w:val="009C147F"/>
    <w:rsid w:val="009D271F"/>
    <w:rsid w:val="009E428B"/>
    <w:rsid w:val="00A2072D"/>
    <w:rsid w:val="00A929C2"/>
    <w:rsid w:val="00A9509A"/>
    <w:rsid w:val="00AB0F5A"/>
    <w:rsid w:val="00AB2400"/>
    <w:rsid w:val="00AC635B"/>
    <w:rsid w:val="00AD097F"/>
    <w:rsid w:val="00AF6C90"/>
    <w:rsid w:val="00B0661E"/>
    <w:rsid w:val="00B06A46"/>
    <w:rsid w:val="00B23D44"/>
    <w:rsid w:val="00B379F7"/>
    <w:rsid w:val="00B4505B"/>
    <w:rsid w:val="00B844F4"/>
    <w:rsid w:val="00B9173B"/>
    <w:rsid w:val="00B954DE"/>
    <w:rsid w:val="00B963A0"/>
    <w:rsid w:val="00BA06A1"/>
    <w:rsid w:val="00BA770A"/>
    <w:rsid w:val="00BC3D4A"/>
    <w:rsid w:val="00BC3EA2"/>
    <w:rsid w:val="00BF1308"/>
    <w:rsid w:val="00C054DE"/>
    <w:rsid w:val="00C3253B"/>
    <w:rsid w:val="00C465F7"/>
    <w:rsid w:val="00C56CBB"/>
    <w:rsid w:val="00C64497"/>
    <w:rsid w:val="00C679A9"/>
    <w:rsid w:val="00C7541C"/>
    <w:rsid w:val="00CC0FAA"/>
    <w:rsid w:val="00CD0736"/>
    <w:rsid w:val="00CD30CD"/>
    <w:rsid w:val="00CE324F"/>
    <w:rsid w:val="00CE7D60"/>
    <w:rsid w:val="00D05E1B"/>
    <w:rsid w:val="00D1570F"/>
    <w:rsid w:val="00D174BC"/>
    <w:rsid w:val="00D32830"/>
    <w:rsid w:val="00D40493"/>
    <w:rsid w:val="00DB7153"/>
    <w:rsid w:val="00DB7F05"/>
    <w:rsid w:val="00DC6473"/>
    <w:rsid w:val="00DC6499"/>
    <w:rsid w:val="00E028C3"/>
    <w:rsid w:val="00E14F77"/>
    <w:rsid w:val="00E3076B"/>
    <w:rsid w:val="00E3343A"/>
    <w:rsid w:val="00E36978"/>
    <w:rsid w:val="00E37496"/>
    <w:rsid w:val="00E82A1E"/>
    <w:rsid w:val="00E93B8C"/>
    <w:rsid w:val="00EC06F4"/>
    <w:rsid w:val="00EC5567"/>
    <w:rsid w:val="00EE4E36"/>
    <w:rsid w:val="00F42816"/>
    <w:rsid w:val="00F5121C"/>
    <w:rsid w:val="00F665F4"/>
    <w:rsid w:val="00F76833"/>
    <w:rsid w:val="00FB2D65"/>
    <w:rsid w:val="00FD0B12"/>
    <w:rsid w:val="00FD225F"/>
    <w:rsid w:val="00FF13F4"/>
    <w:rsid w:val="0A6714E6"/>
    <w:rsid w:val="232F0F46"/>
    <w:rsid w:val="31C2036A"/>
    <w:rsid w:val="320D02A5"/>
    <w:rsid w:val="348E566F"/>
    <w:rsid w:val="39AF115D"/>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4F566D6"/>
    <w:rsid w:val="75681757"/>
    <w:rsid w:val="75A346A8"/>
    <w:rsid w:val="79B9382C"/>
    <w:rsid w:val="79C47E16"/>
    <w:rsid w:val="7B043B76"/>
    <w:rsid w:val="7C041A6A"/>
    <w:rsid w:val="7E3275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Date"/>
    <w:basedOn w:val="1"/>
    <w:next w:val="1"/>
    <w:link w:val="14"/>
    <w:semiHidden/>
    <w:unhideWhenUsed/>
    <w:uiPriority w:val="99"/>
    <w:pPr>
      <w:ind w:left="100" w:leftChars="2500"/>
    </w:pPr>
  </w:style>
  <w:style w:type="paragraph" w:styleId="5">
    <w:name w:val="Balloon Text"/>
    <w:basedOn w:val="1"/>
    <w:link w:val="15"/>
    <w:semiHidden/>
    <w:unhideWhenUsed/>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7"/>
    <w:qFormat/>
    <w:uiPriority w:val="99"/>
    <w:rPr>
      <w:rFonts w:asciiTheme="minorHAnsi" w:hAnsiTheme="minorHAnsi" w:eastAsiaTheme="minorEastAsia"/>
      <w:sz w:val="18"/>
      <w:szCs w:val="18"/>
    </w:rPr>
  </w:style>
  <w:style w:type="character" w:customStyle="1" w:styleId="12">
    <w:name w:val="页脚 Char"/>
    <w:basedOn w:val="10"/>
    <w:link w:val="6"/>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日期 Char"/>
    <w:basedOn w:val="10"/>
    <w:link w:val="4"/>
    <w:semiHidden/>
    <w:qFormat/>
    <w:uiPriority w:val="99"/>
    <w:rPr>
      <w:rFonts w:asciiTheme="minorHAnsi" w:hAnsiTheme="minorHAnsi" w:eastAsiaTheme="minorEastAsia" w:cstheme="minorBidi"/>
      <w:kern w:val="2"/>
      <w:sz w:val="21"/>
      <w:szCs w:val="22"/>
    </w:rPr>
  </w:style>
  <w:style w:type="character" w:customStyle="1" w:styleId="15">
    <w:name w:val="批注框文本 Char"/>
    <w:basedOn w:val="10"/>
    <w:link w:val="5"/>
    <w:semiHidden/>
    <w:qFormat/>
    <w:uiPriority w:val="99"/>
    <w:rPr>
      <w:rFonts w:asciiTheme="minorHAnsi" w:hAnsiTheme="minorHAnsi" w:eastAsiaTheme="minorEastAsia" w:cstheme="minorBidi"/>
      <w:kern w:val="2"/>
      <w:sz w:val="18"/>
      <w:szCs w:val="18"/>
    </w:rPr>
  </w:style>
  <w:style w:type="paragraph" w:styleId="16">
    <w:name w:val="List Paragraph"/>
    <w:basedOn w:val="1"/>
    <w:qFormat/>
    <w:uiPriority w:val="0"/>
    <w:pPr>
      <w:widowControl/>
      <w:adjustRightInd w:val="0"/>
      <w:snapToGrid w:val="0"/>
      <w:spacing w:after="200"/>
      <w:ind w:firstLine="420" w:firstLineChars="200"/>
      <w:jc w:val="left"/>
    </w:pPr>
    <w:rPr>
      <w:rFonts w:ascii="Tahoma" w:hAnsi="Tahoma" w:eastAsia="微软雅黑" w:cs="Times New Roman"/>
      <w:kern w:val="0"/>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chart" Target="charts/chart4.xml"/><Relationship Id="rId28" Type="http://schemas.openxmlformats.org/officeDocument/2006/relationships/chart" Target="charts/chart3.xml"/><Relationship Id="rId27" Type="http://schemas.openxmlformats.org/officeDocument/2006/relationships/chart" Target="charts/chart2.xml"/><Relationship Id="rId26" Type="http://schemas.openxmlformats.org/officeDocument/2006/relationships/chart" Target="charts/chart1.xml"/><Relationship Id="rId25" Type="http://schemas.openxmlformats.org/officeDocument/2006/relationships/image" Target="media/image1.bmp"/><Relationship Id="rId24" Type="http://schemas.openxmlformats.org/officeDocument/2006/relationships/theme" Target="theme/theme1.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1635687732342"/>
          <c:y val="0.0322407307898979"/>
        </c:manualLayout>
      </c:layout>
      <c:overlay val="0"/>
      <c:txPr>
        <a:bodyPr rot="0" spcFirstLastPara="0" vertOverflow="ellipsis" vert="horz" wrap="square" anchor="ctr" anchorCtr="1"/>
        <a:lstStyle/>
        <a:p>
          <a:pPr>
            <a:defRPr lang="zh-CN" sz="1800" b="1" i="0" u="none" strike="noStrike" kern="1200" baseline="0">
              <a:solidFill>
                <a:schemeClr val="tx1"/>
              </a:solidFill>
              <a:latin typeface="隶书" panose="02010509060101010101" pitchFamily="49" charset="-122"/>
              <a:ea typeface="隶书" panose="02010509060101010101" pitchFamily="49" charset="-122"/>
              <a:cs typeface="+mn-cs"/>
            </a:defRPr>
          </a:pPr>
        </a:p>
      </c:txPr>
    </c:title>
    <c:autoTitleDeleted val="0"/>
    <c:plotArea>
      <c:layout/>
      <c:pieChart>
        <c:varyColors val="1"/>
        <c:ser>
          <c:idx val="0"/>
          <c:order val="0"/>
          <c:tx>
            <c:strRef>
              <c:f>Sheet1!$B$1</c:f>
              <c:strCache>
                <c:ptCount val="1"/>
                <c:pt idx="0">
                  <c:v>本年支出</c:v>
                </c:pt>
              </c:strCache>
            </c:strRef>
          </c:tx>
          <c:spPr>
            <a:ln cmpd="dbl">
              <a:noFill/>
            </a:ln>
          </c:spPr>
          <c:explosion val="0"/>
          <c:dPt>
            <c:idx val="0"/>
            <c:bubble3D val="0"/>
            <c:spPr>
              <a:ln cmpd="dbl">
                <a:noFill/>
              </a:ln>
            </c:spPr>
          </c:dPt>
          <c:dPt>
            <c:idx val="1"/>
            <c:bubble3D val="0"/>
            <c:spPr>
              <a:ln cmpd="dbl">
                <a:noFill/>
              </a:ln>
            </c:spPr>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659.08</c:v>
                </c:pt>
                <c:pt idx="1">
                  <c:v>16782.78</c:v>
                </c:pt>
              </c:numCache>
            </c:numRef>
          </c:val>
        </c:ser>
        <c:dLbls>
          <c:showLegendKey val="0"/>
          <c:showVal val="1"/>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0" cap="flat" cmpd="sng" algn="ctr">
      <a:solidFill>
        <a:sysClr val="windowText" lastClr="000000">
          <a:tint val="75000"/>
        </a:sysClr>
      </a:solidFill>
      <a:prstDash val="solid"/>
      <a:round/>
    </a:ln>
    <a:effectLst>
      <a:outerShdw blurRad="50800" dist="50800" dir="5400000" algn="ctr" rotWithShape="0">
        <a:schemeClr val="bg1"/>
      </a:outerShdw>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Sheet1!$B$2:$B$5</c:f>
              <c:numCache>
                <c:formatCode>General</c:formatCode>
                <c:ptCount val="4"/>
                <c:pt idx="0">
                  <c:v>22084.54</c:v>
                </c:pt>
                <c:pt idx="1">
                  <c:v>19662.78</c:v>
                </c:pt>
                <c:pt idx="2">
                  <c:v>0</c:v>
                </c:pt>
                <c:pt idx="3">
                  <c:v>0</c:v>
                </c:pt>
              </c:numCache>
            </c:numRef>
          </c:val>
        </c:ser>
        <c:ser>
          <c:idx val="1"/>
          <c:order val="1"/>
          <c:tx>
            <c:strRef>
              <c:f>Sheet1!$C$1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Sheet1!$C$2:$C$5</c:f>
              <c:numCache>
                <c:formatCode>General</c:formatCode>
                <c:ptCount val="4"/>
                <c:pt idx="0">
                  <c:v>11610.29</c:v>
                </c:pt>
                <c:pt idx="1">
                  <c:v>11836.91</c:v>
                </c:pt>
                <c:pt idx="2">
                  <c:v>5604.95</c:v>
                </c:pt>
                <c:pt idx="3">
                  <c:v>5604.95</c:v>
                </c:pt>
              </c:numCache>
            </c:numRef>
          </c:val>
        </c:ser>
        <c:dLbls>
          <c:showLegendKey val="0"/>
          <c:showVal val="1"/>
          <c:showCatName val="0"/>
          <c:showSerName val="0"/>
          <c:showPercent val="0"/>
          <c:showBubbleSize val="0"/>
        </c:dLbls>
        <c:gapWidth val="150"/>
        <c:axId val="239878912"/>
        <c:axId val="239880832"/>
      </c:barChart>
      <c:catAx>
        <c:axId val="23987891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9880832"/>
        <c:crosses val="autoZero"/>
        <c:auto val="1"/>
        <c:lblAlgn val="ctr"/>
        <c:lblOffset val="100"/>
        <c:noMultiLvlLbl val="0"/>
      </c:catAx>
      <c:valAx>
        <c:axId val="2398808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9878912"/>
        <c:crosses val="autoZero"/>
        <c:crossBetween val="between"/>
      </c:valAx>
      <c:spPr>
        <a:ln>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年初预算</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本年收入</c:v>
                </c:pt>
                <c:pt idx="1">
                  <c:v>本年支出</c:v>
                </c:pt>
                <c:pt idx="2">
                  <c:v>一般公共预算收入</c:v>
                </c:pt>
                <c:pt idx="3">
                  <c:v>一般公共预算支出</c:v>
                </c:pt>
                <c:pt idx="4">
                  <c:v>政府性基金预算收入</c:v>
                </c:pt>
                <c:pt idx="5">
                  <c:v>政府性基金预算支出</c:v>
                </c:pt>
              </c:strCache>
            </c:strRef>
          </c:cat>
          <c:val>
            <c:numRef>
              <c:f>Sheet1!$B$2:$B$7</c:f>
              <c:numCache>
                <c:formatCode>General</c:formatCode>
                <c:ptCount val="6"/>
                <c:pt idx="0">
                  <c:v>10748.73</c:v>
                </c:pt>
                <c:pt idx="1">
                  <c:v>10748.73</c:v>
                </c:pt>
                <c:pt idx="2">
                  <c:v>10748.73</c:v>
                </c:pt>
                <c:pt idx="3">
                  <c:v>10748.73</c:v>
                </c:pt>
                <c:pt idx="4">
                  <c:v>0</c:v>
                </c:pt>
                <c:pt idx="5">
                  <c:v>0</c:v>
                </c:pt>
              </c:numCache>
            </c:numRef>
          </c:val>
        </c:ser>
        <c:ser>
          <c:idx val="1"/>
          <c:order val="1"/>
          <c:tx>
            <c:strRef>
              <c:f>Sheet1!$C$1</c:f>
              <c:strCache>
                <c:ptCount val="1"/>
                <c:pt idx="0">
                  <c:v>增加额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本年收入</c:v>
                </c:pt>
                <c:pt idx="1">
                  <c:v>本年支出</c:v>
                </c:pt>
                <c:pt idx="2">
                  <c:v>一般公共预算收入</c:v>
                </c:pt>
                <c:pt idx="3">
                  <c:v>一般公共预算支出</c:v>
                </c:pt>
                <c:pt idx="4">
                  <c:v>政府性基金预算收入</c:v>
                </c:pt>
                <c:pt idx="5">
                  <c:v>政府性基金预算支出</c:v>
                </c:pt>
              </c:strCache>
            </c:strRef>
          </c:cat>
          <c:val>
            <c:numRef>
              <c:f>Sheet1!$C$2:$C$7</c:f>
              <c:numCache>
                <c:formatCode>General</c:formatCode>
                <c:ptCount val="6"/>
                <c:pt idx="0">
                  <c:v>6466.51</c:v>
                </c:pt>
                <c:pt idx="1">
                  <c:v>6693.13</c:v>
                </c:pt>
                <c:pt idx="2">
                  <c:v>861.56</c:v>
                </c:pt>
                <c:pt idx="3">
                  <c:v>1088.18</c:v>
                </c:pt>
                <c:pt idx="4">
                  <c:v>5604.95</c:v>
                </c:pt>
                <c:pt idx="5">
                  <c:v>5604.95</c:v>
                </c:pt>
              </c:numCache>
            </c:numRef>
          </c:val>
        </c:ser>
        <c:dLbls>
          <c:showLegendKey val="0"/>
          <c:showVal val="1"/>
          <c:showCatName val="0"/>
          <c:showSerName val="0"/>
          <c:showPercent val="0"/>
          <c:showBubbleSize val="0"/>
        </c:dLbls>
        <c:gapWidth val="150"/>
        <c:overlap val="100"/>
        <c:axId val="242965504"/>
        <c:axId val="239772416"/>
      </c:barChart>
      <c:catAx>
        <c:axId val="2429655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9772416"/>
        <c:crosses val="autoZero"/>
        <c:auto val="1"/>
        <c:lblAlgn val="ctr"/>
        <c:lblOffset val="100"/>
        <c:noMultiLvlLbl val="0"/>
      </c:catAx>
      <c:valAx>
        <c:axId val="2397724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29655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2019 年度财政拨款支出</c:v>
                </c:pt>
              </c:strCache>
            </c:strRef>
          </c:tx>
          <c:explosion val="46"/>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Sheet1!$A$2:$A$10</c:f>
              <c:strCache>
                <c:ptCount val="9"/>
                <c:pt idx="0">
                  <c:v>一般公共服务支出</c:v>
                </c:pt>
                <c:pt idx="1">
                  <c:v>科学技术支出</c:v>
                </c:pt>
                <c:pt idx="2">
                  <c:v>社会保障和就业支出</c:v>
                </c:pt>
                <c:pt idx="3">
                  <c:v>卫生健康支出</c:v>
                </c:pt>
                <c:pt idx="4">
                  <c:v>节能环保支出</c:v>
                </c:pt>
                <c:pt idx="5">
                  <c:v>农林水支出</c:v>
                </c:pt>
                <c:pt idx="6">
                  <c:v>住房保障支出</c:v>
                </c:pt>
                <c:pt idx="7">
                  <c:v>粮油物资储备支出</c:v>
                </c:pt>
                <c:pt idx="8">
                  <c:v>城乡社区支出</c:v>
                </c:pt>
              </c:strCache>
            </c:strRef>
          </c:cat>
          <c:val>
            <c:numRef>
              <c:f>Sheet1!$B$2:$B$10</c:f>
              <c:numCache>
                <c:formatCode>General</c:formatCode>
                <c:ptCount val="9"/>
                <c:pt idx="0">
                  <c:v>553.24</c:v>
                </c:pt>
                <c:pt idx="1">
                  <c:v>40</c:v>
                </c:pt>
                <c:pt idx="2">
                  <c:v>57.84</c:v>
                </c:pt>
                <c:pt idx="3">
                  <c:v>16.96</c:v>
                </c:pt>
                <c:pt idx="4">
                  <c:v>10791.03</c:v>
                </c:pt>
                <c:pt idx="5">
                  <c:v>304.91</c:v>
                </c:pt>
                <c:pt idx="6">
                  <c:v>23.58</c:v>
                </c:pt>
                <c:pt idx="7">
                  <c:v>49.35</c:v>
                </c:pt>
                <c:pt idx="8">
                  <c:v>5604.95</c:v>
                </c:pt>
              </c:numCache>
            </c:numRef>
          </c:val>
        </c:ser>
        <c:dLbls>
          <c:showLegendKey val="0"/>
          <c:showVal val="0"/>
          <c:showCatName val="1"/>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视点">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8865A-1CD2-4AD0-9684-4635504A87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微软中国</Company>
  <Pages>39</Pages>
  <Words>10789</Words>
  <Characters>13855</Characters>
  <Lines>120</Lines>
  <Paragraphs>33</Paragraphs>
  <TotalTime>10</TotalTime>
  <ScaleCrop>false</ScaleCrop>
  <LinksUpToDate>false</LinksUpToDate>
  <CharactersWithSpaces>14134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2021-04-27T03:12:00Z</dcterms:created>
  <dc:creator>王明新TIAD</dc:creator>
  <cp:lastModifiedBy>Administrator</cp:lastModifiedBy>
  <cp:lastPrinted>2020-07-30T02:37:00Z</cp:lastPrinted>
  <dcterms:modified xsi:type="dcterms:W3CDTF">2023-06-05T02:46:37Z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00C243B897994AD4A59892D7485CFFA3</vt:lpwstr>
  </property>
</Properties>
</file>