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-1040130</wp:posOffset>
            </wp:positionH>
            <wp:positionV relativeFrom="page">
              <wp:posOffset>-45720</wp:posOffset>
            </wp:positionV>
            <wp:extent cx="8674100" cy="10755630"/>
            <wp:effectExtent l="0" t="0" r="12700" b="3810"/>
            <wp:wrapNone/>
            <wp:docPr id="5" name="图片 5" descr="C:\Users\admin\Desktop\6613564e6f01608ebdadc39c344c8da.jpg6613564e6f01608ebdadc39c344c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6613564e6f01608ebdadc39c344c8da.jpg6613564e6f01608ebdadc39c344c8da"/>
                    <pic:cNvPicPr>
                      <a:picLocks noChangeAspect="1"/>
                    </pic:cNvPicPr>
                  </pic:nvPicPr>
                  <pic:blipFill>
                    <a:blip r:embed="rId10"/>
                    <a:srcRect/>
                    <a:stretch>
                      <a:fillRect/>
                    </a:stretch>
                  </pic:blipFill>
                  <pic:spPr>
                    <a:xfrm>
                      <a:off x="0" y="0"/>
                      <a:ext cx="8674100" cy="10755630"/>
                    </a:xfrm>
                    <a:prstGeom prst="rect">
                      <a:avLst/>
                    </a:prstGeom>
                  </pic:spPr>
                </pic:pic>
              </a:graphicData>
            </a:graphic>
          </wp:anchor>
        </w:drawing>
      </w:r>
      <w:r>
        <w:br w:type="page"/>
      </w:r>
    </w:p>
    <w:p>
      <w:pPr>
        <w:rPr>
          <w:rFonts w:ascii="黑体" w:hAnsi="黑体" w:eastAsia="黑体" w:cs="黑体"/>
          <w:sz w:val="72"/>
          <w:szCs w:val="96"/>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pPr>
        <w:jc w:val="center"/>
        <w:rPr>
          <w:rFonts w:hint="eastAsia" w:ascii="黑体" w:hAnsi="黑体" w:eastAsia="黑体" w:cs="黑体"/>
          <w:sz w:val="72"/>
          <w:szCs w:val="96"/>
          <w:lang w:val="en-US" w:eastAsia="zh-CN"/>
        </w:rPr>
      </w:pPr>
      <w:r>
        <w:rPr>
          <w:rFonts w:hint="eastAsia" w:ascii="黑体" w:hAnsi="黑体" w:eastAsia="黑体" w:cs="黑体"/>
          <w:sz w:val="72"/>
          <w:szCs w:val="96"/>
        </w:rPr>
        <w:t>保定市满城区人民</w:t>
      </w:r>
      <w:r>
        <w:rPr>
          <w:rFonts w:hint="eastAsia" w:ascii="黑体" w:hAnsi="黑体" w:eastAsia="黑体" w:cs="黑体"/>
          <w:sz w:val="72"/>
          <w:szCs w:val="96"/>
          <w:lang w:val="en-US" w:eastAsia="zh-CN"/>
        </w:rPr>
        <w:t>检察院</w:t>
      </w:r>
      <w:bookmarkStart w:id="0" w:name="_GoBack"/>
      <w:bookmarkEnd w:id="0"/>
    </w:p>
    <w:p>
      <w:pPr>
        <w:jc w:val="center"/>
        <w:rPr>
          <w:rFonts w:ascii="黑体" w:hAnsi="黑体" w:eastAsia="黑体" w:cs="黑体"/>
          <w:sz w:val="72"/>
          <w:szCs w:val="96"/>
          <w:highlight w:val="yellow"/>
        </w:rPr>
      </w:pP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pPr>
        <w:jc w:val="center"/>
        <w:rPr>
          <w:rFonts w:ascii="黑体" w:hAnsi="黑体" w:eastAsia="黑体" w:cs="黑体"/>
          <w:sz w:val="72"/>
          <w:szCs w:val="96"/>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二〇二一年十月</w:t>
      </w:r>
    </w:p>
    <w:p>
      <w:pPr>
        <w:rPr>
          <w:rFonts w:ascii="黑体" w:hAnsi="黑体" w:eastAsia="黑体" w:cs="黑体"/>
          <w:sz w:val="72"/>
          <w:szCs w:val="96"/>
        </w:rPr>
      </w:pPr>
    </w:p>
    <w:p>
      <w:pPr>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根据《保定市满城区人民检察院职能配置、内设机构和人员编制规定》，保定市满城区人民检察院的主要职责是：</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1、办公室：负责日常政务、办理文电、会务、机要、文秘、档案、保密、检务公开等工作；协助督办上级重要文件、批办事项；负责人大代表联络及管理检务协作、经费资产、基础建设、科技设备、交通工具、接待、后勤服务、检察技术、信息化建设等工作。</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2、第一检察部：负责刑事犯罪及涉未成年人犯罪案件的审查逮捕、审查起诉，开展相关立案监督、侦查监督、审判监督及相关案件的补充侦查，办理相关刑事申诉案件；负责检察机关社会治安综合治理工作；开展未成年人司法保护和预防未成年人犯罪工作。</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3、第二检察部：负责对申请监督和提请抗诉的民事、行政案件的审查、对区人民法院民事、行政诉讼活动进行监督，对审判监督程序以外的其他民事、行政审判程序中审判人员的违法行为提出检察建议，对民事、行政执行活动试行法律监督。</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4、第三检察部：负责对社区矫正等执法活动监督，对法律规定的司法工作人员利用职权实施的非法拘禁、刑讯逼供、非法搜查等侵犯公民权利、损害司法公正犯罪的侦查。</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5、政治部：负责干部人事、教育培训、检察宣传、表彰奖励、舆情应对、党建群团、党风廉政、检务督察、离退休等工作。负责司法警务工作；负责提押、看管、送达等工作，配合检察监督事项。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年度本部门决算汇编范围的独立核算单位（以下简称“单位”）共1个，具体情况如下：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417"/>
        <w:gridCol w:w="211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4417"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115"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192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4417"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保定市满城区人民检察院(本级)</w:t>
            </w:r>
          </w:p>
        </w:tc>
        <w:tc>
          <w:tcPr>
            <w:tcW w:w="2115"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行政单位</w:t>
            </w:r>
          </w:p>
        </w:tc>
        <w:tc>
          <w:tcPr>
            <w:tcW w:w="1920"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 Black"/>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6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4384"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4384;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本部门2020年度收、支总计（含结转和结余）938.51万元。与2019年度决算相比，收入减少362.79万元，下降29.63%，主要原因是2020年度人员工资减少。支出减少362.79万元，下降29.63%，主要原因是2020年度人员工资减少。</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65408" behindDoc="1" locked="0" layoutInCell="1" allowOverlap="1">
            <wp:simplePos x="0" y="0"/>
            <wp:positionH relativeFrom="column">
              <wp:posOffset>744220</wp:posOffset>
            </wp:positionH>
            <wp:positionV relativeFrom="paragraph">
              <wp:posOffset>62230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本部门2020年度本年收入合计861.57万元，其中：财政拨款收入861.57万元，占100%；事业收入0万元，占0%；经营收入0万元，占0%；其他收入0.00万元，占0%。</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本部门2020年度本年支出合计861.57万元，其中：基本支出784.67万元，占91.07%；项目支出76.90万元，占8.93%；经营支出0万元，占0%。如图所示：</w:t>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640" w:firstLineChars="200"/>
        <w:rPr>
          <w:rFonts w:ascii="黑体" w:hAnsi="Calibri" w:eastAsia="黑体"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1331595</wp:posOffset>
                </wp:positionH>
                <wp:positionV relativeFrom="paragraph">
                  <wp:posOffset>1871980</wp:posOffset>
                </wp:positionV>
                <wp:extent cx="3164205" cy="542925"/>
                <wp:effectExtent l="0" t="0" r="17145" b="9525"/>
                <wp:wrapTopAndBottom/>
                <wp:docPr id="30" name="文本框 30"/>
                <wp:cNvGraphicFramePr/>
                <a:graphic xmlns:a="http://schemas.openxmlformats.org/drawingml/2006/main">
                  <a:graphicData uri="http://schemas.microsoft.com/office/word/2010/wordprocessingShape">
                    <wps:wsp>
                      <wps:cNvSpPr txBox="1"/>
                      <wps:spPr>
                        <a:xfrm>
                          <a:off x="2589530" y="9952990"/>
                          <a:ext cx="3164205" cy="54292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图2：支出决算构成情况（按支出性质）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85pt;margin-top:147.4pt;height:42.75pt;width:249.15pt;mso-wrap-distance-bottom:0pt;mso-wrap-distance-top:0pt;z-index:251661312;mso-width-relative:page;mso-height-relative:page;" fillcolor="#FFFFFF" filled="t" stroked="f" coordsize="21600,21600" o:gfxdata="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oCQufWAAAACwEAAA8AAAAAAAAAAQAgAAAAIgAAAGRycy9kb3ducmV2LnhtbFBLAQIUABQAAAAI&#10;AIdO4kCLj8CxYQIAAKsEAAAOAAAAAAAAAAEAIAAAACUBAABkcnMvZTJvRG9jLnhtbFBLBQYAAAAA&#10;BgAGAFkBAAD4BQ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图2：支出决算构成情况（按支出性质）</w:t>
                      </w:r>
                    </w:p>
                    <w:p>
                      <w:pPr>
                        <w:spacing w:after="160" w:line="480" w:lineRule="auto"/>
                        <w:rPr>
                          <w:rFonts w:ascii="Times New Roman" w:hAnsi="Times New Roman" w:eastAsia="宋体" w:cs="Times New Roman"/>
                          <w:sz w:val="20"/>
                        </w:rPr>
                      </w:pPr>
                    </w:p>
                  </w:txbxContent>
                </v:textbox>
                <w10:wrap type="topAndBottom"/>
              </v:shape>
            </w:pict>
          </mc:Fallback>
        </mc:AlternateContent>
      </w:r>
      <w:r>
        <w:drawing>
          <wp:anchor distT="0" distB="0" distL="114300" distR="114300" simplePos="0" relativeHeight="251668480" behindDoc="0" locked="0" layoutInCell="1" allowOverlap="1">
            <wp:simplePos x="0" y="0"/>
            <wp:positionH relativeFrom="column">
              <wp:posOffset>1333500</wp:posOffset>
            </wp:positionH>
            <wp:positionV relativeFrom="paragraph">
              <wp:posOffset>100330</wp:posOffset>
            </wp:positionV>
            <wp:extent cx="3014345" cy="1644015"/>
            <wp:effectExtent l="5080" t="4445" r="9525" b="8890"/>
            <wp:wrapTopAndBottom/>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861.57万元,比2019年度减少362.79万元，降低29.63%，主要是2020年度人员工资减少；本年支出861.57万元，减少362.79万元，降低29.63%，主要是2020年度人员工资减少。</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本部门2020年度一般公共预算财政拨款收入861.57万元，完成年初预算的90.34%,比年初预算减少92.08万元，决算数小于预算数主要原因是</w:t>
      </w:r>
      <w:r>
        <w:rPr>
          <w:rFonts w:hint="eastAsia" w:ascii="仿宋_GB2312" w:hAnsi="Times New Roman" w:eastAsia="仿宋_GB2312" w:cs="DengXian-Regular"/>
          <w:sz w:val="32"/>
          <w:szCs w:val="32"/>
        </w:rPr>
        <w:t>压缩经费开支</w:t>
      </w:r>
      <w:r>
        <w:rPr>
          <w:rFonts w:hint="eastAsia" w:ascii="仿宋_GB2312" w:hAnsi="Times New Roman" w:eastAsia="仿宋_GB2312" w:cs="Wingdings"/>
          <w:sz w:val="32"/>
          <w:szCs w:val="32"/>
        </w:rPr>
        <w:t>；本年支出861.57万元，完成年初预算的90.34%,比年初预算减少92.08万元，决算数小于预算数主要原因是主要是</w:t>
      </w:r>
      <w:r>
        <w:rPr>
          <w:rFonts w:hint="eastAsia" w:ascii="仿宋_GB2312" w:hAnsi="Times New Roman" w:eastAsia="仿宋_GB2312" w:cs="DengXian-Regular"/>
          <w:sz w:val="32"/>
          <w:szCs w:val="32"/>
        </w:rPr>
        <w:t>压缩经费开支</w:t>
      </w:r>
      <w:r>
        <w:rPr>
          <w:rFonts w:hint="eastAsia" w:ascii="仿宋_GB2312" w:hAnsi="Times New Roman" w:eastAsia="仿宋_GB2312" w:cs="Wingdings"/>
          <w:sz w:val="32"/>
          <w:szCs w:val="32"/>
        </w:rPr>
        <w:t>。</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年度财政拨款支出861.57万元，主要用于以下方面：公共安全类（类）支出741.38万元，占86.05%；社会保障和就业（类）支出 71.11万元，占8.25%；卫生健康支出20.55万元，占2.39%，住房保障（类）支出28.53万元，占 3.31%。</w:t>
      </w:r>
    </w:p>
    <w:p>
      <w:pPr>
        <w:adjustRightInd w:val="0"/>
        <w:snapToGrid w:val="0"/>
        <w:spacing w:line="600" w:lineRule="exact"/>
        <w:rPr>
          <w:rFonts w:ascii="楷体_GB2312" w:hAnsi="Times New Roman" w:eastAsia="楷体_GB2312" w:cs="Mongolian Baiti"/>
          <w:b/>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1232535</wp:posOffset>
                </wp:positionH>
                <wp:positionV relativeFrom="paragraph">
                  <wp:posOffset>2301875</wp:posOffset>
                </wp:positionV>
                <wp:extent cx="3576320" cy="391795"/>
                <wp:effectExtent l="0" t="0" r="5080" b="8255"/>
                <wp:wrapTopAndBottom/>
                <wp:docPr id="164" name="文本框 32"/>
                <wp:cNvGraphicFramePr/>
                <a:graphic xmlns:a="http://schemas.openxmlformats.org/drawingml/2006/main">
                  <a:graphicData uri="http://schemas.microsoft.com/office/word/2010/wordprocessingShape">
                    <wps:wsp>
                      <wps:cNvSpPr txBox="1"/>
                      <wps:spPr>
                        <a:xfrm>
                          <a:off x="1953260" y="487553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图3：财政拨款支出决算结构（按功能分类）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97.05pt;margin-top:181.25pt;height:30.85pt;width:281.6pt;mso-wrap-distance-bottom:0pt;mso-wrap-distance-top:0pt;z-index:251663360;mso-width-relative:page;mso-height-relative:page;" fillcolor="#FFFFFF" filled="t" stroked="f" coordsize="21600,21600" o:gfxdata="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jV1FNcAAAALAQAADwAAAAAAAAABACAAAAAiAAAAZHJzL2Rvd25yZXYueG1sUEsBAhQAFAAA&#10;AAgAh07iQCdnjKtiAgAArAQAAA4AAAAAAAAAAQAgAAAAJgEAAGRycy9lMm9Eb2MueG1sUEsFBgAA&#10;AAAGAAYAWQEAAPoFA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图3：财政拨款支出决算结构（按功能分类）</w:t>
                      </w:r>
                    </w:p>
                    <w:p>
                      <w:pPr>
                        <w:spacing w:after="160" w:line="480" w:lineRule="auto"/>
                        <w:rPr>
                          <w:rFonts w:ascii="Times New Roman" w:hAnsi="Times New Roman" w:eastAsia="宋体" w:cs="Times New Roman"/>
                          <w:sz w:val="20"/>
                        </w:rPr>
                      </w:pPr>
                    </w:p>
                  </w:txbxContent>
                </v:textbox>
                <w10:wrap type="topAndBottom"/>
              </v:shape>
            </w:pict>
          </mc:Fallback>
        </mc:AlternateContent>
      </w:r>
      <w:r>
        <w:drawing>
          <wp:anchor distT="0" distB="0" distL="114300" distR="114300" simplePos="0" relativeHeight="251669504" behindDoc="0" locked="0" layoutInCell="1" allowOverlap="1">
            <wp:simplePos x="0" y="0"/>
            <wp:positionH relativeFrom="column">
              <wp:posOffset>1170305</wp:posOffset>
            </wp:positionH>
            <wp:positionV relativeFrom="paragraph">
              <wp:posOffset>200660</wp:posOffset>
            </wp:positionV>
            <wp:extent cx="3568065" cy="2059940"/>
            <wp:effectExtent l="5080" t="4445" r="8255" b="1206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784.67</w:t>
      </w:r>
      <w:r>
        <w:rPr>
          <w:rFonts w:hint="eastAsia" w:ascii="仿宋_GB2312" w:hAnsi="Times New Roman" w:eastAsia="仿宋_GB2312" w:cs="Wingdings"/>
          <w:sz w:val="32"/>
          <w:szCs w:val="32"/>
        </w:rPr>
        <w:t>万元，其中：人员经费 613.83万元，主要包括基本工资178.57万元、津贴补贴191.04万元、奖金95.16万元、机关事业单位基本养老保险缴费57.95万元、职工基本医疗保险缴费28.59万元、住房公积金28.53万元、退休费9.36万元、抚恤金17.95万元、其他对个人和家庭的补助支出6.68万元；公用经费170.84万元，主要包括办公费21.20万元、水费0.58万元、电费43.62、邮电费31.47万元、差旅费0.63万元、维修（护）费7.21万元、公务接待费0.23万元、劳务费17.78万元、公务用车运行维护费5万元、其他交通费用24.18万元、其他商品和服务支出18.94万元。</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本部门2020年度“三公”经费财政拨款支出预算为30.32万元，支出决算为19.05万元，完成预算的62.83%,较预算减少11.27万元，降低37.17%，主要是</w:t>
      </w:r>
      <w:r>
        <w:rPr>
          <w:rFonts w:hint="eastAsia" w:ascii="仿宋_GB2312" w:hAnsi="Times New Roman" w:eastAsia="仿宋_GB2312" w:cs="DengXian-Regular"/>
          <w:sz w:val="32"/>
          <w:szCs w:val="32"/>
        </w:rPr>
        <w:t>公车改革后，严格控制公务用车运行维护费</w:t>
      </w:r>
      <w:r>
        <w:rPr>
          <w:rFonts w:hint="eastAsia" w:ascii="仿宋_GB2312" w:hAnsi="Times New Roman" w:eastAsia="仿宋_GB2312" w:cs="Wingdings"/>
          <w:sz w:val="32"/>
          <w:szCs w:val="32"/>
        </w:rPr>
        <w:t>；较2019年度减少3.83万元，降低16.74%，主要是</w:t>
      </w:r>
      <w:r>
        <w:rPr>
          <w:rFonts w:hint="eastAsia" w:ascii="仿宋_GB2312" w:hAnsi="Times New Roman" w:eastAsia="仿宋_GB2312" w:cs="DengXian-Regular"/>
          <w:sz w:val="32"/>
          <w:szCs w:val="32"/>
        </w:rPr>
        <w:t>公车改革后，严格控制公务用车运行维护费</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本部门2020年因公出国（境）费支出0万元，完成预算的0%。</w:t>
      </w:r>
      <w:r>
        <w:rPr>
          <w:rFonts w:hint="eastAsia" w:ascii="仿宋_GB2312" w:hAnsi="Times New Roman" w:eastAsia="仿宋_GB2312" w:cs="Wingdings"/>
          <w:sz w:val="32"/>
          <w:szCs w:val="32"/>
        </w:rPr>
        <w:t>无本单位组织的出国（境）团组。因公出国（境）费支出较预算增加0万元，增长0%,较上年增加0万元，增长0.00%。</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本部门2020年公务用车购置及运行维护费支出18.82万元，完成预算的65.35%，</w:t>
      </w:r>
      <w:r>
        <w:rPr>
          <w:rFonts w:hint="eastAsia" w:ascii="仿宋_GB2312" w:hAnsi="Times New Roman" w:eastAsia="仿宋_GB2312" w:cs="Wingdings"/>
          <w:sz w:val="32"/>
          <w:szCs w:val="32"/>
        </w:rPr>
        <w:t>较预算减少9.98万元，降低34.65%,主要是</w:t>
      </w:r>
      <w:r>
        <w:rPr>
          <w:rFonts w:hint="eastAsia" w:ascii="仿宋_GB2312" w:hAnsi="Times New Roman" w:eastAsia="仿宋_GB2312" w:cs="DengXian-Regular"/>
          <w:sz w:val="32"/>
          <w:szCs w:val="32"/>
        </w:rPr>
        <w:t>严格控制公务用车运行维护费</w:t>
      </w:r>
      <w:r>
        <w:rPr>
          <w:rFonts w:hint="eastAsia" w:ascii="仿宋_GB2312" w:hAnsi="Times New Roman" w:eastAsia="仿宋_GB2312" w:cs="Wingdings"/>
          <w:sz w:val="32"/>
          <w:szCs w:val="32"/>
        </w:rPr>
        <w:t>；较上年减少4.06万元，降低17.74%,主要是</w:t>
      </w:r>
      <w:r>
        <w:rPr>
          <w:rFonts w:hint="eastAsia" w:ascii="仿宋_GB2312" w:hAnsi="Times New Roman" w:eastAsia="仿宋_GB2312" w:cs="DengXian-Regular"/>
          <w:sz w:val="32"/>
          <w:szCs w:val="32"/>
        </w:rPr>
        <w:t>严格控制公务用车运行维护费</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本部门2020年度公务用车购置量0辆，发生“公务用车购置”经费支出0万元。</w:t>
      </w:r>
      <w:r>
        <w:rPr>
          <w:rFonts w:hint="eastAsia" w:ascii="仿宋_GB2312" w:hAnsi="Times New Roman" w:eastAsia="仿宋_GB2312" w:cs="DengXian-Regular"/>
          <w:sz w:val="32"/>
          <w:szCs w:val="32"/>
        </w:rPr>
        <w:t>未发生“公务用车购置”经费支出。与年初预算持平，与2019年度决算支出持平</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本部门2020年度单位公务用车保有量9辆,发生运行维护费支出18.82万元，。公车运行维护费支出较预算减少9.98万元，降低34.65%,主要是</w:t>
      </w:r>
      <w:r>
        <w:rPr>
          <w:rFonts w:hint="eastAsia" w:ascii="仿宋_GB2312" w:hAnsi="Times New Roman" w:eastAsia="仿宋_GB2312" w:cs="DengXian-Regular"/>
          <w:sz w:val="32"/>
          <w:szCs w:val="32"/>
        </w:rPr>
        <w:t>严格控制公务用车运行维护费</w:t>
      </w:r>
      <w:r>
        <w:rPr>
          <w:rFonts w:hint="eastAsia" w:ascii="仿宋_GB2312" w:hAnsi="Times New Roman" w:eastAsia="仿宋_GB2312" w:cs="Wingdings"/>
          <w:sz w:val="32"/>
          <w:szCs w:val="32"/>
        </w:rPr>
        <w:t>；较上年减少4.06万元，降低17.74%,主要是</w:t>
      </w:r>
      <w:r>
        <w:rPr>
          <w:rFonts w:hint="eastAsia" w:ascii="仿宋_GB2312" w:hAnsi="Times New Roman" w:eastAsia="仿宋_GB2312" w:cs="DengXian-Regular"/>
          <w:sz w:val="32"/>
          <w:szCs w:val="32"/>
        </w:rPr>
        <w:t>严格控制公务用车运行维护费</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本部门2020年公务接待费支出0.23万元，完成预算的15.13%。发生</w:t>
      </w:r>
      <w:r>
        <w:rPr>
          <w:rFonts w:hint="eastAsia" w:ascii="仿宋_GB2312" w:hAnsi="Times New Roman" w:eastAsia="仿宋_GB2312" w:cs="Wingdings"/>
          <w:sz w:val="32"/>
          <w:szCs w:val="32"/>
        </w:rPr>
        <w:t>公务接待共1批次、26人次。公务接待费支出较预算减少1.29万元，降低84.87%,主要是</w:t>
      </w:r>
      <w:r>
        <w:rPr>
          <w:rFonts w:hint="eastAsia" w:ascii="仿宋_GB2312" w:eastAsia="仿宋_GB2312" w:cs="DengXian-Regular"/>
          <w:sz w:val="32"/>
          <w:szCs w:val="32"/>
        </w:rPr>
        <w:t>认真贯彻落实中央八项规定精神和厉行节约要求从严控制“三公”经费开支</w:t>
      </w:r>
      <w:r>
        <w:rPr>
          <w:rFonts w:hint="eastAsia" w:ascii="仿宋_GB2312" w:hAnsi="Times New Roman" w:eastAsia="仿宋_GB2312" w:cs="Wingdings"/>
          <w:sz w:val="32"/>
          <w:szCs w:val="32"/>
        </w:rPr>
        <w:t>；较上年度增加0.23万元，增长100%,主要是</w:t>
      </w:r>
      <w:r>
        <w:rPr>
          <w:rFonts w:hint="eastAsia" w:ascii="仿宋_GB2312" w:eastAsia="仿宋_GB2312" w:cs="DengXian-Regular"/>
          <w:sz w:val="32"/>
          <w:szCs w:val="32"/>
        </w:rPr>
        <w:t>认真贯彻落实中央八项规定精神和厉行节约要求从严控制“三公”经费开支</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根据预算绩效管理要求，本部门组织对2020年度项目支出全面开展绩效自评，其中，一般公共预算一级项目0个，二级项目4个，共涉及资金</w:t>
      </w:r>
      <w:r>
        <w:rPr>
          <w:rFonts w:hint="eastAsia" w:ascii="仿宋_GB2312" w:hAnsi="Times New Roman" w:eastAsia="仿宋_GB2312" w:cs="Wingdings"/>
          <w:sz w:val="32"/>
          <w:szCs w:val="32"/>
        </w:rPr>
        <w:t>76.90</w:t>
      </w:r>
      <w:r>
        <w:rPr>
          <w:rFonts w:hint="eastAsia" w:ascii="仿宋_GB2312" w:hAnsi="仿宋_GB2312" w:eastAsia="仿宋_GB2312" w:cs="仿宋_GB2312"/>
          <w:sz w:val="32"/>
          <w:szCs w:val="32"/>
        </w:rPr>
        <w:t>万元，占一般公共预算项目支出总额的100%；政府性基金预算一级项目0个，二级项目0个,共涉及资金0万元，占政府性基金预算项目支出总额的100%。</w:t>
      </w:r>
    </w:p>
    <w:p>
      <w:pPr>
        <w:widowControl/>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组织对“办案业务经费”“日常运行经费”“业务装备经费”“司法救助经费”等4个二级项目开展了部门评价，涉及一般公共预算支出</w:t>
      </w:r>
      <w:r>
        <w:rPr>
          <w:rFonts w:hint="eastAsia" w:ascii="仿宋_GB2312" w:hAnsi="Times New Roman" w:eastAsia="仿宋_GB2312" w:cs="Wingdings"/>
          <w:sz w:val="32"/>
          <w:szCs w:val="32"/>
        </w:rPr>
        <w:t>76.90</w:t>
      </w:r>
      <w:r>
        <w:rPr>
          <w:rFonts w:hint="eastAsia" w:ascii="仿宋_GB2312" w:hAnsi="仿宋_GB2312" w:eastAsia="仿宋_GB2312" w:cs="仿宋_GB2312"/>
          <w:sz w:val="32"/>
          <w:szCs w:val="32"/>
        </w:rPr>
        <w:t>万元，政府性基金预算支出0万元。未委托评审机构开展绩效评价。从评价情况来看，2020年在强化法律监督工作、服务保障民营经济工作、扫黑除恶工作等方面成效显著，</w:t>
      </w:r>
      <w:r>
        <w:rPr>
          <w:rFonts w:ascii="仿宋" w:hAnsi="仿宋" w:eastAsia="仿宋" w:cs="仿宋"/>
          <w:color w:val="000000"/>
          <w:kern w:val="0"/>
          <w:sz w:val="31"/>
          <w:szCs w:val="31"/>
          <w:lang w:bidi="ar"/>
        </w:rPr>
        <w:t>评价结果为优。</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本部门在今年部门决算公开中反映“办案业务经费”和“司法救助经费”项目2个项目绩效自评结果。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司法救助经费绩效自评综述：根据年初设定的绩效目标，办案业务经费项目绩效自评得分为91分。全年预算数为7万元，执行数为3万元，完成预算的42.86%。项目绩效目标完成情况：按照上级院和本院实际情况需求，救助1案1人，做到司法救助金及时发放到贫困难家庭。发现的主要问题及原因的群众对国家司法救助概念模糊，一些符合司法救助条件的当事人没有申请，而一些不符合条件的自认为可以，上访要求司法救助。下一步改进措施：一是严格执行司法救助办法规定，认真审查提交的申请材料，二是加大国家司法救助宣传力度，推动司法救助工作向纵深发展。</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（三）财政评价项目绩效评价结果</w:t>
      </w:r>
    </w:p>
    <w:p>
      <w:pPr>
        <w:keepNext/>
        <w:keepLines/>
        <w:snapToGrid w:val="0"/>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我单位无财政评价项目绩效</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本部门2020年度机关运行经费支出170.84万元，比2019年度增加2.74万元，增长1.63%。主要原因是</w:t>
      </w:r>
      <w:r>
        <w:rPr>
          <w:rFonts w:hint="eastAsia" w:ascii="仿宋_GB2312" w:hAnsi="Times New Roman" w:eastAsia="仿宋_GB2312" w:cs="DengXian-Regular"/>
          <w:sz w:val="32"/>
          <w:szCs w:val="32"/>
        </w:rPr>
        <w:t>2020年度商品和服务支出增加</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本部门2020年度政府采购支出总额58.85万元，从采购类型来看，</w:t>
      </w:r>
      <w:r>
        <w:rPr>
          <w:rFonts w:hint="eastAsia" w:ascii="仿宋_GB2312" w:hAnsi="仿宋_GB2312" w:eastAsia="仿宋_GB2312" w:cs="仿宋_GB2312"/>
          <w:color w:val="000000"/>
          <w:kern w:val="0"/>
          <w:sz w:val="32"/>
          <w:szCs w:val="32"/>
          <w:lang w:bidi="ar"/>
        </w:rPr>
        <w:t>政府采购货物支出58.85万元、政府采购工程支出0万元、政府采购服务支出0万元。授予中小企业合同金58.85万元，占政府采购支出总额的100%，其中授予小微企业合同金额0万元，占政府采购支出总额的0.00%。</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9辆，比上年增加0辆。其中，副部（省）级及以上领导用车0辆，主要领导干部用车0辆，机要通信用车1辆，应急保障用车1辆，执法执勤用车6辆，特种专业技术用车1辆，离退休干部用车0辆，其他用车0辆；</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单位价值50万元以上通用设备0台（套），比上年增加0套，主要是</w:t>
      </w:r>
      <w:r>
        <w:rPr>
          <w:rFonts w:hint="eastAsia" w:ascii="仿宋_GB2312" w:eastAsia="仿宋_GB2312" w:cs="DengXian-Regular"/>
          <w:sz w:val="32"/>
          <w:szCs w:val="32"/>
        </w:rPr>
        <w:t>厉行节约，压减开支</w:t>
      </w:r>
      <w:r>
        <w:rPr>
          <w:rFonts w:hint="eastAsia" w:ascii="仿宋_GB2312" w:hAnsi="仿宋_GB2312" w:eastAsia="仿宋_GB2312" w:cs="仿宋_GB2312"/>
          <w:sz w:val="32"/>
          <w:szCs w:val="32"/>
        </w:rPr>
        <w:t>，单位价值100万元以上专用设备0台（套）比上年增加0套，主要是</w:t>
      </w:r>
      <w:r>
        <w:rPr>
          <w:rFonts w:hint="eastAsia" w:ascii="仿宋_GB2312" w:eastAsia="仿宋_GB2312" w:cs="DengXian-Regular"/>
          <w:sz w:val="32"/>
          <w:szCs w:val="32"/>
        </w:rPr>
        <w:t>厉行节约，压减开支</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本部门2020年度未发生政府性基金预算、国有资金经营预算收支及结转结余情况，故政府性基金预算、国有资金经营预算等表以空表列示。</w:t>
      </w:r>
    </w:p>
    <w:p>
      <w:pPr>
        <w:adjustRightInd w:val="0"/>
        <w:snapToGrid w:val="0"/>
        <w:spacing w:line="600" w:lineRule="exact"/>
        <w:ind w:firstLine="640" w:firstLineChars="200"/>
        <w:rPr>
          <w:rFonts w:ascii="仿宋_GB2312" w:hAnsi="宋体" w:eastAsia="仿宋_GB2312" w:cs="Arial Black"/>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2336" behindDoc="0" locked="0" layoutInCell="1" allowOverlap="1">
                <wp:simplePos x="0" y="0"/>
                <wp:positionH relativeFrom="column">
                  <wp:posOffset>-1022350</wp:posOffset>
                </wp:positionH>
                <wp:positionV relativeFrom="paragraph">
                  <wp:posOffset>201930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2336;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1"/>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sectPr>
          <w:headerReference r:id="rId8" w:type="default"/>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7456;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1"/>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6"/>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793"/>
        <w:gridCol w:w="3325"/>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4"/>
              </w:rPr>
            </w:pPr>
            <w:r>
              <w:rPr>
                <w:rFonts w:hint="eastAsia" w:ascii="黑体" w:hAnsi="宋体" w:eastAsia="黑体" w:cs="黑体"/>
                <w:color w:val="000000"/>
                <w:kern w:val="0"/>
                <w:sz w:val="24"/>
              </w:rPr>
              <w:t>收入支出决算总表</w:t>
            </w:r>
          </w:p>
        </w:tc>
      </w:tr>
      <w:tr>
        <w:tblPrEx>
          <w:tblCellMar>
            <w:top w:w="0" w:type="dxa"/>
            <w:left w:w="0" w:type="dxa"/>
            <w:bottom w:w="0" w:type="dxa"/>
            <w:right w:w="0" w:type="dxa"/>
          </w:tblCellMar>
        </w:tblPrEx>
        <w:trPr>
          <w:trHeight w:val="245"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79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470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部门：保定市满城区人民检察院</w:t>
            </w: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79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470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rPr>
              <w:t>金额单位：万元</w:t>
            </w:r>
          </w:p>
        </w:tc>
      </w:tr>
      <w:tr>
        <w:tblPrEx>
          <w:tblCellMar>
            <w:top w:w="0" w:type="dxa"/>
            <w:left w:w="0" w:type="dxa"/>
            <w:bottom w:w="0" w:type="dxa"/>
            <w:right w:w="0" w:type="dxa"/>
          </w:tblCellMar>
        </w:tblPrEx>
        <w:trPr>
          <w:trHeight w:val="221" w:hRule="atLeast"/>
          <w:jc w:val="center"/>
        </w:trPr>
        <w:tc>
          <w:tcPr>
            <w:tcW w:w="47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收入</w:t>
            </w:r>
          </w:p>
        </w:tc>
        <w:tc>
          <w:tcPr>
            <w:tcW w:w="470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行次</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金额</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861.57</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741.38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6</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7</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8</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71.11</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9</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20.55</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11</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13</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14</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15</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16</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17</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18</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19</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28.53</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20</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21</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sz w:val="20"/>
                <w:szCs w:val="22"/>
              </w:rPr>
              <w:t>22</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sz w:val="20"/>
                <w:szCs w:val="22"/>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sz w:val="20"/>
                <w:szCs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23</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24</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25</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sz w:val="20"/>
                <w:szCs w:val="22"/>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26</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27</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861.57</w:t>
            </w: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861.57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28</w:t>
            </w:r>
          </w:p>
        </w:tc>
        <w:tc>
          <w:tcPr>
            <w:tcW w:w="7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sz w:val="20"/>
                <w:szCs w:val="22"/>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sz w:val="20"/>
                <w:szCs w:val="22"/>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29</w:t>
            </w:r>
          </w:p>
        </w:tc>
        <w:tc>
          <w:tcPr>
            <w:tcW w:w="79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76.94</w:t>
            </w:r>
          </w:p>
        </w:tc>
        <w:tc>
          <w:tcPr>
            <w:tcW w:w="332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sz w:val="20"/>
                <w:szCs w:val="22"/>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sz w:val="20"/>
                <w:szCs w:val="22"/>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76.94</w:t>
            </w: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30</w:t>
            </w:r>
          </w:p>
        </w:tc>
        <w:tc>
          <w:tcPr>
            <w:tcW w:w="7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总       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31</w:t>
            </w:r>
          </w:p>
        </w:tc>
        <w:tc>
          <w:tcPr>
            <w:tcW w:w="7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938.51</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总       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sz w:val="20"/>
                <w:szCs w:val="22"/>
              </w:rPr>
            </w:pPr>
            <w:r>
              <w:rPr>
                <w:rFonts w:hint="eastAsia"/>
                <w:sz w:val="20"/>
                <w:szCs w:val="22"/>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938.51</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sz w:val="20"/>
                <w:szCs w:val="22"/>
              </w:rPr>
              <w:t>注：本表反映部门（或单位）本年度的总收支和年末结转结余情况。本套报表金额单位转换时可能存在尾数误差。</w:t>
            </w:r>
          </w:p>
        </w:tc>
      </w:tr>
    </w:tbl>
    <w:tbl>
      <w:tblPr>
        <w:tblStyle w:val="6"/>
        <w:tblW w:w="9684" w:type="dxa"/>
        <w:jc w:val="center"/>
        <w:tblLayout w:type="fixed"/>
        <w:tblCellMar>
          <w:top w:w="0" w:type="dxa"/>
          <w:left w:w="0" w:type="dxa"/>
          <w:bottom w:w="0" w:type="dxa"/>
          <w:right w:w="0" w:type="dxa"/>
        </w:tblCellMar>
      </w:tblPr>
      <w:tblGrid>
        <w:gridCol w:w="784"/>
        <w:gridCol w:w="50"/>
        <w:gridCol w:w="50"/>
        <w:gridCol w:w="2771"/>
        <w:gridCol w:w="1181"/>
        <w:gridCol w:w="1181"/>
        <w:gridCol w:w="733"/>
        <w:gridCol w:w="733"/>
        <w:gridCol w:w="733"/>
        <w:gridCol w:w="733"/>
        <w:gridCol w:w="735"/>
      </w:tblGrid>
      <w:tr>
        <w:tblPrEx>
          <w:tblCellMar>
            <w:top w:w="0" w:type="dxa"/>
            <w:left w:w="0" w:type="dxa"/>
            <w:bottom w:w="0" w:type="dxa"/>
            <w:right w:w="0" w:type="dxa"/>
          </w:tblCellMar>
        </w:tblPrEx>
        <w:trPr>
          <w:trHeight w:val="670" w:hRule="atLeast"/>
          <w:jc w:val="center"/>
        </w:trPr>
        <w:tc>
          <w:tcPr>
            <w:tcW w:w="9684"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7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6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78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保定市满城区人民检察院</w:t>
            </w: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0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6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1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7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7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7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7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7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88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77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8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7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8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77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65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7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65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bCs/>
                <w:color w:val="000000"/>
                <w:kern w:val="0"/>
                <w:sz w:val="22"/>
                <w:szCs w:val="22"/>
                <w:lang w:bidi="ar"/>
              </w:rPr>
              <w:t>861.57</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bCs/>
                <w:color w:val="000000"/>
                <w:kern w:val="0"/>
                <w:sz w:val="22"/>
                <w:szCs w:val="22"/>
                <w:lang w:bidi="ar"/>
              </w:rPr>
              <w:t>861.57</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公共安全支出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741.38</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741.38</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检察</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741.38</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741.38</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2040401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行政运行</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660.42</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660.42</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2040402</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一般行政管理事务</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28.75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28.75</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2040499</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其他检察支出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52.20</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52.20</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社会保障和就业支出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71.11</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71.11</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行政事业单位养老支出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71.11</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71.11</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行政单位离退休</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13.16</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13.16</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机关事业单位基本养老保险缴费支出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57.95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57.95</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卫生健康支出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行政事业单位医疗</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行政单位医疗</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20.55</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住房保障支出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住房改革支出</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2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 xml:space="preserve">  住房公积金</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11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szCs w:val="22"/>
                <w:lang w:bidi="ar"/>
              </w:rPr>
              <w:t>28.53</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684"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385"/>
        <w:gridCol w:w="1245"/>
        <w:gridCol w:w="1170"/>
        <w:gridCol w:w="1155"/>
        <w:gridCol w:w="1200"/>
        <w:gridCol w:w="555"/>
        <w:gridCol w:w="865"/>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6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r>
              <w:rPr>
                <w:rFonts w:hint="eastAsia" w:ascii="Arial" w:hAnsi="Arial" w:cs="Arial"/>
                <w:color w:val="000000"/>
                <w:sz w:val="18"/>
                <w:szCs w:val="18"/>
              </w:rPr>
              <w:t>保定市满城区人民检察院</w:t>
            </w: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34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2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5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8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38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349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2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349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861.57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784.67</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76.90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公共安全支出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741.38</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664.48</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76.90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检察</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741.38</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664.48</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76.90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行政运行</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660.42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660.42</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2040402</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一般行政管理事务</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28.75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4.05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24.70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2040499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其他检察支出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52.20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52.20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社会保障和就业支出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行政事业单位养老支出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行政单位离退休</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13.16</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13.16</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机关事业单位基本养老保险缴费支出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57.95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57.95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卫生健康支出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21011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行政事业单位医疗</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2101101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行政单位医疗</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住房保障支出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22102</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住房改革支出</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2210201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住房公积金</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6"/>
        <w:tblW w:w="9990" w:type="dxa"/>
        <w:jc w:val="center"/>
        <w:tblLayout w:type="fixed"/>
        <w:tblCellMar>
          <w:top w:w="0" w:type="dxa"/>
          <w:left w:w="0" w:type="dxa"/>
          <w:bottom w:w="0" w:type="dxa"/>
          <w:right w:w="0" w:type="dxa"/>
        </w:tblCellMar>
      </w:tblPr>
      <w:tblGrid>
        <w:gridCol w:w="1174"/>
        <w:gridCol w:w="67"/>
        <w:gridCol w:w="67"/>
        <w:gridCol w:w="2022"/>
        <w:gridCol w:w="2002"/>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noWrap/>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noWrap/>
            <w:tcMar>
              <w:top w:w="15" w:type="dxa"/>
              <w:left w:w="15" w:type="dxa"/>
              <w:right w:w="15" w:type="dxa"/>
            </w:tcMar>
            <w:vAlign w:val="center"/>
          </w:tcPr>
          <w:tbl>
            <w:tblPr>
              <w:tblStyle w:val="6"/>
              <w:tblW w:w="9736" w:type="dxa"/>
              <w:tblInd w:w="0" w:type="dxa"/>
              <w:tblLayout w:type="fixed"/>
              <w:tblCellMar>
                <w:top w:w="0" w:type="dxa"/>
                <w:left w:w="108" w:type="dxa"/>
                <w:bottom w:w="0" w:type="dxa"/>
                <w:right w:w="108" w:type="dxa"/>
              </w:tblCellMar>
            </w:tblPr>
            <w:tblGrid>
              <w:gridCol w:w="2317"/>
              <w:gridCol w:w="465"/>
              <w:gridCol w:w="748"/>
              <w:gridCol w:w="2456"/>
              <w:gridCol w:w="446"/>
              <w:gridCol w:w="693"/>
              <w:gridCol w:w="765"/>
              <w:gridCol w:w="741"/>
              <w:gridCol w:w="853"/>
              <w:gridCol w:w="252"/>
            </w:tblGrid>
            <w:tr>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93"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359"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部门：保定市满城区人民检察院</w:t>
                  </w:r>
                </w:p>
              </w:tc>
              <w:tc>
                <w:tcPr>
                  <w:tcW w:w="465" w:type="dxa"/>
                  <w:tcBorders>
                    <w:top w:val="nil"/>
                    <w:left w:val="nil"/>
                    <w:bottom w:val="nil"/>
                    <w:right w:val="nil"/>
                  </w:tcBorders>
                  <w:shd w:val="clear" w:color="auto" w:fill="auto"/>
                  <w:vAlign w:val="bottom"/>
                </w:tcPr>
                <w:p>
                  <w:pPr>
                    <w:widowControl/>
                    <w:spacing w:line="240" w:lineRule="exact"/>
                    <w:jc w:val="left"/>
                    <w:rPr>
                      <w:rFonts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93"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594"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69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741"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69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1"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861.57</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741.38</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741.38</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71.11</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71.11</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20.55</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20.55</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28.53</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28.53</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861.57</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861.57</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861.57</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21.29</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21.29</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21.29</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21.29</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882.86</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69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882.86</w:t>
                  </w:r>
                </w:p>
              </w:tc>
              <w:tc>
                <w:tcPr>
                  <w:tcW w:w="7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882.86</w:t>
                  </w:r>
                </w:p>
              </w:tc>
              <w:tc>
                <w:tcPr>
                  <w:tcW w:w="74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0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r>
              <w:rPr>
                <w:rFonts w:hint="eastAsia" w:ascii="Arial" w:hAnsi="Arial" w:cs="Arial"/>
                <w:color w:val="000000"/>
                <w:sz w:val="18"/>
                <w:szCs w:val="18"/>
              </w:rPr>
              <w:t>保定市满城区人民检察院</w:t>
            </w:r>
          </w:p>
        </w:tc>
        <w:tc>
          <w:tcPr>
            <w:tcW w:w="2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3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66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02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0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0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2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0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33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33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861.57</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784.67</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bCs/>
                <w:color w:val="000000"/>
                <w:kern w:val="0"/>
                <w:sz w:val="22"/>
                <w:szCs w:val="22"/>
                <w:lang w:bidi="ar"/>
              </w:rPr>
              <w:t>76.90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公共安全支出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741.38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664.48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76.90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检察</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741.38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664.48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76.90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2040401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行政运行</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660.42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660.42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2040402</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一般行政管理事务</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28.75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4.05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24.70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2040499</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其他检察支出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52.20</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52.20</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社会保障和就业支出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行政事业单位养老支出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71.11</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2080501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行政单位离退休</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13.16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13.16</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2080505</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机关事业单位基本养老保险缴费支出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57.95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57.95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卫生健康支出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21011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行政事业单位医疗</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2101101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行政单位医疗</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20.55</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住房保障支出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22102</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住房改革支出</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2210201</w:t>
            </w:r>
          </w:p>
        </w:tc>
        <w:tc>
          <w:tcPr>
            <w:tcW w:w="2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 xml:space="preserve">  住房公积金</w:t>
            </w:r>
          </w:p>
        </w:tc>
        <w:tc>
          <w:tcPr>
            <w:tcW w:w="2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bidi="ar"/>
              </w:rPr>
              <w:t>28.53</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bl>
    <w:p>
      <w:r>
        <w:br w:type="page"/>
      </w:r>
    </w:p>
    <w:p>
      <w:pPr>
        <w:widowControl/>
        <w:jc w:val="center"/>
        <w:textAlignment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6"/>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Arial" w:hAnsi="Arial" w:cs="Arial"/>
                <w:color w:val="000000"/>
                <w:sz w:val="16"/>
                <w:szCs w:val="16"/>
              </w:rPr>
              <w:t>保定市满城区人民检察院</w:t>
            </w: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579.84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170.84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178.57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21.2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191.04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95.16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0.58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57.95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43.62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31.47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28.59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0.63</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28.53</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7.21</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33.99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9.36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0.23</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17.95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17.78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6.68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24.18</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18.94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613.83</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170.84</w:t>
            </w:r>
          </w:p>
        </w:tc>
      </w:tr>
    </w:tbl>
    <w:p>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r>
              <w:rPr>
                <w:rFonts w:hint="eastAsia" w:ascii="Arial" w:hAnsi="Arial" w:cs="Arial"/>
                <w:color w:val="000000"/>
                <w:sz w:val="18"/>
                <w:szCs w:val="18"/>
              </w:rPr>
              <w:t>保定市满城区人民检察院</w:t>
            </w: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30.32</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28.80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28.80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1.52</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19.05</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18.82</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18.82</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0.23</w:t>
            </w: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6"/>
        <w:tblW w:w="9510" w:type="dxa"/>
        <w:jc w:val="center"/>
        <w:tblLayout w:type="fixed"/>
        <w:tblCellMar>
          <w:top w:w="0" w:type="dxa"/>
          <w:left w:w="0" w:type="dxa"/>
          <w:bottom w:w="0" w:type="dxa"/>
          <w:right w:w="0" w:type="dxa"/>
        </w:tblCellMar>
      </w:tblPr>
      <w:tblGrid>
        <w:gridCol w:w="567"/>
        <w:gridCol w:w="50"/>
        <w:gridCol w:w="50"/>
        <w:gridCol w:w="2003"/>
        <w:gridCol w:w="1140"/>
        <w:gridCol w:w="1140"/>
        <w:gridCol w:w="1140"/>
        <w:gridCol w:w="1140"/>
        <w:gridCol w:w="1140"/>
        <w:gridCol w:w="114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57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201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2286"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570"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3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3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201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r>
              <w:rPr>
                <w:rFonts w:hint="eastAsia" w:ascii="Arial" w:hAnsi="Arial" w:cs="Arial"/>
                <w:color w:val="000000"/>
                <w:sz w:val="18"/>
                <w:szCs w:val="18"/>
              </w:rPr>
              <w:t>保定市满城区人民检察院</w:t>
            </w: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4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2286"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6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42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64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01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6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201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6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201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6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6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6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6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6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6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6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20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widowControl/>
        <w:spacing w:line="560" w:lineRule="exact"/>
        <w:jc w:val="left"/>
        <w:rPr>
          <w:b/>
          <w:sz w:val="20"/>
          <w:szCs w:val="22"/>
          <w:highlight w:val="yellow"/>
        </w:rPr>
      </w:pPr>
      <w:r>
        <w:rPr>
          <w:rFonts w:hint="eastAsia" w:ascii="宋体" w:hAnsi="宋体" w:eastAsia="宋体" w:cs="宋体"/>
          <w:sz w:val="20"/>
          <w:szCs w:val="22"/>
        </w:rPr>
        <w:t>注：本部门本年度无政府性基金预算财政拨款收入、支出及结转结余情况，按要求空表列示。</w:t>
      </w:r>
      <w:r>
        <w:rPr>
          <w:b/>
          <w:sz w:val="20"/>
          <w:szCs w:val="22"/>
          <w:highlight w:val="yellow"/>
        </w:rPr>
        <w:br w:type="page"/>
      </w:r>
    </w:p>
    <w:tbl>
      <w:tblPr>
        <w:tblStyle w:val="6"/>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保定市满城区人民检察院</w:t>
            </w: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注：本部门本年度无国有资本经营预算财政拨款收入、支出及结转结余情况</w:t>
      </w:r>
      <w:r>
        <w:rPr>
          <w:rFonts w:hint="eastAsia" w:ascii="宋体" w:hAnsi="宋体" w:eastAsia="宋体" w:cs="宋体"/>
          <w:sz w:val="20"/>
          <w:szCs w:val="22"/>
        </w:rPr>
        <w:t>，</w:t>
      </w:r>
      <w:r>
        <w:rPr>
          <w:rFonts w:hint="eastAsia" w:ascii="宋体" w:hAnsi="宋体" w:eastAsia="宋体" w:cs="宋体"/>
        </w:rPr>
        <w:t>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6432;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18668E"/>
    <w:rsid w:val="001B73D2"/>
    <w:rsid w:val="001E62BF"/>
    <w:rsid w:val="00227500"/>
    <w:rsid w:val="00293E7B"/>
    <w:rsid w:val="002D1F4F"/>
    <w:rsid w:val="00366D90"/>
    <w:rsid w:val="003D678E"/>
    <w:rsid w:val="00401223"/>
    <w:rsid w:val="005023F4"/>
    <w:rsid w:val="00536034"/>
    <w:rsid w:val="00761E45"/>
    <w:rsid w:val="00801F66"/>
    <w:rsid w:val="009334BF"/>
    <w:rsid w:val="00DD796F"/>
    <w:rsid w:val="04EF5E40"/>
    <w:rsid w:val="058B71E0"/>
    <w:rsid w:val="05D97171"/>
    <w:rsid w:val="07C51B64"/>
    <w:rsid w:val="07ED33A2"/>
    <w:rsid w:val="0A491E9D"/>
    <w:rsid w:val="0EA325C9"/>
    <w:rsid w:val="117D3B01"/>
    <w:rsid w:val="13152F07"/>
    <w:rsid w:val="13CB16EC"/>
    <w:rsid w:val="16090A6D"/>
    <w:rsid w:val="18C03970"/>
    <w:rsid w:val="21FF3921"/>
    <w:rsid w:val="27A06CBA"/>
    <w:rsid w:val="2D080664"/>
    <w:rsid w:val="2FB96948"/>
    <w:rsid w:val="2FFF2E22"/>
    <w:rsid w:val="3327616A"/>
    <w:rsid w:val="33CC1EF6"/>
    <w:rsid w:val="34C45458"/>
    <w:rsid w:val="35C83C42"/>
    <w:rsid w:val="37963C5D"/>
    <w:rsid w:val="38C7106F"/>
    <w:rsid w:val="3C8F2A1B"/>
    <w:rsid w:val="44410974"/>
    <w:rsid w:val="460A40BA"/>
    <w:rsid w:val="4CD9308F"/>
    <w:rsid w:val="4F6440E3"/>
    <w:rsid w:val="502278F5"/>
    <w:rsid w:val="53C01F68"/>
    <w:rsid w:val="576F6295"/>
    <w:rsid w:val="59D662E4"/>
    <w:rsid w:val="5D0C63C4"/>
    <w:rsid w:val="5D11292F"/>
    <w:rsid w:val="6349401B"/>
    <w:rsid w:val="646B6100"/>
    <w:rsid w:val="696F3695"/>
    <w:rsid w:val="6A0369FF"/>
    <w:rsid w:val="6A5F4053"/>
    <w:rsid w:val="6A6F7E86"/>
    <w:rsid w:val="6ACB3EA9"/>
    <w:rsid w:val="6C841A00"/>
    <w:rsid w:val="71810C63"/>
    <w:rsid w:val="71DB644D"/>
    <w:rsid w:val="73D824BD"/>
    <w:rsid w:val="761D2516"/>
    <w:rsid w:val="77371A72"/>
    <w:rsid w:val="78030AE2"/>
    <w:rsid w:val="799B3120"/>
    <w:rsid w:val="7C12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5">
    <w:name w:val="Normal (Web)"/>
    <w:basedOn w:val="1"/>
    <w:qFormat/>
    <w:uiPriority w:val="0"/>
    <w:pPr>
      <w:spacing w:line="375" w:lineRule="atLeast"/>
      <w:jc w:val="left"/>
    </w:pPr>
    <w:rPr>
      <w:rFonts w:cs="Times New Roman"/>
      <w:kern w:val="0"/>
      <w:sz w:val="24"/>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basedOn w:val="8"/>
    <w:qFormat/>
    <w:uiPriority w:val="0"/>
    <w:rPr>
      <w:color w:val="333333"/>
      <w:u w:val="none"/>
    </w:rPr>
  </w:style>
  <w:style w:type="character" w:styleId="10">
    <w:name w:val="Hyperlink"/>
    <w:basedOn w:val="8"/>
    <w:qFormat/>
    <w:uiPriority w:val="0"/>
    <w:rPr>
      <w:color w:val="515151"/>
      <w:sz w:val="18"/>
      <w:szCs w:val="18"/>
      <w:u w:val="none"/>
    </w:rPr>
  </w:style>
  <w:style w:type="character" w:customStyle="1" w:styleId="11">
    <w:name w:val="on"/>
    <w:basedOn w:val="8"/>
    <w:qFormat/>
    <w:uiPriority w:val="0"/>
    <w:rPr>
      <w:shd w:val="clear" w:color="auto" w:fill="FFFFFF"/>
    </w:rPr>
  </w:style>
  <w:style w:type="character" w:customStyle="1" w:styleId="12">
    <w:name w:val="f"/>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4037;&#20316;\&#36130;&#21153;\&#39044;&#20915;&#31639;&#20844;&#24320;\&#20915;&#31639;\2020&#20915;&#31639;\&#20915;&#31639;&#20844;&#24320;\&#22270;&#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4037;&#20316;\&#36130;&#21153;\&#39044;&#20915;&#31639;&#20844;&#24320;\&#20915;&#31639;\2020&#20915;&#31639;\&#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r>
              <a:rPr lang="en-US" altLang="zh-CN">
                <a:latin typeface="楷体_GB2312" pitchFamily="3" charset="-122"/>
                <a:ea typeface="楷体_GB2312" pitchFamily="3" charset="-122"/>
                <a:cs typeface="楷体_GB2312" pitchFamily="3" charset="-122"/>
                <a:sym typeface="楷体_GB2312" pitchFamily="3" charset="-122"/>
              </a:rPr>
              <a:t>2019-2020</a:t>
            </a:r>
            <a:r>
              <a:rPr lang="zh-CN" altLang="en-US">
                <a:latin typeface="楷体_GB2312" pitchFamily="3" charset="-122"/>
                <a:ea typeface="楷体_GB2312" pitchFamily="3" charset="-122"/>
                <a:cs typeface="楷体_GB2312" pitchFamily="3" charset="-122"/>
                <a:sym typeface="楷体_GB2312" pitchFamily="3" charset="-122"/>
              </a:rPr>
              <a:t>年收支总计对比情况（图</a:t>
            </a:r>
            <a:r>
              <a:rPr lang="en-US" altLang="zh-CN">
                <a:latin typeface="楷体_GB2312" pitchFamily="3" charset="-122"/>
                <a:ea typeface="楷体_GB2312" pitchFamily="3" charset="-122"/>
                <a:cs typeface="楷体_GB2312" pitchFamily="3" charset="-122"/>
                <a:sym typeface="楷体_GB2312" pitchFamily="3" charset="-122"/>
              </a:rPr>
              <a:t>1</a:t>
            </a:r>
            <a:r>
              <a:rPr lang="zh-CN" altLang="en-US">
                <a:latin typeface="楷体_GB2312" pitchFamily="3" charset="-122"/>
                <a:ea typeface="楷体_GB2312" pitchFamily="3" charset="-122"/>
                <a:cs typeface="楷体_GB2312" pitchFamily="3" charset="-122"/>
                <a:sym typeface="楷体_GB2312" pitchFamily="3" charset="-122"/>
              </a:rPr>
              <a:t>）</a:t>
            </a:r>
            <a:endParaRPr lang="zh-CN" altLang="en-US">
              <a:latin typeface="楷体_GB2312" pitchFamily="3" charset="-122"/>
              <a:ea typeface="楷体_GB2312" pitchFamily="3" charset="-122"/>
              <a:cs typeface="楷体_GB2312" pitchFamily="3" charset="-122"/>
              <a:sym typeface="楷体_GB2312"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r>
                      <a:rPr lang="en-US" altLang="zh-CN"/>
                      <a:t>1301.30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r>
                      <a:rPr lang="en-US" altLang="zh-CN"/>
                      <a:t>938.51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6000</c:v>
                </c:pt>
                <c:pt idx="1">
                  <c:v>8000</c:v>
                </c:pt>
              </c:numCache>
            </c:numRef>
          </c:val>
        </c:ser>
        <c:dLbls>
          <c:showLegendKey val="0"/>
          <c:showVal val="1"/>
          <c:showCatName val="0"/>
          <c:showSerName val="0"/>
          <c:showPercent val="0"/>
          <c:showBubbleSize val="0"/>
        </c:dLbls>
        <c:gapWidth val="219"/>
        <c:overlap val="-27"/>
        <c:axId val="462451782"/>
        <c:axId val="737457775"/>
      </c:barChart>
      <c:catAx>
        <c:axId val="46245178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737457775"/>
        <c:crosses val="autoZero"/>
        <c:auto val="1"/>
        <c:lblAlgn val="ctr"/>
        <c:lblOffset val="100"/>
        <c:noMultiLvlLbl val="0"/>
      </c:catAx>
      <c:valAx>
        <c:axId val="73745777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46245178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楷体_GB2312" pitchFamily="3" charset="-122"/>
          <a:ea typeface="楷体_GB2312" pitchFamily="3" charset="-122"/>
          <a:cs typeface="楷体_GB2312" pitchFamily="3" charset="-122"/>
          <a:sym typeface="楷体_GB2312"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 基本支出</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91.07%</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 项目支出</a:t>
                    </a:r>
                    <a:endParaRPr lang="zh-CN" altLang="en-US"/>
                  </a:p>
                  <a:p>
                    <a:pPr>
                      <a:defRPr lang="zh-CN" sz="900" b="0" i="0" u="none" strike="noStrike" kern="1200" baseline="0">
                        <a:solidFill>
                          <a:schemeClr val="tx1">
                            <a:lumMod val="75000"/>
                            <a:lumOff val="25000"/>
                          </a:schemeClr>
                        </a:solidFill>
                        <a:latin typeface="+mn-lt"/>
                        <a:ea typeface="+mn-ea"/>
                        <a:cs typeface="+mn-cs"/>
                      </a:defRPr>
                    </a:pPr>
                    <a:r>
                      <a:rPr lang="en-US" altLang="zh-CN"/>
                      <a:t>8.93%</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[图表.xls]Sheet1!$B$5:$C$6</c:f>
              <c:multiLvlStrCache>
                <c:ptCount val="2"/>
                <c:lvl>
                  <c:pt idx="0">
                    <c:v>基本支出</c:v>
                  </c:pt>
                  <c:pt idx="1">
                    <c:v>项目支出</c:v>
                  </c:pt>
                </c:lvl>
                <c:lvl>
                  <c:pt idx="0">
                    <c:v>861.57</c:v>
                  </c:pt>
                </c:lvl>
              </c:multiLvlStrCache>
            </c:multiLvlStrRef>
          </c:cat>
          <c:val>
            <c:numRef>
              <c:f>[图表.xls]Sheet1!$D$5:$D$6</c:f>
              <c:numCache>
                <c:formatCode>General</c:formatCode>
                <c:ptCount val="2"/>
                <c:pt idx="0">
                  <c:v>784.67</c:v>
                </c:pt>
                <c:pt idx="1">
                  <c:v>76.9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86</a:t>
                    </a:r>
                    <a:r>
                      <a:rPr lang="en-US" altLang="zh-CN"/>
                      <a:t>.05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a:t>
                    </a:r>
                    <a:r>
                      <a:rPr lang="en-US" altLang="zh-CN"/>
                      <a:t>.25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0223270176293829"/>
                  <c:y val="0.0508898379606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2.39</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573863144483429"/>
                  <c:y val="0.1034540506559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.31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[图表.xls]Sheet2!$A$1:$A$4</c:f>
              <c:strCache>
                <c:ptCount val="4"/>
                <c:pt idx="0">
                  <c:v>公共安全类</c:v>
                </c:pt>
                <c:pt idx="1">
                  <c:v>社会保障和就业</c:v>
                </c:pt>
                <c:pt idx="2">
                  <c:v>卫生健康</c:v>
                </c:pt>
                <c:pt idx="3">
                  <c:v>住房保障</c:v>
                </c:pt>
              </c:strCache>
            </c:strRef>
          </c:cat>
          <c:val>
            <c:numRef>
              <c:f>[图表.xls]Sheet2!$B$1:$B$4</c:f>
              <c:numCache>
                <c:formatCode>General</c:formatCode>
                <c:ptCount val="4"/>
                <c:pt idx="0">
                  <c:v>741.38</c:v>
                </c:pt>
                <c:pt idx="1">
                  <c:v>71.11</c:v>
                </c:pt>
                <c:pt idx="2">
                  <c:v>20.55</c:v>
                </c:pt>
                <c:pt idx="3">
                  <c:v>28.53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1799</Words>
  <Characters>10260</Characters>
  <Lines>85</Lines>
  <Paragraphs>24</Paragraphs>
  <TotalTime>9</TotalTime>
  <ScaleCrop>false</ScaleCrop>
  <LinksUpToDate>false</LinksUpToDate>
  <CharactersWithSpaces>12035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lenovo</cp:lastModifiedBy>
  <cp:lastPrinted>2021-10-13T02:46:00Z</cp:lastPrinted>
  <dcterms:modified xsi:type="dcterms:W3CDTF">2023-06-09T08:06:12Z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6E1982A8C1D84A07AA6707F834B03EA0</vt:lpwstr>
  </property>
</Properties>
</file>