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保定市满城区生活用纸产业扶持政策（试行）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2023年8月1日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为促进满城传统生活用纸产业扩规模、提品质、延链条，支持本地企业二次创业，引导产业链企业来满聚集发展，特提出以下扶持政策。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主要支持以下产业类型：生活用纸机制纸、复卷加工和高端纸制生活卫生用品及配套的机械设备制造、电商等生活用纸产业链企业（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需由生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u w:val="none"/>
          <w:lang w:val="en-US" w:eastAsia="zh-CN"/>
        </w:rPr>
        <w:t>活用纸产业链招商专班认定，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并在满城新注册或迁入的独立法人公司，以下简称：生活用纸产业链企业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第二章  强化产业资源保障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强化基础设施保障。加快实施开发区北部版块（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u w:val="none"/>
          <w:lang w:val="en-US" w:eastAsia="zh-CN"/>
        </w:rPr>
        <w:t>京津冀生活用纸科技创新产业园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）基础设施改造提升工程和深能热电二期、深能热力调度中心等项目建设，积极推进开发区北部版块（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u w:val="none"/>
          <w:lang w:val="en-US" w:eastAsia="zh-CN"/>
        </w:rPr>
        <w:t>京津冀生活用纸科技创新产业园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）、东部版块（</w:t>
      </w:r>
      <w:r>
        <w:rPr>
          <w:rFonts w:hint="default" w:ascii="楷体_GB2312" w:hAnsi="楷体_GB2312" w:eastAsia="楷体_GB2312" w:cs="楷体_GB2312"/>
          <w:spacing w:val="-8"/>
          <w:sz w:val="32"/>
          <w:szCs w:val="32"/>
          <w:u w:val="none"/>
          <w:lang w:val="en-US" w:eastAsia="zh-CN"/>
        </w:rPr>
        <w:t>漕河科技创新示范园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）工业蒸汽入园工程，保障开发区工业蒸汽、供热气源供应。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优化产业空间布局。依托深能热电二期工业蒸汽资源，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在开发区西部版块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（城区东北角）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布局生活用纸机制纸和复卷加工等企业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；在开发区东部版块（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漕河科技创新示范园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）市西二环北延两侧（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总规划面积2000余亩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）以及小许城村北（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已列入城镇开发边界的384.6亩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，布局生活用纸复卷加工、高端纸制卫生用品等企业和少量生活用纸机制纸企业、配套物流企业；利用园发公司在开发区东部版块建设的标准厂房，承接电商、总部办公、高端纸制卫生用品、复卷加工等企业，有效疏解京津冀生活用纸科技创新产业园发展空间和交通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做大做强产业链条。主动衔接省政府领导在省发改委、省工信厅《关于提请&lt;河北省新增限制和淘汰类产业目录（2015版）&gt;失效的请示》上的批示要求，积极有序放开生活用纸机制纸产业准入，支持企业扩大生产规模；鼓励企业发展高端纸制卫生用品项目，配套发展电商、总部办公、物流等项目，进一步延伸产业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降低产业运营成本。成立区工业蒸汽对接保障领导小组，由生活用纸产业链链长任组长，工信局具体负责，发改、生态环境等部门配合，加强区生活用纸协会单位与长青热力、深能热电等供汽单位的联系，保障产业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对等、蒸汽价格合理。同时，由生活用纸产业链招商专班负责，定期组织生活用纸电商企业与“四通一达”等快递企业的谈判，协商确定物流配送价格；积极引进落地快递物流、供应链金融、保税仓储等项目，进一步降低行业发展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第三章  相关产业扶持政策</w:t>
      </w:r>
    </w:p>
    <w:p>
      <w:pPr>
        <w:autoSpaceDE w:val="0"/>
        <w:spacing w:line="600" w:lineRule="exact"/>
        <w:ind w:firstLine="608" w:firstLineChars="200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对新增用地亿元以上固定资产投资产业链企业投资的达标（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亩均投资强度达到300万元、亩均税收达到市定16.5万元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）项目进行扶持。固定资产投资1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亿元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-5亿元（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含1亿元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），每亩给予16万元左右的发展扶持资金，补贴后综合地价成本30万元/亩；固定资产投资5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亿元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-10亿元（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  <w:t>含5亿元、10亿元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），每亩给予26万元左右的发展扶持资金，补贴后综合地价成本20万元/亩；固定资产投资10亿元以上，每亩给予36万元左右的发展扶持资金，补贴后综合地价成本10万元/亩。</w:t>
      </w:r>
    </w:p>
    <w:p>
      <w:pPr>
        <w:autoSpaceDE w:val="0"/>
        <w:spacing w:line="600" w:lineRule="exact"/>
        <w:ind w:firstLine="608" w:firstLineChars="200"/>
        <w:rPr>
          <w:rFonts w:ascii="仿宋_GB2312" w:hAnsi="Arial" w:eastAsia="仿宋_GB2312" w:cs="Arial"/>
          <w:spacing w:val="-8"/>
          <w:sz w:val="32"/>
          <w:szCs w:val="32"/>
        </w:rPr>
      </w:pPr>
      <w:r>
        <w:rPr>
          <w:rFonts w:hint="eastAsia" w:ascii="黑体" w:hAnsi="黑体" w:eastAsia="黑体" w:cs="楷体_GB2312"/>
          <w:spacing w:val="-8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根据保定市满城区《关于强化招商引资措施的意见</w:t>
      </w:r>
      <w:r>
        <w:rPr>
          <w:rFonts w:hint="eastAsia" w:ascii="楷体_GB2312" w:hAnsi="宋体" w:eastAsia="楷体_GB2312" w:cs="宋体"/>
          <w:spacing w:val="-8"/>
          <w:sz w:val="32"/>
          <w:szCs w:val="32"/>
        </w:rPr>
        <w:t>（试行）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》，</w:t>
      </w:r>
      <w:r>
        <w:rPr>
          <w:rFonts w:hint="eastAsia" w:ascii="仿宋_GB2312" w:hAnsi="Arial" w:eastAsia="仿宋_GB2312" w:cs="仿宋_GB2312"/>
          <w:spacing w:val="-8"/>
          <w:sz w:val="32"/>
          <w:szCs w:val="32"/>
          <w:lang w:val="en-US" w:eastAsia="zh-CN"/>
        </w:rPr>
        <w:t>对租赁园区标准厂房的生活用纸产业链企业，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以“先缴后奖”方式享受租金扶持政策</w:t>
      </w:r>
      <w:r>
        <w:rPr>
          <w:rFonts w:hint="eastAsia" w:ascii="楷体_GB2312" w:hAnsi="宋体" w:eastAsia="楷体_GB2312" w:cs="宋体"/>
          <w:spacing w:val="-8"/>
          <w:sz w:val="32"/>
          <w:szCs w:val="32"/>
        </w:rPr>
        <w:t>（扶持资金原则上不超过纳税地方留成）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。企业正式纳税后</w:t>
      </w:r>
      <w:r>
        <w:rPr>
          <w:rFonts w:hint="eastAsia" w:ascii="楷体_GB2312" w:hAnsi="宋体" w:eastAsia="楷体_GB2312" w:cs="宋体"/>
          <w:spacing w:val="-8"/>
          <w:sz w:val="32"/>
          <w:szCs w:val="32"/>
        </w:rPr>
        <w:t>（测算以投产后首个完整自然年计算，下同）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，区财政给予第一年租金标准</w:t>
      </w:r>
      <w:r>
        <w:rPr>
          <w:rFonts w:ascii="仿宋_GB2312" w:hAnsi="Arial" w:eastAsia="仿宋_GB2312" w:cs="仿宋_GB2312"/>
          <w:spacing w:val="-8"/>
          <w:sz w:val="32"/>
          <w:szCs w:val="32"/>
        </w:rPr>
        <w:t>100%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的扶持资金，第二年给予租金标准</w:t>
      </w:r>
      <w:r>
        <w:rPr>
          <w:rFonts w:ascii="仿宋_GB2312" w:hAnsi="Arial" w:eastAsia="仿宋_GB2312" w:cs="仿宋_GB2312"/>
          <w:spacing w:val="-8"/>
          <w:sz w:val="32"/>
          <w:szCs w:val="32"/>
        </w:rPr>
        <w:t>80%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、第三年给予租金标准</w:t>
      </w:r>
      <w:r>
        <w:rPr>
          <w:rFonts w:ascii="仿宋_GB2312" w:hAnsi="Arial" w:eastAsia="仿宋_GB2312" w:cs="仿宋_GB2312"/>
          <w:spacing w:val="-8"/>
          <w:sz w:val="32"/>
          <w:szCs w:val="32"/>
        </w:rPr>
        <w:t>60%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、第四年给予租金标准</w:t>
      </w:r>
      <w:r>
        <w:rPr>
          <w:rFonts w:ascii="仿宋_GB2312" w:hAnsi="Arial" w:eastAsia="仿宋_GB2312" w:cs="仿宋_GB2312"/>
          <w:spacing w:val="-8"/>
          <w:sz w:val="32"/>
          <w:szCs w:val="32"/>
        </w:rPr>
        <w:t>40%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、第五年给予租金标准</w:t>
      </w:r>
      <w:r>
        <w:rPr>
          <w:rFonts w:ascii="仿宋_GB2312" w:hAnsi="Arial" w:eastAsia="仿宋_GB2312" w:cs="仿宋_GB2312"/>
          <w:spacing w:val="-8"/>
          <w:sz w:val="32"/>
          <w:szCs w:val="32"/>
        </w:rPr>
        <w:t>20%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的扶持资金。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08" w:firstLineChars="200"/>
        <w:rPr>
          <w:rFonts w:ascii="仿宋_GB2312" w:hAnsi="Arial" w:eastAsia="仿宋_GB2312" w:cs="Arial"/>
          <w:spacing w:val="-8"/>
          <w:sz w:val="32"/>
          <w:szCs w:val="32"/>
        </w:rPr>
      </w:pPr>
      <w:r>
        <w:rPr>
          <w:rFonts w:hint="eastAsia" w:ascii="黑体" w:hAnsi="黑体" w:eastAsia="黑体" w:cs="楷体_GB2312"/>
          <w:spacing w:val="-8"/>
          <w:sz w:val="32"/>
          <w:szCs w:val="32"/>
        </w:rPr>
        <w:t>第</w:t>
      </w:r>
      <w:r>
        <w:rPr>
          <w:rFonts w:hint="eastAsia" w:ascii="黑体" w:hAnsi="黑体" w:eastAsia="黑体" w:cs="楷体_GB2312"/>
          <w:spacing w:val="-8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楷体_GB2312"/>
          <w:spacing w:val="-8"/>
          <w:sz w:val="32"/>
          <w:szCs w:val="32"/>
        </w:rPr>
        <w:t>条</w:t>
      </w:r>
      <w:r>
        <w:rPr>
          <w:rFonts w:hint="eastAsia" w:ascii="黑体" w:hAnsi="黑体" w:eastAsia="黑体" w:cs="楷体_GB2312"/>
          <w:spacing w:val="-8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楷体_GB2312"/>
          <w:spacing w:val="-8"/>
          <w:sz w:val="32"/>
          <w:szCs w:val="32"/>
        </w:rPr>
        <w:t xml:space="preserve"> 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科技、发改、工信等部门将入驻企业优先列为上级专项资金扶持项目。组织部、人社局支持入驻企业所聘人才享受相关人才政策。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楷体_GB2312"/>
          <w:b w:val="0"/>
          <w:spacing w:val="-8"/>
          <w:kern w:val="2"/>
          <w:sz w:val="32"/>
          <w:szCs w:val="32"/>
          <w:lang w:val="en-US" w:eastAsia="zh-CN" w:bidi="ar-SA"/>
        </w:rPr>
        <w:t>第四章  附  则</w:t>
      </w:r>
    </w:p>
    <w:p>
      <w:pPr>
        <w:autoSpaceDE w:val="0"/>
        <w:spacing w:line="600" w:lineRule="exact"/>
        <w:ind w:firstLine="608" w:firstLineChars="200"/>
        <w:rPr>
          <w:rFonts w:hint="eastAsia" w:cs="仿宋_GB2312"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b w:val="0"/>
          <w:spacing w:val="-8"/>
          <w:kern w:val="2"/>
          <w:sz w:val="32"/>
          <w:szCs w:val="32"/>
          <w:lang w:val="en-US" w:eastAsia="zh-CN" w:bidi="ar-SA"/>
        </w:rPr>
        <w:t>第十条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spacing w:val="-8"/>
          <w:sz w:val="32"/>
          <w:szCs w:val="32"/>
          <w:lang w:val="en-US" w:eastAsia="zh-CN"/>
        </w:rPr>
        <w:t>本办法由河北满城经济开发区管委会和区工信局共同负责解释，自印发之日起</w:t>
      </w:r>
      <w:r>
        <w:rPr>
          <w:rFonts w:hint="eastAsia" w:hAnsi="Arial" w:cs="仿宋_GB2312"/>
          <w:spacing w:val="-8"/>
          <w:sz w:val="32"/>
          <w:szCs w:val="32"/>
          <w:lang w:val="en-US" w:eastAsia="zh-CN"/>
        </w:rPr>
        <w:t>施</w:t>
      </w:r>
      <w:r>
        <w:rPr>
          <w:rFonts w:hint="eastAsia" w:ascii="仿宋_GB2312" w:hAnsi="Arial" w:eastAsia="仿宋_GB2312" w:cs="仿宋_GB2312"/>
          <w:spacing w:val="-8"/>
          <w:sz w:val="32"/>
          <w:szCs w:val="32"/>
          <w:lang w:val="en-US" w:eastAsia="zh-CN"/>
        </w:rPr>
        <w:t>行。</w:t>
      </w:r>
      <w:r>
        <w:rPr>
          <w:rFonts w:hint="eastAsia" w:ascii="仿宋_GB2312" w:hAnsi="Arial" w:eastAsia="仿宋_GB2312" w:cs="仿宋_GB2312"/>
          <w:spacing w:val="-8"/>
          <w:sz w:val="32"/>
          <w:szCs w:val="32"/>
        </w:rPr>
        <w:t>在有效期内法律、法规、规章或上级规范性文件另有规定，或已按程序对本办法做出修改、废止、失效的决定，从其规定或决定。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600" w:lineRule="exact"/>
        <w:ind w:left="0" w:right="0" w:firstLine="608" w:firstLineChars="200"/>
        <w:textAlignment w:val="auto"/>
        <w:rPr>
          <w:rFonts w:hint="eastAsia" w:cs="仿宋_GB2312"/>
          <w:color w:val="auto"/>
          <w:spacing w:val="-8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600" w:lineRule="exact"/>
        <w:ind w:left="0" w:right="0" w:firstLine="608" w:firstLineChars="200"/>
        <w:textAlignment w:val="auto"/>
        <w:rPr>
          <w:rFonts w:hint="default" w:cs="仿宋_GB2312"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pacing w:val="-8"/>
          <w:sz w:val="32"/>
          <w:szCs w:val="32"/>
          <w:lang w:val="en-US" w:eastAsia="zh-CN"/>
        </w:rPr>
        <w:t>附件：开发区省批版块分布图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262255</wp:posOffset>
            </wp:positionV>
            <wp:extent cx="5392420" cy="3813810"/>
            <wp:effectExtent l="0" t="0" r="2540" b="11430"/>
            <wp:wrapTopAndBottom/>
            <wp:docPr id="2" name="图片 2" descr="微信图片_2023080110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11007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pacing w:val="-8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701" w:bottom="1701" w:left="170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20EB4CF0"/>
    <w:rsid w:val="20EB4CF0"/>
    <w:rsid w:val="77D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 w:eastAsia="等线"/>
      <w:b/>
      <w:sz w:val="32"/>
      <w:szCs w:val="22"/>
    </w:rPr>
  </w:style>
  <w:style w:type="paragraph" w:styleId="3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1521</Words>
  <Characters>1563</Characters>
  <Lines>0</Lines>
  <Paragraphs>0</Paragraphs>
  <TotalTime>11</TotalTime>
  <ScaleCrop>false</ScaleCrop>
  <LinksUpToDate>false</LinksUpToDate>
  <CharactersWithSpaces>1595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2023-08-01T09:59:00Z</dcterms:created>
  <dc:creator>曹雷</dc:creator>
  <cp:lastModifiedBy>悠幽</cp:lastModifiedBy>
  <dcterms:modified xsi:type="dcterms:W3CDTF">2023-08-02T01:18:43Z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BBB0947C46CB41EBAE52DDC358437262_13</vt:lpwstr>
  </property>
</Properties>
</file>