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a:ln w="9525">
                      <a:noFill/>
                      <a:miter lim="800000"/>
                      <a:headEnd/>
                      <a:tailEnd/>
                    </a:ln>
                  </pic:spPr>
                </pic:pic>
              </a:graphicData>
            </a:graphic>
          </wp:anchor>
        </w:drawing>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ascii="黑体" w:hAnsi="宋体" w:eastAsia="黑体"/>
                      <w:color w:val="FDEFBE"/>
                      <w:sz w:val="96"/>
                      <w:szCs w:val="96"/>
                    </w:rPr>
                    <w:t>中共保定市满城区委党校</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203"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第三部分中共保定市满城区委党校</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203">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a:ln w="9525">
                      <a:noFill/>
                      <a:miter lim="800000"/>
                      <a:headEnd/>
                      <a:tailEnd/>
                    </a:ln>
                  </pic:spPr>
                </pic:pic>
              </a:graphicData>
            </a:graphic>
          </wp:anchor>
        </w:drawing>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203">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w:t>
      </w:r>
      <w:bookmarkStart w:id="0" w:name="_GoBack"/>
      <w:bookmarkEnd w:id="0"/>
      <w:r>
        <w:rPr>
          <w:rFonts w:hint="eastAsia" w:ascii="仿宋_GB2312" w:hAnsi="仿宋_GB2312" w:eastAsia="仿宋_GB2312" w:cs="仿宋_GB2312"/>
          <w:sz w:val="28"/>
          <w:szCs w:val="28"/>
        </w:rPr>
        <w:t>宣传党的路线、方针、政策。</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2、按照区委的统一要求，对全区在职干部特别是科级领导干部的理论学习进行培训和辅导，负责培训基层单位的理论骨干，举办专题讲座。</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3、轮训全体现职村级正职以上领导干部；培训中青年党员领导干部和后备干部。</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4、围绕国际国内出现的新情况新问题开展理论研究。根据自身业务同有关部门一起适时组织理论研讨会，推动社会科学的理论研究和发展。</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5、围绕区委的中心工作和重大课题活动进行调查研究，了解和把握满城的历史和现状，为党委和政府的重大决策提供理论参考。</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6、抓好党校自身建设。抓好干部队伍、师资队伍、党员队伍建设，做好基础设施建设工程，加强后勤保障和服务工作。</w:t>
      </w:r>
    </w:p>
    <w:p>
      <w:pPr>
        <w:ind w:firstLine="56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sz w:val="28"/>
          <w:szCs w:val="28"/>
        </w:rPr>
        <w:t>7、完成区委交办的其它任务。</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highlight w:val="yellow"/>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294"/>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294"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816"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中共保定市满城区委党校</w:t>
            </w:r>
          </w:p>
        </w:tc>
        <w:tc>
          <w:tcPr>
            <w:tcW w:w="2294"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全额事业</w:t>
            </w:r>
          </w:p>
        </w:tc>
        <w:tc>
          <w:tcPr>
            <w:tcW w:w="2816"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财政性资金基本保证</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a:ln w="9525">
                      <a:noFill/>
                      <a:miter lim="800000"/>
                      <a:headEnd/>
                      <a:tailEnd/>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203">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部门：中共保定市满城区委党校</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仿宋_GB2312" w:hAnsi="仿宋_GB2312" w:eastAsia="仿宋_GB2312" w:cs="仿宋_GB2312"/>
                <w:sz w:val="22"/>
                <w:szCs w:val="22"/>
              </w:rPr>
              <w:t>264.22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仿宋_GB2312" w:hAnsi="仿宋_GB2312" w:eastAsia="仿宋_GB2312" w:cs="仿宋_GB2312"/>
                <w:sz w:val="22"/>
                <w:szCs w:val="22"/>
              </w:rPr>
              <w:t>264.22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203">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教育支出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进修及培训</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干部教育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203">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教育支出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进修及培训</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干部教育</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203">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部门：中共保定市满城区委党校</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203">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教育支出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进修及培训</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干部教育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203">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宋体" w:hAnsi="宋体" w:cs="宋体"/>
                <w:color w:val="000000"/>
                <w:kern w:val="0"/>
                <w:sz w:val="22"/>
                <w:szCs w:val="22"/>
              </w:rPr>
              <w:t>中共保定市满城区委党校</w: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213.8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11.27</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91.48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9.49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17.78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47.14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0.36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8.18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5.19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0.76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12.99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29.04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18.72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1.89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8.27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242.84</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203">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部门：中共保定市满城区委党校</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2.76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2.50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0.26</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2.17</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203">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81"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w:t>
            </w:r>
          </w:p>
          <w:p>
            <w:pPr>
              <w:widowControl/>
              <w:adjustRightInd w:val="0"/>
              <w:spacing w:after="0" w:line="240" w:lineRule="auto"/>
              <w:jc w:val="left"/>
              <w:textAlignment w:val="center"/>
              <w:rPr>
                <w:rFonts w:ascii="宋体" w:cs="宋体"/>
                <w:color w:val="000000"/>
                <w:szCs w:val="21"/>
              </w:rPr>
            </w:pPr>
            <w:r>
              <w:rPr>
                <w:rFonts w:hint="eastAsia" w:ascii="宋体" w:cs="宋体"/>
                <w:color w:val="000000"/>
                <w:szCs w:val="21"/>
              </w:rPr>
              <w:t>注：我单位无政府性基金预算财政拨款，按要求空表列示。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411"/>
        <w:gridCol w:w="1487"/>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203">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94"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846"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516"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编制单位：中共保定市满城区委党校</w:t>
            </w:r>
          </w:p>
        </w:tc>
        <w:tc>
          <w:tcPr>
            <w:tcW w:w="1846"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5473"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kern w:val="0"/>
                <w:sz w:val="22"/>
                <w:szCs w:val="22"/>
              </w:rPr>
            </w:pPr>
            <w:r>
              <w:rPr>
                <w:rFonts w:hint="eastAsia" w:ascii="宋体" w:cs="宋体"/>
                <w:color w:val="000000"/>
                <w:szCs w:val="21"/>
              </w:rPr>
              <w:t>注：我单位无国有资本经营预算财政拨款，按要求空表列示。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203">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编制单位：中共保定市满城区委党校</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3456"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p>
          <w:p>
            <w:pPr>
              <w:widowControl/>
              <w:adjustRightInd w:val="0"/>
              <w:snapToGrid w:val="0"/>
              <w:spacing w:after="0" w:line="240" w:lineRule="auto"/>
              <w:jc w:val="left"/>
              <w:textAlignment w:val="center"/>
              <w:rPr>
                <w:rFonts w:ascii="宋体" w:cs="宋体"/>
                <w:color w:val="000000"/>
                <w:szCs w:val="21"/>
              </w:rPr>
            </w:pPr>
            <w:r>
              <w:rPr>
                <w:rFonts w:hint="eastAsia" w:ascii="宋体" w:cs="宋体"/>
                <w:color w:val="000000"/>
                <w:szCs w:val="21"/>
              </w:rPr>
              <w:t>注：我单位无政府采购,按要求以空表列示。</w:t>
            </w:r>
          </w:p>
          <w:p>
            <w:pPr>
              <w:widowControl/>
              <w:adjustRightInd w:val="0"/>
              <w:snapToGrid w:val="0"/>
              <w:spacing w:after="0" w:line="240" w:lineRule="auto"/>
              <w:jc w:val="left"/>
              <w:textAlignment w:val="center"/>
              <w:rPr>
                <w:rFonts w:ascii="宋体" w:cs="宋体"/>
                <w:color w:val="000000"/>
                <w:szCs w:val="21"/>
              </w:rPr>
            </w:pP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87936;mso-width-relative:page;mso-height-relative:page;" coordorigin="4551,52615" coordsize="8546,1398203">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2018年度收入总计264.22万元，其中：财政拨款收入264.22万元。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2017年度收入总计210.98万元，其中：财政拨款收入210.98万元。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2018年度比2017年度增加了53.24万元，增长了25.23 %，其中：财政拨款收入增加53.24万元，增长了25.23 %。</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增加原因：2018年度人员工资和项目支出增加，。</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2018年度支出总计264.22万元，年末结转和结余0万元。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2017年度支出总计210.98万元，年末结转和结余0万元。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2018年度比2017年度增加了53.24万元，增长了25.23 %，年末结转和结余增加了 0万元，增长了0%。</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增加原因：2018年度人员工资项目支出增加。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年度本年收入合计264.22万元，其中：财政拨款收入264.22万元，占100</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；经营收入0万元，占0</w:t>
      </w:r>
      <w:r>
        <w:rPr>
          <w:rFonts w:ascii="仿宋_GB2312" w:eastAsia="仿宋_GB2312" w:cs="DengXian-Regular"/>
          <w:sz w:val="32"/>
          <w:szCs w:val="32"/>
        </w:rPr>
        <w:t>%</w:t>
      </w:r>
      <w:r>
        <w:rPr>
          <w:rFonts w:hint="eastAsia" w:ascii="仿宋_GB2312" w:eastAsia="仿宋_GB2312" w:cs="DengXian-Regular"/>
          <w:sz w:val="32"/>
          <w:szCs w:val="32"/>
        </w:rPr>
        <w:t>；其他收入0万元，占0</w:t>
      </w:r>
      <w:r>
        <w:rPr>
          <w:rFonts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0" w:firstLineChars="200"/>
        <w:rPr>
          <w:rFonts w:ascii="仿宋_GB2312" w:eastAsia="仿宋_GB2312" w:cs="DengXian-Regular"/>
        </w:rPr>
      </w:pPr>
      <w:r>
        <w:rPr>
          <w:rFonts w:hint="eastAsia" w:ascii="仿宋_GB2312" w:eastAsia="仿宋_GB2312" w:cs="DengXian-Regular"/>
          <w:b w:val="0"/>
          <w:bCs w:val="0"/>
        </w:rPr>
        <w:t>本部门</w:t>
      </w:r>
      <w:r>
        <w:rPr>
          <w:rFonts w:ascii="仿宋_GB2312" w:eastAsia="仿宋_GB2312" w:cs="DengXian-Regular"/>
          <w:b w:val="0"/>
          <w:bCs w:val="0"/>
        </w:rPr>
        <w:t>2018</w:t>
      </w:r>
      <w:r>
        <w:rPr>
          <w:rFonts w:hint="eastAsia" w:ascii="仿宋_GB2312" w:eastAsia="仿宋_GB2312" w:cs="DengXian-Regular"/>
          <w:b w:val="0"/>
          <w:bCs w:val="0"/>
        </w:rPr>
        <w:t>年度本年支出合计264.22万元，其中：基本支出254.11万元，占96.17</w:t>
      </w:r>
      <w:r>
        <w:rPr>
          <w:rFonts w:ascii="仿宋_GB2312" w:eastAsia="仿宋_GB2312" w:cs="DengXian-Regular"/>
          <w:b w:val="0"/>
          <w:bCs w:val="0"/>
        </w:rPr>
        <w:t>%</w:t>
      </w:r>
      <w:r>
        <w:rPr>
          <w:rFonts w:hint="eastAsia" w:ascii="仿宋_GB2312" w:eastAsia="仿宋_GB2312" w:cs="DengXian-Regular"/>
          <w:b w:val="0"/>
          <w:bCs w:val="0"/>
        </w:rPr>
        <w:t>；项目支出10.11万元，占3.83</w:t>
      </w:r>
      <w:r>
        <w:rPr>
          <w:rFonts w:ascii="仿宋_GB2312" w:eastAsia="仿宋_GB2312" w:cs="DengXian-Regular"/>
          <w:b w:val="0"/>
          <w:bCs w:val="0"/>
        </w:rPr>
        <w:t>%</w:t>
      </w:r>
      <w:r>
        <w:rPr>
          <w:rFonts w:hint="eastAsia" w:ascii="仿宋_GB2312" w:eastAsia="仿宋_GB2312" w:cs="DengXian-Regular"/>
          <w:b w:val="0"/>
          <w:bCs w:val="0"/>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年度形成的财政拨款收支均为一般公共预算财政拨款，其中一般公共预算财政拨款本年收入264.22万元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 w:hAnsi="仿宋" w:eastAsia="仿宋" w:cs="仿宋"/>
          <w:sz w:val="30"/>
          <w:szCs w:val="30"/>
        </w:rPr>
        <w:t>210.98万元</w:t>
      </w:r>
      <w:r>
        <w:rPr>
          <w:rFonts w:hint="eastAsia" w:ascii="仿宋_GB2312" w:eastAsia="仿宋_GB2312" w:cs="DengXian-Regular"/>
          <w:sz w:val="32"/>
          <w:szCs w:val="32"/>
        </w:rPr>
        <w:t>增加53.24万元，增长了25.23 %，主要是：2018年度人员工资项目支出增加。本年支出264.22万元，增加53.24万元，增长25.23</w:t>
      </w:r>
      <w:r>
        <w:rPr>
          <w:rFonts w:ascii="仿宋_GB2312" w:eastAsia="仿宋_GB2312" w:cs="DengXian-Regular"/>
          <w:sz w:val="32"/>
          <w:szCs w:val="32"/>
        </w:rPr>
        <w:t>%</w:t>
      </w:r>
      <w:r>
        <w:rPr>
          <w:rFonts w:hint="eastAsia" w:ascii="仿宋_GB2312" w:eastAsia="仿宋_GB2312" w:cs="DengXian-Regular"/>
          <w:sz w:val="32"/>
          <w:szCs w:val="32"/>
        </w:rPr>
        <w:t>，主要是：2018年度人员工资项目支出增加</w:t>
      </w:r>
      <w:r>
        <w:rPr>
          <w:rFonts w:hint="eastAsia" w:ascii="仿宋_GB2312" w:hAnsi="仿宋_GB2312" w:eastAsia="仿宋_GB2312" w:cs="仿宋_GB2312"/>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年度一般公共预算财政拨款收入264.22万元，完成年初预算的100</w:t>
      </w:r>
      <w:r>
        <w:rPr>
          <w:rFonts w:ascii="仿宋_GB2312" w:eastAsia="仿宋_GB2312" w:cs="DengXian-Regular"/>
          <w:sz w:val="32"/>
          <w:szCs w:val="32"/>
        </w:rPr>
        <w:t>%,</w:t>
      </w:r>
      <w:r>
        <w:rPr>
          <w:rFonts w:hint="eastAsia" w:ascii="仿宋_GB2312" w:eastAsia="仿宋_GB2312" w:cs="DengXian-Regular"/>
          <w:sz w:val="32"/>
          <w:szCs w:val="32"/>
        </w:rPr>
        <w:t>比年初预算增加7.22万元，决算数大于预算数主要原因是：2018年度人员工资项目支出增加；本年支出264.22万元，完成年初预算的100</w:t>
      </w:r>
      <w:r>
        <w:rPr>
          <w:rFonts w:ascii="仿宋_GB2312" w:eastAsia="仿宋_GB2312" w:cs="DengXian-Regular"/>
          <w:sz w:val="32"/>
          <w:szCs w:val="32"/>
        </w:rPr>
        <w:t>%,</w:t>
      </w:r>
      <w:r>
        <w:rPr>
          <w:rFonts w:hint="eastAsia" w:ascii="仿宋_GB2312" w:eastAsia="仿宋_GB2312" w:cs="DengXian-Regular"/>
          <w:sz w:val="32"/>
          <w:szCs w:val="32"/>
        </w:rPr>
        <w:t>比年初预算增加7.22万元，决算数大于</w:t>
      </w:r>
      <w:r>
        <w:pict>
          <v:group id="组合 76" o:spid="_x0000_s1130" o:spt="203" style="position:absolute;left:0pt;margin-left:-79.5pt;margin-top:29.3pt;height:43.95pt;width:301.85pt;mso-position-vertical-relative:page;z-index:251688960;mso-width-relative:page;mso-height-relative:page;" coordorigin="4551,52615" coordsize="8546,1398203">
            <o:lock v:ext="edit"/>
            <v:rect id="矩形 13" o:spid="_x0000_s1131" o:spt="1" style="position:absolute;left:4551;top:52615;height:1175;width:8546;v-text-anchor:middle;" fillcolor="#96DA9D" filled="t" stroked="f" coordsize="21600,21600">
              <v:path/>
              <v:fill on="t" focussize="0,0"/>
              <v:stroke on="f" weight="2pt"/>
              <v:imagedata o:title=""/>
              <o:lock v:ext="edit"/>
            </v:rect>
            <v:rect id="矩形 14" o:spid="_x0000_s113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预算数主要原因是：2018年度人员工资项目支出增加</w:t>
      </w:r>
      <w:r>
        <w:rPr>
          <w:rFonts w:hint="eastAsia" w:ascii="仿宋_GB2312" w:hAnsi="仿宋_GB2312" w:eastAsia="仿宋_GB2312" w:cs="仿宋_GB2312"/>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widowControl/>
        <w:ind w:firstLine="640" w:firstLineChars="200"/>
        <w:jc w:val="left"/>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年度财政拨款支出264.22万元，主要用于以下方面：干部教育支出264.22万元，占100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4864;mso-width-relative:page;mso-height-relative:page;" coordorigin="4551,52615" coordsize="8546,1398203">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254.11万元，其中：人员经费242.84万元，主要包括基本工资、津贴补贴、奖金、绩效工资、机关事业单位基本养老保险缴费、职业年金缴费、职工基本医疗保险缴费、其他社会保障缴费、住房公积金、奖励金、其他对个人和家庭的补助支出；公用经费11.27万元，主要包括办公费、印刷费、手续费、水费、电费、邮电费、差旅费、公务用车运行维护费、其他交通费用、办公设备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年度“三公”经费支出共计11.27万元，</w:t>
      </w:r>
      <w:r>
        <w:rPr>
          <w:rFonts w:hint="eastAsia" w:ascii="仿宋_GB2312" w:eastAsia="仿宋_GB2312" w:cs="DengXian-Regular"/>
          <w:b/>
          <w:bCs/>
          <w:sz w:val="32"/>
          <w:szCs w:val="32"/>
        </w:rPr>
        <w:t>较年初预算减少</w:t>
      </w:r>
      <w:r>
        <w:rPr>
          <w:rFonts w:hint="eastAsia" w:ascii="仿宋_GB2312" w:hAnsi="宋体" w:eastAsia="仿宋_GB2312" w:cs="宋体"/>
          <w:sz w:val="28"/>
          <w:szCs w:val="28"/>
        </w:rPr>
        <w:t>0.59</w:t>
      </w:r>
      <w:r>
        <w:rPr>
          <w:rFonts w:hint="eastAsia" w:ascii="仿宋_GB2312" w:eastAsia="仿宋_GB2312" w:cs="DengXian-Regular"/>
          <w:b/>
          <w:bCs/>
          <w:sz w:val="32"/>
          <w:szCs w:val="32"/>
        </w:rPr>
        <w:t>万元，降低4.90</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33" o:spid="_x0000_s1133" o:spt="203" style="position:absolute;left:0pt;margin-left:-79.5pt;margin-top:29.3pt;height:43.95pt;width:301.85pt;mso-position-vertical-relative:page;z-index:251689984;mso-width-relative:page;mso-height-relative:page;" coordorigin="4551,52615" coordsize="8546,1398203">
            <o:lock v:ext="edit"/>
            <v:rect id="矩形 13" o:spid="_x0000_s1134" o:spt="1" style="position:absolute;left:4551;top:52615;height:1175;width:8546;v-text-anchor:middle;" fillcolor="#96DA9D" filled="t" stroked="f" coordsize="21600,21600">
              <v:path/>
              <v:fill on="t" focussize="0,0"/>
              <v:stroke on="f" weight="2pt"/>
              <v:imagedata o:title=""/>
              <o:lock v:ext="edit"/>
            </v:rect>
            <v:rect id="矩形 14" o:spid="_x0000_s113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（二）公务用车购置及运行维护费支出2.17万元。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年度公务用车购置及运行维护费较年初预算减少0.33万元，降低13.20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年度公务用车购置量0辆，未发生“公务用车购置”经费支出。</w:t>
      </w:r>
    </w:p>
    <w:p>
      <w:pPr>
        <w:spacing w:line="60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年度单位公务用车保有量1辆。公车运行维护费支出较年初预算减少</w:t>
      </w:r>
      <w:r>
        <w:rPr>
          <w:rFonts w:hint="eastAsia" w:ascii="仿宋" w:hAnsi="仿宋" w:eastAsia="仿宋" w:cs="仿宋"/>
          <w:sz w:val="32"/>
          <w:szCs w:val="32"/>
        </w:rPr>
        <w:t>0.33万元，降低13.20%,比2017年决算公车运行维护费减少0.18万元，降低了7.60%。主要是：</w:t>
      </w:r>
      <w:r>
        <w:rPr>
          <w:rFonts w:hint="eastAsia" w:ascii="仿宋_GB2312" w:hAnsi="宋体" w:eastAsia="仿宋_GB2312" w:cs="宋体"/>
          <w:sz w:val="28"/>
          <w:szCs w:val="28"/>
        </w:rPr>
        <w:t>厉行节约，压缩三公经费支出</w:t>
      </w:r>
      <w:r>
        <w:rPr>
          <w:rFonts w:hint="eastAsia" w:ascii="仿宋" w:hAnsi="仿宋" w:eastAsia="仿宋" w:cs="仿宋"/>
          <w:sz w:val="32"/>
          <w:szCs w:val="32"/>
        </w:rPr>
        <w:t>。</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8年度公务接待共0批次、0人次。公务接待费支出较预算减少0万元，降低0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精神和厉行节约要求从严控制“三公”经费开支；较上年度减少0万元，降低0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left="420" w:leftChars="200"/>
        <w:rPr>
          <w:rFonts w:ascii="仿宋_GB2312" w:eastAsia="仿宋_GB2312" w:cs="DengXian-Regular"/>
          <w:sz w:val="32"/>
          <w:szCs w:val="32"/>
        </w:rPr>
      </w:pPr>
      <w:r>
        <w:pict>
          <v:group id="_x0000_s1136" o:spid="_x0000_s1136" o:spt="203" style="position:absolute;left:0pt;margin-left:-79.5pt;margin-top:29.3pt;height:43.95pt;width:301.85pt;mso-position-vertical-relative:page;z-index:251691008;mso-width-relative:page;mso-height-relative:page;" coordorigin="4551,52615" coordsize="8546,1398203">
            <o:lock v:ext="edit"/>
            <v:rect id="矩形 13" o:spid="_x0000_s1137" o:spt="1" style="position:absolute;left:4551;top:52615;height:1175;width:8546;v-text-anchor:middle;" fillcolor="#96DA9D" filled="t" stroked="f" coordsize="21600,21600">
              <v:path/>
              <v:fill on="t" focussize="0,0"/>
              <v:stroke on="f" weight="2pt"/>
              <v:imagedata o:title=""/>
              <o:lock v:ext="edit"/>
            </v:rect>
            <v:rect id="矩形 14" o:spid="_x0000_s11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华文仿宋" w:hAnsi="华文仿宋" w:eastAsia="华文仿宋" w:cs="华文仿宋"/>
          <w:color w:val="000000"/>
          <w:kern w:val="0"/>
          <w:sz w:val="31"/>
          <w:szCs w:val="31"/>
        </w:rPr>
      </w:pPr>
      <w:r>
        <w:rPr>
          <w:rFonts w:hint="eastAsia" w:ascii="仿宋_GB2312" w:eastAsia="仿宋_GB2312" w:cs="DengXian-Regular"/>
          <w:sz w:val="32"/>
          <w:szCs w:val="32"/>
        </w:rPr>
        <w:t>（一）预算绩效管理工作开展情况。</w:t>
      </w:r>
      <w:r>
        <w:rPr>
          <w:rFonts w:ascii="华文仿宋" w:hAnsi="华文仿宋" w:eastAsia="华文仿宋" w:cs="华文仿宋"/>
          <w:color w:val="000000"/>
          <w:kern w:val="0"/>
          <w:sz w:val="31"/>
          <w:szCs w:val="31"/>
        </w:rPr>
        <w:t>2018年，</w:t>
      </w:r>
      <w:r>
        <w:rPr>
          <w:rFonts w:hint="eastAsia" w:ascii="华文仿宋" w:hAnsi="华文仿宋" w:eastAsia="华文仿宋" w:cs="华文仿宋"/>
          <w:color w:val="000000"/>
          <w:kern w:val="0"/>
          <w:sz w:val="31"/>
          <w:szCs w:val="31"/>
        </w:rPr>
        <w:t>区委党校</w:t>
      </w:r>
      <w:r>
        <w:rPr>
          <w:rFonts w:ascii="华文仿宋" w:hAnsi="华文仿宋" w:eastAsia="华文仿宋" w:cs="华文仿宋"/>
          <w:color w:val="000000"/>
          <w:kern w:val="0"/>
          <w:sz w:val="31"/>
          <w:szCs w:val="31"/>
        </w:rPr>
        <w:t>以“部门职责”为依据，确定预算项目的</w:t>
      </w:r>
      <w:r>
        <w:rPr>
          <w:rFonts w:hint="eastAsia" w:ascii="华文仿宋" w:hAnsi="华文仿宋" w:eastAsia="华文仿宋" w:cs="华文仿宋"/>
          <w:color w:val="000000"/>
          <w:kern w:val="0"/>
          <w:sz w:val="31"/>
          <w:szCs w:val="31"/>
        </w:rPr>
        <w:t>绩效目标、绩效指标，及时对项目资金支出的绩效目标完成情况开展自评。严格落实中央八项规定，严格执行财经纪律、规章制度，以绩效为导向合理安排资金支出，完成产出指标。</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按照区财政局预算绩效管理要求，区委党校对2018年度项目绩效对行了综合评价，自评得分90分，自评为优。通过绩效评价，也发现存在的不足，主要体现在：一是个别指标设置不够科学；二是预算执行中执行能力有待提高。针对不足，在下一步工作中将充分结合单位实际设置绩效指标，科学编制预算；在预算实施过程中加强协调，积极推动项目按预算实施，提高资金使用效益。</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我单位是财政补助事业单位，故没有机关运行经费。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日，本部门共有车辆1辆，比上年持平。其中：机要通信1辆</w:t>
      </w:r>
      <w:r>
        <w:rPr>
          <w:rFonts w:hint="eastAsia" w:ascii="仿宋" w:hAnsi="仿宋" w:eastAsia="仿宋" w:cs="宋体"/>
          <w:kern w:val="0"/>
          <w:sz w:val="32"/>
          <w:szCs w:val="32"/>
        </w:rPr>
        <w:t>。与上年无变化。</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万元以上通用设备0台（套），较上年无增减变化。</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万元以上专用设备0台（套），较上年无增减变化。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年度政府性基金预算财政拨款、国有资本经营预算财政拨款，无收支及结转结余情况，故政府性基金预算财政拨款收入支出决算表、国有资本经营预算财政拨款支出决算表以空表列示。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42" o:spid="_x0000_s1142" o:spt="203" style="position:absolute;left:0pt;margin-left:-79.5pt;margin-top:29.3pt;height:43.95pt;width:301.85pt;mso-position-vertical-relative:page;z-index:251692032;mso-width-relative:page;mso-height-relative:page;" coordorigin="4551,52615" coordsize="8546,1398203">
            <o:lock v:ext="edit"/>
            <v:rect id="矩形 13" o:spid="_x0000_s1143" o:spt="1" style="position:absolute;left:4551;top:52615;height:1175;width:8546;v-text-anchor:middle;" fillcolor="#96DA9D" filled="t" stroked="f" coordsize="21600,21600">
              <v:path/>
              <v:fill on="t" focussize="0,0"/>
              <v:stroke on="f" weight="2pt"/>
              <v:imagedata o:title=""/>
              <o:lock v:ext="edit"/>
            </v:rect>
            <v:rect id="矩形 14" o:spid="_x0000_s114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adjustRightInd w:val="0"/>
        <w:snapToGrid w:val="0"/>
        <w:spacing w:after="0" w:line="580" w:lineRule="exact"/>
        <w:ind w:firstLine="640" w:firstLineChars="200"/>
        <w:rPr>
          <w:rFonts w:ascii="仿宋_GB2312" w:eastAsia="仿宋_GB2312" w:cs="DengXian-Regular"/>
          <w:sz w:val="32"/>
          <w:szCs w:val="32"/>
        </w:rPr>
      </w:pP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203">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5888;mso-width-relative:page;mso-height-relative:page;" coordorigin="4551,52615" coordsize="8546,1398203">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6912;mso-width-relative:page;mso-height-relative:page;" coordorigin="4551,52615" coordsize="8546,1398203">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8"/>
                    <a:srcRect/>
                    <a:stretch>
                      <a:fillRect/>
                    </a:stretch>
                  </pic:blipFill>
                  <pic:spPr>
                    <a:xfrm>
                      <a:off x="0" y="0"/>
                      <a:ext cx="7590155" cy="10735945"/>
                    </a:xfrm>
                    <a:prstGeom prst="rect">
                      <a:avLst/>
                    </a:prstGeom>
                    <a:noFill/>
                    <a:ln w="9525">
                      <a:noFill/>
                      <a:miter lim="800000"/>
                      <a:headEnd/>
                      <a:tailEnd/>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447553-50F5-4E63-B93B-6A1DF90ABA25}"/>
  </w:font>
  <w:font w:name="Arial">
    <w:panose1 w:val="020B0604020202020204"/>
    <w:charset w:val="01"/>
    <w:family w:val="swiss"/>
    <w:pitch w:val="default"/>
    <w:sig w:usb0="E0002AFF" w:usb1="C0007843" w:usb2="00000009" w:usb3="00000000" w:csb0="400001FF" w:csb1="FFFF0000"/>
    <w:embedRegular r:id="rId2" w:fontKey="{9812FC5D-2770-4659-8D1B-E43C0187AF26}"/>
  </w:font>
  <w:font w:name="黑体">
    <w:panose1 w:val="02010609060101010101"/>
    <w:charset w:val="86"/>
    <w:family w:val="auto"/>
    <w:pitch w:val="default"/>
    <w:sig w:usb0="800002BF" w:usb1="38CF7CFA" w:usb2="00000016" w:usb3="00000000" w:csb0="00040001" w:csb1="00000000"/>
    <w:embedRegular r:id="rId3" w:fontKey="{0BF98028-D4B4-46F3-919D-4072289288D5}"/>
  </w:font>
  <w:font w:name="Courier New">
    <w:panose1 w:val="02070309020205020404"/>
    <w:charset w:val="01"/>
    <w:family w:val="modern"/>
    <w:pitch w:val="default"/>
    <w:sig w:usb0="E0002AFF" w:usb1="C0007843" w:usb2="00000009" w:usb3="00000000" w:csb0="400001FF" w:csb1="FFFF0000"/>
    <w:embedRegular r:id="rId4" w:fontKey="{8F2CDA51-2E3D-489A-B7CF-94C4CDACF558}"/>
  </w:font>
  <w:font w:name="Symbol">
    <w:panose1 w:val="05050102010706020507"/>
    <w:charset w:val="02"/>
    <w:family w:val="roman"/>
    <w:pitch w:val="default"/>
    <w:sig w:usb0="00000000" w:usb1="00000000" w:usb2="00000000" w:usb3="00000000" w:csb0="80000000" w:csb1="00000000"/>
    <w:embedRegular r:id="rId5" w:fontKey="{352A7B6E-19D1-433D-B47F-E82F5F4744AB}"/>
  </w:font>
  <w:font w:name="Calibri">
    <w:panose1 w:val="020F0502020204030204"/>
    <w:charset w:val="00"/>
    <w:family w:val="swiss"/>
    <w:pitch w:val="default"/>
    <w:sig w:usb0="E10002FF" w:usb1="4000ACFF" w:usb2="00000009" w:usb3="00000000" w:csb0="2000019F" w:csb1="00000000"/>
    <w:embedRegular r:id="rId6" w:fontKey="{071E838E-2936-4EC4-A74F-B17B7829A4C5}"/>
  </w:font>
  <w:font w:name="Cambria">
    <w:panose1 w:val="02040503050406030204"/>
    <w:charset w:val="00"/>
    <w:family w:val="roman"/>
    <w:pitch w:val="default"/>
    <w:sig w:usb0="E00002FF" w:usb1="400004FF" w:usb2="00000000" w:usb3="00000000" w:csb0="2000019F" w:csb1="00000000"/>
    <w:embedRegular r:id="rId7" w:fontKey="{FF9760EB-8860-4195-8289-9ED9E2441DA1}"/>
  </w:font>
  <w:font w:name="楷体">
    <w:panose1 w:val="02010609060101010101"/>
    <w:charset w:val="86"/>
    <w:family w:val="modern"/>
    <w:pitch w:val="default"/>
    <w:sig w:usb0="800002BF" w:usb1="38CF7CFA" w:usb2="00000016" w:usb3="00000000" w:csb0="00040001" w:csb1="00000000"/>
    <w:embedRegular r:id="rId8" w:fontKey="{B0F106A5-A227-460C-9EB1-2570EE1D76DE}"/>
  </w:font>
  <w:font w:name="MS Gothic">
    <w:panose1 w:val="020B0609070205080204"/>
    <w:charset w:val="80"/>
    <w:family w:val="modern"/>
    <w:pitch w:val="default"/>
    <w:sig w:usb0="E00002FF" w:usb1="6AC7FDFB" w:usb2="00000012" w:usb3="00000000" w:csb0="4002009F" w:csb1="DFD70000"/>
    <w:embedRegular r:id="rId9" w:fontKey="{3CC1920E-D6D5-422E-9456-10805064AC4F}"/>
  </w:font>
  <w:font w:name="仿宋_GB2312">
    <w:altName w:val="仿宋"/>
    <w:panose1 w:val="00000000000000000000"/>
    <w:charset w:val="86"/>
    <w:family w:val="modern"/>
    <w:pitch w:val="default"/>
    <w:sig w:usb0="00000000" w:usb1="00000000" w:usb2="00000000" w:usb3="00000000" w:csb0="00040000" w:csb1="00000000"/>
    <w:embedRegular r:id="rId10" w:fontKey="{4B2226A6-EB5A-4451-A43D-08A87FE27BEB}"/>
  </w:font>
  <w:font w:name="ArialUnicodeMS">
    <w:altName w:val="Malgun Gothic"/>
    <w:panose1 w:val="00000000000000000000"/>
    <w:charset w:val="81"/>
    <w:family w:val="auto"/>
    <w:pitch w:val="default"/>
    <w:sig w:usb0="00000000" w:usb1="00000000" w:usb2="00000010" w:usb3="00000000" w:csb0="00080000" w:csb1="00000000"/>
    <w:embedRegular r:id="rId11" w:fontKey="{74487FA0-5491-411C-B333-BD13B173DFF3}"/>
  </w:font>
  <w:font w:name="MS-UIGothic,Bold">
    <w:altName w:val="Malgun Gothic"/>
    <w:panose1 w:val="00000000000000000000"/>
    <w:charset w:val="81"/>
    <w:family w:val="auto"/>
    <w:pitch w:val="default"/>
    <w:sig w:usb0="00000000" w:usb1="00000000" w:usb2="00000010" w:usb3="00000000" w:csb0="00080000" w:csb1="00000000"/>
    <w:embedRegular r:id="rId12" w:fontKey="{9579A2C2-989C-473D-9CE6-02321970773B}"/>
  </w:font>
  <w:font w:name="DengXian-Regular">
    <w:altName w:val="宋体"/>
    <w:panose1 w:val="00000000000000000000"/>
    <w:charset w:val="86"/>
    <w:family w:val="auto"/>
    <w:pitch w:val="default"/>
    <w:sig w:usb0="00000000" w:usb1="00000000" w:usb2="00000010" w:usb3="00000000" w:csb0="00040000" w:csb1="00000000"/>
    <w:embedRegular r:id="rId13" w:fontKey="{80C0F248-4369-4207-8EC4-0E176C4E4202}"/>
  </w:font>
  <w:font w:name="楷体_GB2312">
    <w:altName w:val="楷体"/>
    <w:panose1 w:val="00000000000000000000"/>
    <w:charset w:val="86"/>
    <w:family w:val="modern"/>
    <w:pitch w:val="default"/>
    <w:sig w:usb0="00000000" w:usb1="00000000" w:usb2="00000000" w:usb3="00000000" w:csb0="00040000" w:csb1="00000000"/>
    <w:embedRegular r:id="rId14" w:fontKey="{85B47D2A-486C-4C33-B854-FBAADDC42E46}"/>
  </w:font>
  <w:font w:name="DengXian-Bold">
    <w:altName w:val="宋体"/>
    <w:panose1 w:val="00000000000000000000"/>
    <w:charset w:val="86"/>
    <w:family w:val="auto"/>
    <w:pitch w:val="default"/>
    <w:sig w:usb0="00000000" w:usb1="00000000" w:usb2="00000010" w:usb3="00000000" w:csb0="00040000" w:csb1="00000000"/>
    <w:embedRegular r:id="rId15" w:fontKey="{2507C28D-371E-4D08-8799-D62570F3B7AC}"/>
  </w:font>
  <w:font w:name="仿宋">
    <w:panose1 w:val="02010609060101010101"/>
    <w:charset w:val="86"/>
    <w:family w:val="auto"/>
    <w:pitch w:val="default"/>
    <w:sig w:usb0="800002BF" w:usb1="38CF7CFA" w:usb2="00000016" w:usb3="00000000" w:csb0="00040001" w:csb1="00000000"/>
    <w:embedRegular r:id="rId16" w:fontKey="{2FFCD889-FC34-4394-AD53-5D57A38AAA9A}"/>
  </w:font>
  <w:font w:name="华文仿宋">
    <w:panose1 w:val="02010600040101010101"/>
    <w:charset w:val="86"/>
    <w:family w:val="auto"/>
    <w:pitch w:val="default"/>
    <w:sig w:usb0="00000287" w:usb1="080F0000" w:usb2="00000000" w:usb3="00000000" w:csb0="0004009F" w:csb1="DFD70000"/>
    <w:embedRegular r:id="rId17" w:fontKey="{28A1BCEA-05F5-429F-9B37-844B42778DE3}"/>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M2ZGM2MmUwOGI2ZDM4YzZlMWRmMWE3NzE3NjUyNTA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D09AD"/>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21F10"/>
    <w:rsid w:val="00A35CE0"/>
    <w:rsid w:val="00A4462E"/>
    <w:rsid w:val="00A44AA4"/>
    <w:rsid w:val="00A61623"/>
    <w:rsid w:val="00A84687"/>
    <w:rsid w:val="00AB0A0E"/>
    <w:rsid w:val="00AD3B6E"/>
    <w:rsid w:val="00B1751F"/>
    <w:rsid w:val="00B3300C"/>
    <w:rsid w:val="00B56106"/>
    <w:rsid w:val="00B56722"/>
    <w:rsid w:val="00B74D39"/>
    <w:rsid w:val="00B91DA4"/>
    <w:rsid w:val="00C12630"/>
    <w:rsid w:val="00C34562"/>
    <w:rsid w:val="00C3774E"/>
    <w:rsid w:val="00C57456"/>
    <w:rsid w:val="00C65387"/>
    <w:rsid w:val="00C87FAB"/>
    <w:rsid w:val="00C91FF7"/>
    <w:rsid w:val="00C94E53"/>
    <w:rsid w:val="00CC46BD"/>
    <w:rsid w:val="00D0048E"/>
    <w:rsid w:val="00D13CE2"/>
    <w:rsid w:val="00D23E7A"/>
    <w:rsid w:val="00D24AFB"/>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B60750A"/>
    <w:rsid w:val="0F112ABA"/>
    <w:rsid w:val="10423ADE"/>
    <w:rsid w:val="10686488"/>
    <w:rsid w:val="10DF728A"/>
    <w:rsid w:val="1264200E"/>
    <w:rsid w:val="141C5B77"/>
    <w:rsid w:val="18D8339D"/>
    <w:rsid w:val="18E332FE"/>
    <w:rsid w:val="1A21388F"/>
    <w:rsid w:val="1A570D2F"/>
    <w:rsid w:val="1B9C1254"/>
    <w:rsid w:val="212828CB"/>
    <w:rsid w:val="22330B8F"/>
    <w:rsid w:val="28FB0B8D"/>
    <w:rsid w:val="2CB91D54"/>
    <w:rsid w:val="2D2B7942"/>
    <w:rsid w:val="2D46481D"/>
    <w:rsid w:val="2E733B28"/>
    <w:rsid w:val="31852B5A"/>
    <w:rsid w:val="32D01238"/>
    <w:rsid w:val="33E85CD6"/>
    <w:rsid w:val="36DD0D55"/>
    <w:rsid w:val="3D466ED4"/>
    <w:rsid w:val="3DFC59A8"/>
    <w:rsid w:val="3E5C082F"/>
    <w:rsid w:val="3ECF245E"/>
    <w:rsid w:val="3FB96314"/>
    <w:rsid w:val="423132C5"/>
    <w:rsid w:val="43536DE7"/>
    <w:rsid w:val="44EA6774"/>
    <w:rsid w:val="45AA6837"/>
    <w:rsid w:val="45C13AB4"/>
    <w:rsid w:val="45FA31CE"/>
    <w:rsid w:val="46861E5E"/>
    <w:rsid w:val="49095F52"/>
    <w:rsid w:val="4AA65090"/>
    <w:rsid w:val="4ED05464"/>
    <w:rsid w:val="50686B18"/>
    <w:rsid w:val="53A44FAF"/>
    <w:rsid w:val="56AF4A03"/>
    <w:rsid w:val="594329EC"/>
    <w:rsid w:val="5BEE1540"/>
    <w:rsid w:val="5DE61A5D"/>
    <w:rsid w:val="63C04243"/>
    <w:rsid w:val="649C01C7"/>
    <w:rsid w:val="699A3F60"/>
    <w:rsid w:val="6E255C6D"/>
    <w:rsid w:val="6EF50D29"/>
    <w:rsid w:val="6FBB0425"/>
    <w:rsid w:val="72902E62"/>
    <w:rsid w:val="73C61104"/>
    <w:rsid w:val="76194049"/>
    <w:rsid w:val="773766FD"/>
    <w:rsid w:val="776452EA"/>
    <w:rsid w:val="79D63C60"/>
    <w:rsid w:val="7C2969CC"/>
    <w:rsid w:val="7D4D4742"/>
    <w:rsid w:val="7DA66F54"/>
    <w:rsid w:val="7DC663B9"/>
    <w:rsid w:val="7E847DC5"/>
    <w:rsid w:val="7EAB1FF4"/>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9"/>
    <customShpInfo spid="_x0000_s1030"/>
    <customShpInfo spid="_x0000_s1028"/>
    <customShpInfo spid="_x0000_s1032"/>
    <customShpInfo spid="_x0000_s1033"/>
    <customShpInfo spid="_x0000_s1031"/>
    <customShpInfo spid="_x0000_s1035"/>
    <customShpInfo spid="_x0000_s1037"/>
    <customShpInfo spid="_x0000_s1038"/>
    <customShpInfo spid="_x0000_s1036"/>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2"/>
    <customShpInfo spid="_x0000_s1074"/>
    <customShpInfo spid="_x0000_s1075"/>
    <customShpInfo spid="_x0000_s1073"/>
    <customShpInfo spid="_x0000_s1131"/>
    <customShpInfo spid="_x0000_s1132"/>
    <customShpInfo spid="_x0000_s1130"/>
    <customShpInfo spid="_x0000_s1101"/>
    <customShpInfo spid="_x0000_s1102"/>
    <customShpInfo spid="_x0000_s1100"/>
    <customShpInfo spid="_x0000_s1134"/>
    <customShpInfo spid="_x0000_s1135"/>
    <customShpInfo spid="_x0000_s1133"/>
    <customShpInfo spid="_x0000_s1137"/>
    <customShpInfo spid="_x0000_s1138"/>
    <customShpInfo spid="_x0000_s1136"/>
    <customShpInfo spid="_x0000_s1143"/>
    <customShpInfo spid="_x0000_s1144"/>
    <customShpInfo spid="_x0000_s1142"/>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6918</Words>
  <Characters>7990</Characters>
  <Lines>69</Lines>
  <Paragraphs>19</Paragraphs>
  <TotalTime>0</TotalTime>
  <ScaleCrop>false</ScaleCrop>
  <LinksUpToDate>false</LinksUpToDate>
  <CharactersWithSpaces>8002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2021-06-25T07:52:00Z</dcterms:created>
  <dc:creator>User</dc:creator>
  <cp:lastModifiedBy>随缘</cp:lastModifiedBy>
  <cp:lastPrinted>2019-08-02T01:01:00Z</cp:lastPrinted>
  <dcterms:modified xsi:type="dcterms:W3CDTF">2023-05-30T05:30:26Z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6EE2CC852F5D4034BC870256EF2A3299</vt:lpwstr>
  </property>
</Properties>
</file>