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保定市满城区人民检察院</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仿宋_GB2312" w:hAnsi="仿宋" w:eastAsia="仿宋_GB2312" w:cs="仿宋_GB2312"/>
          <w:sz w:val="32"/>
          <w:szCs w:val="32"/>
        </w:rPr>
      </w:pPr>
      <w:bookmarkStart w:id="3" w:name="_GoBack"/>
      <w:bookmarkEnd w:id="3"/>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规定，现将保定市满城区人民检察院2020年部门预算公开如下：</w:t>
      </w:r>
    </w:p>
    <w:p>
      <w:pP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保定市满城区人民检察院由行政编制组成,部门职责是检察监督、控告和刑事申诉检察和检察事务管理。</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1、检察监督，对侦查机关的侦查活动、人民法院的审判活动、监狱看守所等机关执行刑罚的活动，依法实行法律监督，维护司法公正。侦查监督：侦查监督职能的行使贯穿刑事立案到侦查终结全过程。主要包括审查逮捕、立案监督和侦查活动监督等职能。公诉和审判监督：审查起诉；对上诉、抗诉案件及再审案件进行审查；出庭支持公诉。民事行政诉讼监督：依法对民事诉讼和行政诉讼实行法律监督，维护司法公正和司法权威，保障国家法律的统一正确实施。刑事执行监督：依法对刑罚执行和监管活动实行监督，维护刑罚执行和监管活动的公平公正，维护监管秩序稳定，维护被监管人合法权益，保障国家法律统一正确实施。未成年人刑事检察：办理并指导全区检察机关未成年人犯罪案件的审查逮捕、审查起诉工作，依法履行立案监督、侦查活动监督、审判监督、执行监督职能；开展预防未成年人犯罪综合治理工作；依法保护刑事案件未成年被害人的合法权益。司法辅助：保障办案安全、负责全区检察机关司法警察的授衔和管理工作；开展、规划和指导全区检察机关技术工作和物证检验、鉴定、审核等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控告和刑事申诉检察，组织和指导全区控申部门受理来信来访、举报、刑事申诉、国家赔偿、司法救助工作，受理民事监督案件，办理区院管辖的信访、举报案件、刑事申诉案件、国家赔偿、司法救助案件以及上级机关交办、转办、督办案件。涉检信访办理：统一受理报案、控告、举报、申诉和犯罪嫌疑人投案自首，办理对公检法三机关及工作人员阻碍辩护人、诉讼代理人依法行使诉讼权利的控告或申诉，办理对本院办案中违法行为的控告或申诉，受理民事监督案件。举报管理、刑事申诉及涉检国家赔偿和司法救助：受理初核对国家工作人员职务犯罪的举报；受理、审查和复查当事人不服的刑事申诉案件；统一办理人民检察院作为赔偿义务机关的刑事赔偿、复议案件，对人民法院赔偿委员会判决、裁定进行监督，开展司法救助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3、检察事务管理，承担系统综合业务管理和综合事务管理工作。综合业务管理：确定全区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综合事务管理：组织指导全区检察人员的教育培训工作和涉外交流工作，规划和指导全区检察系统培训基地及师资队伍建设等工作；进行检察装备建设及维护；配备制式检察服装及法警服装；进行基础设施建设和维护。</w:t>
      </w:r>
    </w:p>
    <w:p>
      <w:pPr>
        <w:jc w:val="left"/>
        <w:rPr>
          <w:rFonts w:hint="eastAsia" w:ascii="方正楷体_GBK" w:eastAsia="方正楷体_GBK"/>
          <w:b/>
          <w:sz w:val="28"/>
        </w:rPr>
        <w:sectPr>
          <w:pgSz w:w="11907" w:h="16839"/>
          <w:pgMar w:top="1531" w:right="1134" w:bottom="1474" w:left="1134" w:header="851" w:footer="992" w:gutter="0"/>
          <w:cols w:space="720" w:num="1"/>
          <w:docGrid w:linePitch="312" w:charSpace="0"/>
        </w:sectPr>
      </w:pPr>
    </w:p>
    <w:p>
      <w:pPr>
        <w:jc w:val="center"/>
        <w:outlineLvl w:val="0"/>
        <w:rPr>
          <w:rFonts w:hint="eastAsia" w:ascii="方正小标宋_GBK" w:eastAsia="方正小标宋_GBK"/>
          <w:sz w:val="32"/>
        </w:rPr>
      </w:pPr>
      <w:bookmarkStart w:id="0" w:name="_Toc477963878"/>
    </w:p>
    <w:bookmarkEnd w:id="0"/>
    <w:p>
      <w:pPr>
        <w:spacing w:line="620" w:lineRule="exact"/>
        <w:ind w:firstLine="643" w:firstLineChars="200"/>
        <w:rPr>
          <w:rFonts w:hint="eastAsia" w:ascii="宋体" w:hAnsi="宋体"/>
          <w:b/>
          <w:bCs/>
          <w:sz w:val="32"/>
          <w:szCs w:val="32"/>
        </w:rPr>
      </w:pPr>
      <w:r>
        <w:rPr>
          <w:rFonts w:hint="eastAsia" w:ascii="宋体" w:hAnsi="宋体"/>
          <w:b/>
          <w:bCs/>
          <w:sz w:val="32"/>
          <w:szCs w:val="32"/>
        </w:rPr>
        <w:t>二、内设机构</w:t>
      </w:r>
    </w:p>
    <w:tbl>
      <w:tblPr>
        <w:tblStyle w:val="7"/>
        <w:tblW w:w="9796" w:type="dxa"/>
        <w:tblInd w:w="93" w:type="dxa"/>
        <w:tblLayout w:type="autofit"/>
        <w:tblCellMar>
          <w:top w:w="0" w:type="dxa"/>
          <w:left w:w="108" w:type="dxa"/>
          <w:bottom w:w="0" w:type="dxa"/>
          <w:right w:w="108" w:type="dxa"/>
        </w:tblCellMar>
      </w:tblPr>
      <w:tblGrid>
        <w:gridCol w:w="9796"/>
      </w:tblGrid>
      <w:tr>
        <w:tblPrEx>
          <w:tblCellMar>
            <w:top w:w="0" w:type="dxa"/>
            <w:left w:w="108" w:type="dxa"/>
            <w:bottom w:w="0" w:type="dxa"/>
            <w:right w:w="108" w:type="dxa"/>
          </w:tblCellMar>
        </w:tblPrEx>
        <w:trPr>
          <w:trHeight w:val="810" w:hRule="atLeast"/>
        </w:trPr>
        <w:tc>
          <w:tcPr>
            <w:tcW w:w="9796" w:type="dxa"/>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部门机构设置情况</w:t>
            </w:r>
          </w:p>
          <w:p>
            <w:pPr>
              <w:widowControl/>
              <w:jc w:val="center"/>
              <w:rPr>
                <w:rFonts w:hint="eastAsia" w:ascii="宋体" w:hAnsi="宋体" w:cs="宋体"/>
                <w:color w:val="000000"/>
                <w:kern w:val="0"/>
                <w:sz w:val="28"/>
                <w:szCs w:val="28"/>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65"/>
              <w:gridCol w:w="2072"/>
              <w:gridCol w:w="1857"/>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550"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1183"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1082"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970"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单位规格</w:t>
                  </w:r>
                </w:p>
              </w:tc>
              <w:tc>
                <w:tcPr>
                  <w:tcW w:w="1213" w:type="pct"/>
                  <w:vMerge w:val="restar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50" w:type="pct"/>
                  <w:vMerge w:val="continue"/>
                  <w:noWrap w:val="0"/>
                  <w:vAlign w:val="center"/>
                </w:tcPr>
                <w:p>
                  <w:pPr>
                    <w:widowControl/>
                    <w:jc w:val="center"/>
                    <w:rPr>
                      <w:rFonts w:hint="eastAsia" w:ascii="宋体" w:hAnsi="宋体" w:cs="宋体"/>
                      <w:color w:val="000000"/>
                      <w:kern w:val="0"/>
                      <w:sz w:val="24"/>
                      <w:szCs w:val="24"/>
                    </w:rPr>
                  </w:pPr>
                </w:p>
              </w:tc>
              <w:tc>
                <w:tcPr>
                  <w:tcW w:w="1183" w:type="pct"/>
                  <w:vMerge w:val="continue"/>
                  <w:noWrap w:val="0"/>
                  <w:vAlign w:val="center"/>
                </w:tcPr>
                <w:p>
                  <w:pPr>
                    <w:widowControl/>
                    <w:jc w:val="center"/>
                    <w:rPr>
                      <w:rFonts w:hint="eastAsia" w:ascii="宋体" w:hAnsi="宋体" w:cs="宋体"/>
                      <w:color w:val="000000"/>
                      <w:kern w:val="0"/>
                      <w:sz w:val="24"/>
                      <w:szCs w:val="24"/>
                    </w:rPr>
                  </w:pPr>
                </w:p>
              </w:tc>
              <w:tc>
                <w:tcPr>
                  <w:tcW w:w="1082" w:type="pct"/>
                  <w:vMerge w:val="continue"/>
                  <w:noWrap w:val="0"/>
                  <w:vAlign w:val="center"/>
                </w:tcPr>
                <w:p>
                  <w:pPr>
                    <w:widowControl/>
                    <w:jc w:val="center"/>
                    <w:rPr>
                      <w:rFonts w:hint="eastAsia" w:ascii="宋体" w:hAnsi="宋体" w:cs="宋体"/>
                      <w:color w:val="000000"/>
                      <w:kern w:val="0"/>
                      <w:sz w:val="24"/>
                      <w:szCs w:val="24"/>
                    </w:rPr>
                  </w:pPr>
                </w:p>
              </w:tc>
              <w:tc>
                <w:tcPr>
                  <w:tcW w:w="970" w:type="pct"/>
                  <w:vMerge w:val="continue"/>
                  <w:noWrap w:val="0"/>
                  <w:vAlign w:val="center"/>
                </w:tcPr>
                <w:p>
                  <w:pPr>
                    <w:widowControl/>
                    <w:jc w:val="center"/>
                    <w:rPr>
                      <w:rFonts w:hint="eastAsia" w:ascii="宋体" w:hAnsi="宋体" w:cs="宋体"/>
                      <w:color w:val="000000"/>
                      <w:kern w:val="0"/>
                      <w:sz w:val="24"/>
                      <w:szCs w:val="24"/>
                    </w:rPr>
                  </w:pPr>
                </w:p>
              </w:tc>
              <w:tc>
                <w:tcPr>
                  <w:tcW w:w="1213" w:type="pct"/>
                  <w:vMerge w:val="continue"/>
                  <w:noWrap w:val="0"/>
                  <w:vAlign w:val="center"/>
                </w:tcPr>
                <w:p>
                  <w:pPr>
                    <w:widowControl/>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118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办公室（加挂“计划财务装备科”）</w:t>
                  </w:r>
                </w:p>
              </w:tc>
              <w:tc>
                <w:tcPr>
                  <w:tcW w:w="1082"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118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政治部</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副科级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118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第一检察部</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118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第二检察部</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1183"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第三检察部</w:t>
                  </w:r>
                </w:p>
              </w:tc>
              <w:tc>
                <w:tcPr>
                  <w:tcW w:w="1082"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行政</w:t>
                  </w:r>
                </w:p>
              </w:tc>
              <w:tc>
                <w:tcPr>
                  <w:tcW w:w="970" w:type="pct"/>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股级</w:t>
                  </w:r>
                </w:p>
              </w:tc>
              <w:tc>
                <w:tcPr>
                  <w:tcW w:w="1213" w:type="pc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财政拨款</w:t>
                  </w:r>
                </w:p>
              </w:tc>
            </w:tr>
          </w:tbl>
          <w:p>
            <w:pPr>
              <w:widowControl/>
              <w:jc w:val="center"/>
              <w:rPr>
                <w:rFonts w:hint="eastAsia" w:ascii="宋体" w:hAnsi="宋体" w:cs="宋体"/>
                <w:color w:val="000000"/>
                <w:kern w:val="0"/>
                <w:sz w:val="28"/>
                <w:szCs w:val="28"/>
              </w:rPr>
            </w:pPr>
          </w:p>
        </w:tc>
      </w:tr>
    </w:tbl>
    <w:p>
      <w:pPr>
        <w:jc w:val="left"/>
        <w:rPr>
          <w:rFonts w:hint="eastAsia" w:ascii="方正楷体_GBK" w:eastAsia="方正楷体_GBK"/>
          <w:b/>
          <w:sz w:val="28"/>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第二部分：部门预算安排的总体情况</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一、收入说明</w:t>
      </w:r>
    </w:p>
    <w:p>
      <w:pPr>
        <w:ind w:firstLine="630" w:firstLineChars="196"/>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2020年检察院年初部门收入预算总额为1039.5万元。其中：一般公共预算收入1039.5万元。</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二、支出说明</w:t>
      </w:r>
    </w:p>
    <w:p>
      <w:pPr>
        <w:ind w:firstLine="643" w:firstLineChars="200"/>
        <w:rPr>
          <w:rFonts w:hint="eastAsia" w:ascii="宋体" w:hAnsi="宋体"/>
          <w:b/>
          <w:sz w:val="32"/>
          <w:szCs w:val="32"/>
        </w:rPr>
      </w:pPr>
    </w:p>
    <w:p>
      <w:pPr>
        <w:ind w:firstLine="640" w:firstLineChars="200"/>
        <w:rPr>
          <w:rFonts w:hint="eastAsia" w:ascii="宋体" w:hAnsi="宋体"/>
          <w:sz w:val="32"/>
          <w:szCs w:val="32"/>
        </w:rPr>
      </w:pPr>
      <w:r>
        <w:rPr>
          <w:rFonts w:hint="eastAsia" w:ascii="宋体" w:hAnsi="宋体"/>
          <w:sz w:val="32"/>
          <w:szCs w:val="32"/>
        </w:rPr>
        <w:t>2020年部门支出安排预算总额：1039.5万元</w:t>
      </w:r>
    </w:p>
    <w:p>
      <w:pPr>
        <w:ind w:firstLine="960" w:firstLineChars="300"/>
        <w:rPr>
          <w:rFonts w:hint="eastAsia" w:ascii="宋体" w:hAnsi="宋体"/>
          <w:sz w:val="32"/>
          <w:szCs w:val="32"/>
        </w:rPr>
      </w:pPr>
      <w:r>
        <w:rPr>
          <w:rFonts w:hint="eastAsia" w:ascii="宋体" w:hAnsi="宋体"/>
          <w:sz w:val="32"/>
          <w:szCs w:val="32"/>
        </w:rPr>
        <w:t>1、基本支出869.5万元</w:t>
      </w:r>
    </w:p>
    <w:p>
      <w:pPr>
        <w:rPr>
          <w:rFonts w:hint="eastAsia" w:ascii="宋体" w:hAnsi="宋体"/>
          <w:sz w:val="32"/>
          <w:szCs w:val="32"/>
        </w:rPr>
      </w:pPr>
      <w:r>
        <w:rPr>
          <w:rFonts w:hint="eastAsia" w:ascii="宋体" w:hAnsi="宋体"/>
          <w:sz w:val="32"/>
          <w:szCs w:val="32"/>
        </w:rPr>
        <w:t xml:space="preserve">       其中： 人员经费695.78万元</w:t>
      </w:r>
    </w:p>
    <w:p>
      <w:pPr>
        <w:rPr>
          <w:rFonts w:hint="eastAsia" w:ascii="宋体" w:hAnsi="宋体"/>
          <w:sz w:val="32"/>
          <w:szCs w:val="32"/>
        </w:rPr>
      </w:pPr>
      <w:r>
        <w:rPr>
          <w:rFonts w:hint="eastAsia" w:ascii="宋体" w:hAnsi="宋体"/>
          <w:sz w:val="32"/>
          <w:szCs w:val="32"/>
        </w:rPr>
        <w:t xml:space="preserve">              日常公用经费</w:t>
      </w:r>
      <w:bookmarkStart w:id="1" w:name="OLE_LINK1"/>
      <w:r>
        <w:rPr>
          <w:rFonts w:hint="eastAsia" w:ascii="宋体" w:hAnsi="宋体"/>
          <w:sz w:val="32"/>
          <w:szCs w:val="32"/>
        </w:rPr>
        <w:t>173.72</w:t>
      </w:r>
      <w:bookmarkEnd w:id="1"/>
      <w:r>
        <w:rPr>
          <w:rFonts w:hint="eastAsia" w:ascii="宋体" w:hAnsi="宋体"/>
          <w:sz w:val="32"/>
          <w:szCs w:val="32"/>
        </w:rPr>
        <w:t>万元</w:t>
      </w:r>
    </w:p>
    <w:p>
      <w:pPr>
        <w:ind w:firstLine="960" w:firstLineChars="300"/>
        <w:rPr>
          <w:rFonts w:hint="eastAsia" w:ascii="宋体" w:hAnsi="宋体"/>
          <w:sz w:val="32"/>
          <w:szCs w:val="32"/>
        </w:rPr>
      </w:pPr>
      <w:r>
        <w:rPr>
          <w:rFonts w:hint="eastAsia" w:ascii="宋体" w:hAnsi="宋体"/>
          <w:sz w:val="32"/>
          <w:szCs w:val="32"/>
        </w:rPr>
        <w:t>2、项目支出170万元</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三、比上年增减情况</w:t>
      </w:r>
    </w:p>
    <w:p>
      <w:pPr>
        <w:ind w:firstLine="800" w:firstLineChars="250"/>
        <w:rPr>
          <w:rFonts w:hint="eastAsia" w:ascii="宋体" w:hAnsi="宋体"/>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2020年检察院基本支出</w:t>
      </w:r>
      <w:r>
        <w:rPr>
          <w:rFonts w:hint="eastAsia" w:ascii="宋体" w:hAnsi="宋体"/>
          <w:sz w:val="32"/>
          <w:szCs w:val="32"/>
        </w:rPr>
        <w:t>869.5</w:t>
      </w:r>
      <w:r>
        <w:rPr>
          <w:rFonts w:hint="eastAsia" w:ascii="宋体" w:hAnsi="宋体" w:cs="宋体"/>
          <w:kern w:val="0"/>
          <w:sz w:val="32"/>
          <w:szCs w:val="32"/>
        </w:rPr>
        <w:t>万元，低于2019年预算228.11万元,主要原因为人员经费减少，扫黑除恶、公益诉讼经费减少；2020年项目支出170万元，较2019年预算减少3万元,主要原因是项目由上级主管部门确定,项目资金减少，故资金减少。</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2020年我院的各项支出以将全面贯彻党和国家的有关政策、认真遵守财经纪律为准则，严格按预算规定的标准、用途执行，做到经费按进度，专款要专用，力争全面提高检察业务资金的使用效率。</w:t>
      </w:r>
    </w:p>
    <w:p>
      <w:pPr>
        <w:spacing w:line="500" w:lineRule="exact"/>
        <w:ind w:firstLine="630" w:firstLineChars="196"/>
        <w:jc w:val="left"/>
        <w:outlineLvl w:val="0"/>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hint="eastAsia"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2020年机关运行经费安排173.72万元，其中办公费3.76万元，邮电费18.18万元，公务用车运行维护费28.8万元，公务接待费1.52万元，其他交通费24.48万元，其他商品服务支出96.98万元。</w:t>
      </w:r>
    </w:p>
    <w:p>
      <w:pPr>
        <w:widowControl/>
        <w:spacing w:before="100" w:beforeAutospacing="1" w:after="100" w:afterAutospacing="1" w:line="420" w:lineRule="atLeast"/>
        <w:rPr>
          <w:rFonts w:hint="eastAsia"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5000" w:type="pct"/>
        <w:tblInd w:w="0" w:type="dxa"/>
        <w:tblLayout w:type="autofit"/>
        <w:tblCellMar>
          <w:top w:w="0" w:type="dxa"/>
          <w:left w:w="108" w:type="dxa"/>
          <w:bottom w:w="0" w:type="dxa"/>
          <w:right w:w="108" w:type="dxa"/>
        </w:tblCellMar>
      </w:tblPr>
      <w:tblGrid>
        <w:gridCol w:w="3046"/>
        <w:gridCol w:w="1818"/>
        <w:gridCol w:w="430"/>
        <w:gridCol w:w="1388"/>
        <w:gridCol w:w="860"/>
        <w:gridCol w:w="958"/>
        <w:gridCol w:w="5550"/>
      </w:tblGrid>
      <w:tr>
        <w:tblPrEx>
          <w:tblCellMar>
            <w:top w:w="0" w:type="dxa"/>
            <w:left w:w="108" w:type="dxa"/>
            <w:bottom w:w="0" w:type="dxa"/>
            <w:right w:w="108" w:type="dxa"/>
          </w:tblCellMar>
        </w:tblPrEx>
        <w:trPr>
          <w:trHeight w:val="405" w:hRule="atLeast"/>
        </w:trPr>
        <w:tc>
          <w:tcPr>
            <w:tcW w:w="5000" w:type="pct"/>
            <w:gridSpan w:val="7"/>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1084" w:type="pct"/>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00" w:type="pct"/>
            <w:gridSpan w:val="2"/>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00" w:type="pct"/>
            <w:gridSpan w:val="2"/>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41" w:type="pct"/>
            <w:noWrap/>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975" w:type="pct"/>
            <w:noWrap/>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trPr>
        <w:tc>
          <w:tcPr>
            <w:tcW w:w="1084" w:type="pct"/>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647" w:type="pct"/>
            <w:tcBorders>
              <w:top w:val="single" w:color="auto" w:sz="8" w:space="0"/>
              <w:left w:val="nil"/>
              <w:bottom w:val="single" w:color="auto" w:sz="8" w:space="0"/>
              <w:right w:val="single" w:color="auto" w:sz="8" w:space="0"/>
            </w:tcBorders>
            <w:noWrap/>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2019年度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647" w:type="pct"/>
            <w:gridSpan w:val="2"/>
            <w:tcBorders>
              <w:top w:val="single" w:color="auto" w:sz="8" w:space="0"/>
              <w:left w:val="nil"/>
              <w:bottom w:val="single" w:color="auto" w:sz="8" w:space="0"/>
              <w:right w:val="single" w:color="auto" w:sz="8" w:space="0"/>
            </w:tcBorders>
            <w:noWrap/>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2020年度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647" w:type="pct"/>
            <w:gridSpan w:val="2"/>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1975" w:type="pct"/>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398"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34.20</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28.8</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-5.4</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2019年度公车减少。</w:t>
            </w:r>
          </w:p>
        </w:tc>
      </w:tr>
      <w:tr>
        <w:tblPrEx>
          <w:tblCellMar>
            <w:top w:w="0" w:type="dxa"/>
            <w:left w:w="108" w:type="dxa"/>
            <w:bottom w:w="0" w:type="dxa"/>
            <w:right w:w="108" w:type="dxa"/>
          </w:tblCellMar>
        </w:tblPrEx>
        <w:trPr>
          <w:trHeight w:val="605"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1.68</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1.52</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-0.16</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财政系统自动核算公务接待费，系统数据减少。</w:t>
            </w:r>
          </w:p>
        </w:tc>
      </w:tr>
      <w:tr>
        <w:tblPrEx>
          <w:tblCellMar>
            <w:top w:w="0" w:type="dxa"/>
            <w:left w:w="108" w:type="dxa"/>
            <w:bottom w:w="0" w:type="dxa"/>
            <w:right w:w="108" w:type="dxa"/>
          </w:tblCellMar>
        </w:tblPrEx>
        <w:trPr>
          <w:trHeight w:val="1140" w:hRule="atLeast"/>
        </w:trPr>
        <w:tc>
          <w:tcPr>
            <w:tcW w:w="1084" w:type="pct"/>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647" w:type="pct"/>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35.88</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30.32</w:t>
            </w:r>
          </w:p>
        </w:tc>
        <w:tc>
          <w:tcPr>
            <w:tcW w:w="647" w:type="pct"/>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-5.56</w:t>
            </w:r>
          </w:p>
        </w:tc>
        <w:tc>
          <w:tcPr>
            <w:tcW w:w="1975" w:type="pct"/>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财政系统自动核算公务接待费，系统数据减少，公车数量减少。</w:t>
            </w:r>
          </w:p>
        </w:tc>
      </w:tr>
    </w:tbl>
    <w:p>
      <w:pPr>
        <w:spacing w:line="240" w:lineRule="exact"/>
        <w:ind w:firstLine="630" w:firstLineChars="196"/>
        <w:jc w:val="left"/>
        <w:outlineLvl w:val="0"/>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第五部分：绩效预算信息</w:t>
      </w:r>
    </w:p>
    <w:p>
      <w:pPr>
        <w:spacing w:line="240" w:lineRule="exact"/>
        <w:jc w:val="center"/>
        <w:rPr>
          <w:rFonts w:ascii="宋体" w:hAnsi="宋体"/>
          <w:b/>
          <w:sz w:val="32"/>
          <w:szCs w:val="32"/>
        </w:rPr>
      </w:pPr>
    </w:p>
    <w:p>
      <w:pPr>
        <w:numPr>
          <w:ilvl w:val="0"/>
          <w:numId w:val="1"/>
        </w:numPr>
        <w:spacing w:after="120" w:afterLines="50" w:line="500" w:lineRule="exact"/>
        <w:ind w:left="1349"/>
        <w:jc w:val="left"/>
        <w:outlineLvl w:val="0"/>
        <w:rPr>
          <w:rFonts w:hint="eastAsia" w:ascii="宋体" w:hAnsi="宋体"/>
          <w:b/>
          <w:sz w:val="32"/>
          <w:szCs w:val="32"/>
        </w:rPr>
      </w:pPr>
      <w:r>
        <w:rPr>
          <w:rFonts w:hint="eastAsia" w:ascii="宋体" w:hAnsi="宋体"/>
          <w:b/>
          <w:sz w:val="32"/>
          <w:szCs w:val="32"/>
        </w:rPr>
        <w:t>总体绩效目标</w:t>
      </w:r>
    </w:p>
    <w:p>
      <w:pPr>
        <w:spacing w:after="120" w:afterLines="50" w:line="500" w:lineRule="exact"/>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我单位严格按照年初预算安排，严把支出关，做到了超预算不批，超范围不批，保证了年初预算的合理执行。根据单位实际和工作需要，对年初没有安排的预算项目，我们及时进行了调整，并按照预算额度，清晰描述预算项目开支范围和内容，确定预算项目的绩效目标。</w:t>
      </w:r>
    </w:p>
    <w:p>
      <w:pPr>
        <w:spacing w:after="120" w:afterLines="50" w:line="500" w:lineRule="exact"/>
        <w:ind w:firstLine="640" w:firstLineChars="200"/>
        <w:jc w:val="left"/>
        <w:outlineLvl w:val="0"/>
        <w:rPr>
          <w:rFonts w:ascii="宋体" w:hAnsi="宋体" w:cs="宋体"/>
          <w:kern w:val="0"/>
          <w:sz w:val="32"/>
          <w:szCs w:val="32"/>
        </w:rPr>
      </w:pPr>
      <w:r>
        <w:rPr>
          <w:rFonts w:hint="eastAsia" w:ascii="宋体" w:hAnsi="宋体" w:cs="宋体"/>
          <w:kern w:val="0"/>
          <w:sz w:val="32"/>
          <w:szCs w:val="32"/>
        </w:rPr>
        <w:t>在预算执行过程中，按时间和进度的绩效管理目标要求，合理安排资金的使用，确保了年终决算的顺利进行，较好的实现了预算项目绩效目标。</w:t>
      </w:r>
    </w:p>
    <w:p>
      <w:pPr>
        <w:spacing w:after="120" w:afterLines="50" w:line="500" w:lineRule="exact"/>
        <w:ind w:firstLine="643" w:firstLineChars="200"/>
        <w:jc w:val="left"/>
        <w:outlineLvl w:val="0"/>
        <w:rPr>
          <w:rFonts w:hint="eastAsia" w:ascii="宋体" w:hAnsi="宋体"/>
          <w:b/>
          <w:sz w:val="32"/>
          <w:szCs w:val="32"/>
        </w:rPr>
      </w:pPr>
      <w:r>
        <w:rPr>
          <w:rFonts w:hint="eastAsia" w:ascii="宋体" w:hAnsi="宋体"/>
          <w:b/>
          <w:sz w:val="32"/>
          <w:szCs w:val="32"/>
        </w:rPr>
        <w:t>二、职责分类绩效目标：</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（1）检察监督绩效目标，通过行使检察权，惩罚犯罪活动，保护国家安全，保护公民、法人和其他组织的合法权益，保障国家法律的正确实施。</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完成情况侦查监督职能的行使贯穿刑事立案到侦查终结全过程。主要包括审查逮捕、立案监督和侦查活动监督等职能。审查起诉；对上诉、抗诉案件及再审案件进行审查；出庭支持公诉。依法对民事诉讼和行政诉讼实行法律监督，维护司法公正和司法权威，保障国家法律的统一正确实施。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办理全县检察机关未成年人犯罪案件的审查逮捕、审查起诉工作，依法履行立案监督、侦查活动监督、审判监督、执行监督职能；开展预防未成年人犯罪综合治理工作；依法保护刑事案件未成年被害人的合法权益。保障办案安全；开展全县检察机关技术工作和物证检验、鉴定、审核等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（2）控告和刑事申诉检察绩效目标保护公民、法人和其他单位的合法权益，促进司法公正，维护社会稳定。</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完成情况组织和指导全区控申部门受理来信来访、举报、刑事申诉、国家赔偿、司法救助工作，受理民事监督案件，办理区院管辖的信访、举报案件、刑事申诉案件、国家赔偿、司法救助案件以及上级机关交办、转办、督办案件。涉检信访办理：统一受理报案、控告、举报、申诉和犯罪嫌疑人投案自首，办理对公检法三机关及工作人员阻碍辩护人、诉讼代理人依法行使诉讼权利的控告或申诉，办理对本院办案中违法行为的控告或申诉，受理民事监督案件。举报管理、刑事申诉及涉检国家赔偿和司法救助：受理初核对国家工作人员职务犯罪的举报；受理、审查和复查当事人不服的刑事申诉案件；统一办理人民检察院作为赔偿义务机关的刑事赔偿、复议案件，对人民法院赔偿委员会判决、裁定进行监督，开展司法救助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（3）检察事务管理，承担系统综合业务管理和综合事务管理工作。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综合业务管理：确定全区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综合事务管理：组织指导全区检察人员的教育培训工作和涉外交流工作，规划和指导全区检察系统培训基地及师资队伍建设等工作；进行检察装备建设及维护；配备制式检察服装及法警服装；进行基础设施建设和维护。</w:t>
      </w:r>
    </w:p>
    <w:p>
      <w:pPr>
        <w:widowControl/>
        <w:spacing w:line="540" w:lineRule="exact"/>
        <w:ind w:firstLine="643" w:firstLineChars="200"/>
        <w:rPr>
          <w:rFonts w:hint="eastAsia" w:ascii="宋体" w:hAnsi="宋体"/>
          <w:b/>
          <w:sz w:val="32"/>
          <w:szCs w:val="32"/>
        </w:rPr>
      </w:pPr>
      <w:r>
        <w:rPr>
          <w:rFonts w:hint="eastAsia" w:ascii="宋体" w:hAnsi="宋体"/>
          <w:b/>
          <w:sz w:val="32"/>
          <w:szCs w:val="32"/>
        </w:rPr>
        <w:t>三、实现年度发展规划目标的保障措施</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深入落实司法责任制改革。由以前的承办人、科长、主管检察长三级审批，变为现在检察官负责制，办案审批权限进一步简化，检察长和专职检委会委员作为入额检察官参与办案，实行网上随机轮流分案机制。完善并严格执行检察官权力清单，重大复杂敏感案件和新类型案件，充分发挥员额检察官联席会议制度，确保办案三个效果的统一。</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加强队伍思想政治和业务能力建设。深入学习党的十九大精神，组织干警到航空教育基地进行“不忘初心、牢记使命”主题教育，强化政治意识、大局意识、核心意识、看齐意识，坚持抓班子带队伍，不断提升队伍凝聚力和战斗力。配合市院和区委安排，抓好各类教育培训的组织工作，组织干警按期认真学习中国检察教育培训网络学院、河北干部网络学院相关课程；充分利用“学习强国”加强思想政治建设，提高队伍素质。</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持之以恒纠正“四风”和加强作风纪律整治。严格落实党风廉政建设“两个责任”，教育引导全院干警纠“四风”、转作风,以永远在路上的坚韧和定力抓好作风建设，驰而不息纠正“四风”。多次召开院党组会、全院干警政治性警示教育大会，认真传达贯彻全区纪检监察会议精神，落实各项党风廉政建设措施。制定《保定市满城区人民检察院“讲政治、转作风、强责任、抓落实”》行动工作方案，成立领导小组。并要求全院干警填写台账、认真查摆问题；签订检察干警严守党规检纪承诺书，用纪律规矩严管干警，此项工作被省院和河北法制网刊发。</w:t>
      </w:r>
    </w:p>
    <w:p>
      <w:pPr>
        <w:widowControl/>
        <w:spacing w:line="540" w:lineRule="exact"/>
        <w:ind w:firstLine="640" w:firstLineChars="200"/>
        <w:rPr>
          <w:rFonts w:hint="eastAsia" w:ascii="宋体" w:hAnsi="宋体" w:cs="宋体"/>
          <w:kern w:val="0"/>
          <w:sz w:val="32"/>
          <w:szCs w:val="32"/>
        </w:rPr>
      </w:pPr>
    </w:p>
    <w:p>
      <w:pPr>
        <w:widowControl/>
        <w:spacing w:line="540" w:lineRule="exact"/>
        <w:ind w:firstLine="643" w:firstLineChars="200"/>
        <w:jc w:val="center"/>
        <w:rPr>
          <w:rFonts w:ascii="宋体" w:hAnsi="宋体" w:cs="宋体"/>
          <w:b/>
          <w:bCs/>
          <w:kern w:val="0"/>
          <w:sz w:val="32"/>
          <w:szCs w:val="32"/>
        </w:rPr>
      </w:pPr>
      <w:r>
        <w:rPr>
          <w:rFonts w:hint="eastAsia" w:ascii="宋体" w:hAnsi="宋体" w:cs="宋体"/>
          <w:b/>
          <w:bCs/>
          <w:kern w:val="0"/>
          <w:sz w:val="32"/>
          <w:szCs w:val="32"/>
        </w:rPr>
        <w:t>专项资金绩效目标</w:t>
      </w:r>
    </w:p>
    <w:p>
      <w:pPr>
        <w:widowControl/>
        <w:spacing w:line="540" w:lineRule="exact"/>
        <w:ind w:firstLine="643" w:firstLineChars="200"/>
        <w:jc w:val="center"/>
        <w:rPr>
          <w:rFonts w:hint="eastAsia" w:ascii="宋体" w:hAnsi="宋体" w:cs="宋体"/>
          <w:b/>
          <w:bCs/>
          <w:kern w:val="0"/>
          <w:sz w:val="32"/>
          <w:szCs w:val="32"/>
        </w:rPr>
      </w:pPr>
    </w:p>
    <w:p>
      <w:pPr>
        <w:ind w:firstLine="560" w:firstLineChars="200"/>
        <w:jc w:val="left"/>
        <w:outlineLvl w:val="1"/>
        <w:rPr>
          <w:rFonts w:hAnsi="宋体"/>
          <w:b/>
          <w:sz w:val="28"/>
        </w:rPr>
      </w:pPr>
      <w:r>
        <w:rPr>
          <w:rFonts w:hint="eastAsia" w:ascii="方正仿宋_GBK" w:eastAsia="方正仿宋_GBK"/>
          <w:b/>
          <w:sz w:val="28"/>
        </w:rPr>
        <w:t>1、检察院专项业务项目绩效目标表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44487759"/>
      <w:r>
        <w:rPr>
          <w:rFonts w:hint="eastAsia" w:ascii="方正仿宋_GBK" w:eastAsia="方正仿宋_GBK"/>
          <w:b/>
          <w:sz w:val="28"/>
        </w:rPr>
        <w:instrText xml:space="preserve">1、检察院专项业务项目绩效目标表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000-9999-JSN-J424</w:t>
            </w:r>
          </w:p>
        </w:tc>
        <w:tc>
          <w:tcPr>
            <w:tcW w:w="1587"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检察院专项业务项目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23.10</w:t>
            </w:r>
          </w:p>
        </w:tc>
        <w:tc>
          <w:tcPr>
            <w:tcW w:w="1587"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23.10</w:t>
            </w:r>
          </w:p>
        </w:tc>
        <w:tc>
          <w:tcPr>
            <w:tcW w:w="1276"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档案室</w:t>
            </w:r>
            <w:r>
              <w:rPr>
                <w:rFonts w:ascii="方正书宋_GBK" w:eastAsia="方正书宋_GBK"/>
              </w:rPr>
              <w:t>5A</w:t>
            </w:r>
            <w:r>
              <w:rPr>
                <w:rFonts w:hint="eastAsia" w:ascii="方正书宋_GBK" w:eastAsia="方正书宋_GBK"/>
              </w:rPr>
              <w:t>升级项目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、档案室升级完成，保障办案。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、完成司法监督活动。</w:t>
            </w:r>
          </w:p>
        </w:tc>
      </w:tr>
    </w:tbl>
    <w:p>
      <w:pPr>
        <w:spacing w:line="14" w:lineRule="exact"/>
        <w:ind w:firstLine="420" w:firstLineChars="200"/>
        <w:jc w:val="left"/>
        <w:rPr>
          <w:rFonts w:hAnsi="宋体"/>
        </w:rPr>
      </w:pP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当年公共安全完成情况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通过实施公共安全政策促进社会稳定水平逐步提高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维护社会公平正义</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群众满意度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bl>
    <w:p>
      <w:pPr>
        <w:rPr>
          <w:rFonts w:hint="eastAsia" w:ascii="宋体" w:hAnsi="宋体"/>
          <w:b/>
          <w:sz w:val="32"/>
          <w:szCs w:val="32"/>
        </w:rPr>
        <w:sectPr>
          <w:pgSz w:w="16839" w:h="11907" w:orient="landscape"/>
          <w:pgMar w:top="1134" w:right="1531" w:bottom="1134" w:left="1474" w:header="851" w:footer="992" w:gutter="0"/>
          <w:cols w:space="720" w:num="1"/>
          <w:docGrid w:linePitch="312" w:charSpace="0"/>
        </w:sectPr>
      </w:pPr>
    </w:p>
    <w:p>
      <w:pPr>
        <w:jc w:val="center"/>
        <w:rPr>
          <w:rFonts w:hint="eastAsia" w:ascii="宋体" w:hAnsi="宋体"/>
          <w:b/>
          <w:sz w:val="32"/>
          <w:szCs w:val="32"/>
        </w:rPr>
      </w:pPr>
      <w:r>
        <w:rPr>
          <w:rFonts w:hint="eastAsia" w:ascii="宋体" w:hAnsi="宋体"/>
          <w:b/>
          <w:sz w:val="32"/>
          <w:szCs w:val="32"/>
        </w:rPr>
        <w:t>第六部分 政府采购预算情况</w:t>
      </w:r>
    </w:p>
    <w:p>
      <w:pPr>
        <w:jc w:val="center"/>
        <w:rPr>
          <w:rFonts w:hint="eastAsia" w:ascii="宋体" w:hAnsi="宋体"/>
          <w:b/>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2020年我单位无政府采购预算。空表列式：</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p>
    <w:p>
      <w:pP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 xml:space="preserve">  保定市满城区检察院2019年末固定资产总金额2251.12万元（详见下表），2020年无拟购置固定资产。</w:t>
      </w:r>
    </w:p>
    <w:tbl>
      <w:tblPr>
        <w:tblStyle w:val="7"/>
        <w:tblpPr w:leftFromText="180" w:rightFromText="180" w:vertAnchor="text" w:tblpY="1"/>
        <w:tblOverlap w:val="never"/>
        <w:tblW w:w="5000" w:type="pct"/>
        <w:tblInd w:w="0" w:type="dxa"/>
        <w:tblLayout w:type="autofit"/>
        <w:tblCellMar>
          <w:top w:w="0" w:type="dxa"/>
          <w:left w:w="108" w:type="dxa"/>
          <w:bottom w:w="0" w:type="dxa"/>
          <w:right w:w="108" w:type="dxa"/>
        </w:tblCellMar>
      </w:tblPr>
      <w:tblGrid>
        <w:gridCol w:w="4265"/>
        <w:gridCol w:w="1782"/>
        <w:gridCol w:w="3808"/>
      </w:tblGrid>
      <w:tr>
        <w:tblPrEx>
          <w:tblCellMar>
            <w:top w:w="0" w:type="dxa"/>
            <w:left w:w="108" w:type="dxa"/>
            <w:bottom w:w="0" w:type="dxa"/>
            <w:right w:w="108" w:type="dxa"/>
          </w:tblCellMar>
        </w:tblPrEx>
        <w:trPr>
          <w:trHeight w:val="675" w:hRule="atLeast"/>
        </w:trPr>
        <w:tc>
          <w:tcPr>
            <w:tcW w:w="5000" w:type="pct"/>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保定市满城区检察院固定资产占用情况表</w:t>
            </w:r>
          </w:p>
        </w:tc>
      </w:tr>
      <w:tr>
        <w:tblPrEx>
          <w:tblCellMar>
            <w:top w:w="0" w:type="dxa"/>
            <w:left w:w="108" w:type="dxa"/>
            <w:bottom w:w="0" w:type="dxa"/>
            <w:right w:w="108" w:type="dxa"/>
          </w:tblCellMar>
        </w:tblPrEx>
        <w:trPr>
          <w:trHeight w:val="465" w:hRule="atLeast"/>
        </w:trPr>
        <w:tc>
          <w:tcPr>
            <w:tcW w:w="5000" w:type="pct"/>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1932" w:type="pct"/>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bCs/>
                <w:color w:val="000000"/>
                <w:kern w:val="0"/>
                <w:sz w:val="24"/>
                <w:szCs w:val="24"/>
              </w:rPr>
              <w:t>2251.12</w:t>
            </w:r>
          </w:p>
        </w:tc>
      </w:tr>
      <w:tr>
        <w:tblPrEx>
          <w:tblCellMar>
            <w:top w:w="0" w:type="dxa"/>
            <w:left w:w="108" w:type="dxa"/>
            <w:bottom w:w="0" w:type="dxa"/>
            <w:right w:w="108" w:type="dxa"/>
          </w:tblCellMar>
        </w:tblPrEx>
        <w:trPr>
          <w:trHeight w:val="483"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90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5,798.00</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905</w:t>
            </w: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6</w:t>
            </w:r>
          </w:p>
        </w:tc>
      </w:tr>
      <w:tr>
        <w:tblPrEx>
          <w:tblCellMar>
            <w:top w:w="0" w:type="dxa"/>
            <w:left w:w="108" w:type="dxa"/>
            <w:bottom w:w="0" w:type="dxa"/>
            <w:right w:w="108" w:type="dxa"/>
          </w:tblCellMar>
        </w:tblPrEx>
        <w:trPr>
          <w:trHeight w:val="419"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其中：业务用房（平方米）</w:t>
            </w:r>
          </w:p>
        </w:tc>
        <w:tc>
          <w:tcPr>
            <w:tcW w:w="90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5,798.00</w:t>
            </w:r>
          </w:p>
        </w:tc>
        <w:tc>
          <w:tcPr>
            <w:tcW w:w="19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905</w:t>
            </w:r>
            <w:r>
              <w:rPr>
                <w:rFonts w:hint="eastAsia" w:ascii="宋体" w:hAnsi="宋体" w:cs="宋体"/>
                <w:color w:val="000000"/>
                <w:kern w:val="0"/>
                <w:sz w:val="24"/>
                <w:szCs w:val="24"/>
              </w:rPr>
              <w:t>.</w:t>
            </w:r>
            <w:r>
              <w:rPr>
                <w:rFonts w:ascii="宋体" w:hAnsi="宋体" w:cs="宋体"/>
                <w:color w:val="000000"/>
                <w:kern w:val="0"/>
                <w:sz w:val="24"/>
                <w:szCs w:val="24"/>
              </w:rPr>
              <w:t>8</w:t>
            </w:r>
            <w:r>
              <w:rPr>
                <w:rFonts w:hint="eastAsia" w:ascii="宋体" w:hAnsi="宋体" w:cs="宋体"/>
                <w:color w:val="000000"/>
                <w:kern w:val="0"/>
                <w:sz w:val="24"/>
                <w:szCs w:val="24"/>
              </w:rPr>
              <w:t>6</w:t>
            </w:r>
          </w:p>
        </w:tc>
      </w:tr>
      <w:tr>
        <w:tblPrEx>
          <w:tblCellMar>
            <w:top w:w="0" w:type="dxa"/>
            <w:left w:w="108" w:type="dxa"/>
            <w:bottom w:w="0" w:type="dxa"/>
            <w:right w:w="108" w:type="dxa"/>
          </w:tblCellMar>
        </w:tblPrEx>
        <w:trPr>
          <w:trHeight w:val="495" w:hRule="atLeast"/>
        </w:trPr>
        <w:tc>
          <w:tcPr>
            <w:tcW w:w="2164"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90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20</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ascii="宋体" w:hAnsi="宋体" w:cs="宋体"/>
                <w:color w:val="000000"/>
                <w:kern w:val="0"/>
                <w:sz w:val="24"/>
                <w:szCs w:val="24"/>
              </w:rPr>
              <w:t>257</w:t>
            </w:r>
            <w:r>
              <w:rPr>
                <w:rFonts w:hint="eastAsia" w:ascii="宋体" w:hAnsi="宋体" w:cs="宋体"/>
                <w:color w:val="000000"/>
                <w:kern w:val="0"/>
                <w:sz w:val="24"/>
                <w:szCs w:val="24"/>
              </w:rPr>
              <w:t>.</w:t>
            </w:r>
            <w:r>
              <w:rPr>
                <w:rFonts w:ascii="宋体" w:hAnsi="宋体" w:cs="宋体"/>
                <w:color w:val="000000"/>
                <w:kern w:val="0"/>
                <w:sz w:val="24"/>
                <w:szCs w:val="24"/>
              </w:rPr>
              <w:t>45</w:t>
            </w:r>
          </w:p>
        </w:tc>
      </w:tr>
      <w:tr>
        <w:tblPrEx>
          <w:tblCellMar>
            <w:top w:w="0" w:type="dxa"/>
            <w:left w:w="108" w:type="dxa"/>
            <w:bottom w:w="0" w:type="dxa"/>
            <w:right w:w="108" w:type="dxa"/>
          </w:tblCellMar>
        </w:tblPrEx>
        <w:trPr>
          <w:trHeight w:val="611" w:hRule="atLeast"/>
        </w:trPr>
        <w:tc>
          <w:tcPr>
            <w:tcW w:w="2164" w:type="pct"/>
            <w:tcBorders>
              <w:top w:val="nil"/>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3、单价50万元（含）以上的通用设备（台、套…）</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611" w:hRule="atLeast"/>
        </w:trPr>
        <w:tc>
          <w:tcPr>
            <w:tcW w:w="2164" w:type="pct"/>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4、单价100万元（含）以上的专用设备（台、套…）</w:t>
            </w:r>
          </w:p>
        </w:tc>
        <w:tc>
          <w:tcPr>
            <w:tcW w:w="904"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5、其他固定资产</w:t>
            </w:r>
          </w:p>
        </w:tc>
        <w:tc>
          <w:tcPr>
            <w:tcW w:w="90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193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1087.81</w:t>
            </w:r>
          </w:p>
        </w:tc>
      </w:tr>
    </w:tbl>
    <w:p>
      <w:pPr>
        <w:rPr>
          <w:rFonts w:hint="eastAsia"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sz w:val="32"/>
          <w:szCs w:val="32"/>
        </w:rPr>
      </w:pPr>
      <w:r>
        <w:rPr>
          <w:rFonts w:hint="eastAsia" w:ascii="宋体" w:hAnsi="宋体"/>
          <w:sz w:val="32"/>
          <w:szCs w:val="32"/>
        </w:rPr>
        <w:t>6</w:t>
      </w:r>
      <w:r>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hint="eastAsia" w:ascii="宋体" w:hAnsi="宋体"/>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第九部分：其他需说明的事项</w:t>
      </w:r>
    </w:p>
    <w:p>
      <w:pPr>
        <w:ind w:firstLine="800" w:firstLineChars="250"/>
        <w:rPr>
          <w:rFonts w:hint="eastAsia" w:ascii="宋体" w:hAnsi="宋体"/>
          <w:sz w:val="32"/>
          <w:szCs w:val="32"/>
        </w:rPr>
      </w:pPr>
    </w:p>
    <w:p>
      <w:pPr>
        <w:ind w:firstLine="800" w:firstLineChars="250"/>
        <w:rPr>
          <w:rFonts w:hint="eastAsia"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C3F51"/>
    <w:multiLevelType w:val="multilevel"/>
    <w:tmpl w:val="14AC3F51"/>
    <w:lvl w:ilvl="0" w:tentative="0">
      <w:start w:val="1"/>
      <w:numFmt w:val="japaneseCounting"/>
      <w:lvlText w:val="%1、"/>
      <w:lvlJc w:val="left"/>
      <w:pPr>
        <w:ind w:left="1350" w:hanging="720"/>
      </w:pPr>
      <w:rPr>
        <w:rFonts w:hint="default"/>
        <w:lang w:val="en-U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OWZmMGNiYzQ2NWYwNzdlNzJiZDgxYTYyMzNhMGQifQ=="/>
  </w:docVars>
  <w:rsids>
    <w:rsidRoot w:val="00CB60A0"/>
    <w:rsid w:val="0001646E"/>
    <w:rsid w:val="00020C0D"/>
    <w:rsid w:val="0002241E"/>
    <w:rsid w:val="00027501"/>
    <w:rsid w:val="00045C4A"/>
    <w:rsid w:val="00057F1C"/>
    <w:rsid w:val="00060001"/>
    <w:rsid w:val="00096633"/>
    <w:rsid w:val="000A6D4E"/>
    <w:rsid w:val="000B0138"/>
    <w:rsid w:val="000C40E2"/>
    <w:rsid w:val="000C6570"/>
    <w:rsid w:val="000C6A64"/>
    <w:rsid w:val="000D535F"/>
    <w:rsid w:val="000E0F9A"/>
    <w:rsid w:val="000F373C"/>
    <w:rsid w:val="000F5E7D"/>
    <w:rsid w:val="00120705"/>
    <w:rsid w:val="00120D3A"/>
    <w:rsid w:val="0012577A"/>
    <w:rsid w:val="001631F6"/>
    <w:rsid w:val="00193698"/>
    <w:rsid w:val="001F6A3F"/>
    <w:rsid w:val="00227EB5"/>
    <w:rsid w:val="0024489E"/>
    <w:rsid w:val="00261931"/>
    <w:rsid w:val="00280335"/>
    <w:rsid w:val="00284103"/>
    <w:rsid w:val="002A1208"/>
    <w:rsid w:val="002A2666"/>
    <w:rsid w:val="002D0BF4"/>
    <w:rsid w:val="002D4820"/>
    <w:rsid w:val="002D4851"/>
    <w:rsid w:val="002E4EF0"/>
    <w:rsid w:val="002E6F93"/>
    <w:rsid w:val="002F0279"/>
    <w:rsid w:val="0031096A"/>
    <w:rsid w:val="00337D2A"/>
    <w:rsid w:val="0034678A"/>
    <w:rsid w:val="00347940"/>
    <w:rsid w:val="003515B1"/>
    <w:rsid w:val="00357490"/>
    <w:rsid w:val="00370303"/>
    <w:rsid w:val="0039624D"/>
    <w:rsid w:val="003B5509"/>
    <w:rsid w:val="00404251"/>
    <w:rsid w:val="00421293"/>
    <w:rsid w:val="004226CB"/>
    <w:rsid w:val="004269F5"/>
    <w:rsid w:val="00435EF2"/>
    <w:rsid w:val="00455FF5"/>
    <w:rsid w:val="0049258C"/>
    <w:rsid w:val="004C7932"/>
    <w:rsid w:val="004D0BF0"/>
    <w:rsid w:val="004D7BFB"/>
    <w:rsid w:val="004E5EA1"/>
    <w:rsid w:val="00502ECF"/>
    <w:rsid w:val="00504079"/>
    <w:rsid w:val="005229F0"/>
    <w:rsid w:val="00524B25"/>
    <w:rsid w:val="005267DC"/>
    <w:rsid w:val="00531EBB"/>
    <w:rsid w:val="0053244C"/>
    <w:rsid w:val="00542776"/>
    <w:rsid w:val="00584E09"/>
    <w:rsid w:val="00587E61"/>
    <w:rsid w:val="005C5456"/>
    <w:rsid w:val="005F3A08"/>
    <w:rsid w:val="0061150C"/>
    <w:rsid w:val="0062631B"/>
    <w:rsid w:val="0063487B"/>
    <w:rsid w:val="006474D4"/>
    <w:rsid w:val="00655A14"/>
    <w:rsid w:val="00675A45"/>
    <w:rsid w:val="00693789"/>
    <w:rsid w:val="006B410F"/>
    <w:rsid w:val="006E2788"/>
    <w:rsid w:val="006E3A16"/>
    <w:rsid w:val="006E422D"/>
    <w:rsid w:val="00733E67"/>
    <w:rsid w:val="0073562D"/>
    <w:rsid w:val="007405DF"/>
    <w:rsid w:val="00741245"/>
    <w:rsid w:val="00742AF8"/>
    <w:rsid w:val="00752A9A"/>
    <w:rsid w:val="00757848"/>
    <w:rsid w:val="00761B0E"/>
    <w:rsid w:val="0077741B"/>
    <w:rsid w:val="007C7EEA"/>
    <w:rsid w:val="007E3C6B"/>
    <w:rsid w:val="007E3E18"/>
    <w:rsid w:val="008257EB"/>
    <w:rsid w:val="008312D1"/>
    <w:rsid w:val="00834104"/>
    <w:rsid w:val="008362B4"/>
    <w:rsid w:val="008472F5"/>
    <w:rsid w:val="00847BB8"/>
    <w:rsid w:val="00872EB0"/>
    <w:rsid w:val="008C7D90"/>
    <w:rsid w:val="008E58B2"/>
    <w:rsid w:val="008F5C6B"/>
    <w:rsid w:val="009210D0"/>
    <w:rsid w:val="00966566"/>
    <w:rsid w:val="00967DDD"/>
    <w:rsid w:val="0097283A"/>
    <w:rsid w:val="00975025"/>
    <w:rsid w:val="0098017F"/>
    <w:rsid w:val="009B046F"/>
    <w:rsid w:val="009C0521"/>
    <w:rsid w:val="009C1C6E"/>
    <w:rsid w:val="009D1BDC"/>
    <w:rsid w:val="009D3D40"/>
    <w:rsid w:val="009D7185"/>
    <w:rsid w:val="009E16AC"/>
    <w:rsid w:val="009E5FAA"/>
    <w:rsid w:val="009F4564"/>
    <w:rsid w:val="00A1436D"/>
    <w:rsid w:val="00A14B74"/>
    <w:rsid w:val="00A267A1"/>
    <w:rsid w:val="00A42CC5"/>
    <w:rsid w:val="00A4591D"/>
    <w:rsid w:val="00A7420E"/>
    <w:rsid w:val="00AA2330"/>
    <w:rsid w:val="00B27D35"/>
    <w:rsid w:val="00B353E4"/>
    <w:rsid w:val="00B64CA7"/>
    <w:rsid w:val="00B70A35"/>
    <w:rsid w:val="00B7281F"/>
    <w:rsid w:val="00B84A64"/>
    <w:rsid w:val="00B86E9A"/>
    <w:rsid w:val="00BA079F"/>
    <w:rsid w:val="00BF4FF8"/>
    <w:rsid w:val="00C417EB"/>
    <w:rsid w:val="00C43C5F"/>
    <w:rsid w:val="00C45B98"/>
    <w:rsid w:val="00C67481"/>
    <w:rsid w:val="00C81DE0"/>
    <w:rsid w:val="00CA742F"/>
    <w:rsid w:val="00CB60A0"/>
    <w:rsid w:val="00CF149D"/>
    <w:rsid w:val="00D351F8"/>
    <w:rsid w:val="00D42A2C"/>
    <w:rsid w:val="00D4423B"/>
    <w:rsid w:val="00D50E53"/>
    <w:rsid w:val="00D822D6"/>
    <w:rsid w:val="00D92117"/>
    <w:rsid w:val="00DB68A4"/>
    <w:rsid w:val="00DE533F"/>
    <w:rsid w:val="00E028E5"/>
    <w:rsid w:val="00E37B57"/>
    <w:rsid w:val="00E42877"/>
    <w:rsid w:val="00E527DA"/>
    <w:rsid w:val="00EA3466"/>
    <w:rsid w:val="00EC30C7"/>
    <w:rsid w:val="00EC6A5F"/>
    <w:rsid w:val="00EF7345"/>
    <w:rsid w:val="00F02138"/>
    <w:rsid w:val="00F03F2F"/>
    <w:rsid w:val="00F06CFF"/>
    <w:rsid w:val="00F12C3E"/>
    <w:rsid w:val="00F56B6E"/>
    <w:rsid w:val="00F817AB"/>
    <w:rsid w:val="00F82021"/>
    <w:rsid w:val="00F84113"/>
    <w:rsid w:val="00F841A4"/>
    <w:rsid w:val="00FA448E"/>
    <w:rsid w:val="00FF2F95"/>
    <w:rsid w:val="1F013D05"/>
    <w:rsid w:val="278A0EAA"/>
    <w:rsid w:val="2FA576E7"/>
    <w:rsid w:val="47711C8A"/>
    <w:rsid w:val="4C732BF0"/>
    <w:rsid w:val="58DE0CB1"/>
    <w:rsid w:val="5BB528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line="420" w:lineRule="exact"/>
      <w:ind w:firstLine="630"/>
    </w:pPr>
    <w:rPr>
      <w:rFonts w:eastAsia="仿宋_GB2312"/>
      <w:sz w:val="32"/>
      <w:szCs w:val="24"/>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character" w:customStyle="1" w:styleId="9">
    <w:name w:val="正文文本缩进 Char"/>
    <w:link w:val="2"/>
    <w:uiPriority w:val="0"/>
    <w:rPr>
      <w:rFonts w:ascii="Times New Roman" w:hAnsi="Times New Roman" w:eastAsia="仿宋_GB2312"/>
      <w:kern w:val="2"/>
      <w:sz w:val="32"/>
      <w:szCs w:val="24"/>
    </w:rPr>
  </w:style>
  <w:style w:type="character" w:customStyle="1" w:styleId="10">
    <w:name w:val="页脚 Char"/>
    <w:link w:val="3"/>
    <w:semiHidden/>
    <w:qFormat/>
    <w:uiPriority w:val="99"/>
    <w:rPr>
      <w:sz w:val="18"/>
      <w:szCs w:val="18"/>
    </w:rPr>
  </w:style>
  <w:style w:type="character" w:customStyle="1" w:styleId="11">
    <w:name w:val="页眉 Char"/>
    <w:link w:val="4"/>
    <w:semiHidden/>
    <w:uiPriority w:val="99"/>
    <w:rPr>
      <w:sz w:val="18"/>
      <w:szCs w:val="18"/>
    </w:rPr>
  </w:style>
  <w:style w:type="paragraph" w:customStyle="1" w:styleId="12">
    <w:name w:val="[Normal]"/>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825</Words>
  <Characters>4707</Characters>
  <Lines>39</Lines>
  <Paragraphs>11</Paragraphs>
  <TotalTime>1</TotalTime>
  <ScaleCrop>false</ScaleCrop>
  <LinksUpToDate>false</LinksUpToDate>
  <CharactersWithSpaces>5521</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2021-05-31T09:45:00Z</dcterms:created>
  <dc:creator>suix</dc:creator>
  <cp:lastModifiedBy>Administrator</cp:lastModifiedBy>
  <dcterms:modified xsi:type="dcterms:W3CDTF">2023-09-04T06:14:17Z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4C1B0E7D558D4DF7B752FD367013DA8C</vt:lpwstr>
  </property>
</Properties>
</file>