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67456" behindDoc="1" locked="0" layoutInCell="1" allowOverlap="1">
            <wp:simplePos x="0" y="0"/>
            <wp:positionH relativeFrom="column">
              <wp:posOffset>-972185</wp:posOffset>
            </wp:positionH>
            <wp:positionV relativeFrom="page">
              <wp:posOffset>10795</wp:posOffset>
            </wp:positionV>
            <wp:extent cx="8813165" cy="10840085"/>
            <wp:effectExtent l="0" t="0" r="0" b="10795"/>
            <wp:wrapTight wrapText="bothSides">
              <wp:wrapPolygon>
                <wp:start x="0" y="0"/>
                <wp:lineTo x="0" y="21561"/>
                <wp:lineTo x="21552" y="21561"/>
                <wp:lineTo x="21552" y="0"/>
                <wp:lineTo x="0" y="0"/>
              </wp:wrapPolygon>
            </wp:wrapTight>
            <wp:docPr id="4" name="图片 4" descr="c12dd2b9cf4f025fd74bb6ea23528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12dd2b9cf4f025fd74bb6ea235286d"/>
                    <pic:cNvPicPr>
                      <a:picLocks noChangeAspect="1"/>
                    </pic:cNvPicPr>
                  </pic:nvPicPr>
                  <pic:blipFill>
                    <a:blip r:embed="rId14"/>
                    <a:stretch>
                      <a:fillRect/>
                    </a:stretch>
                  </pic:blipFill>
                  <pic:spPr>
                    <a:xfrm>
                      <a:off x="0" y="0"/>
                      <a:ext cx="8813165" cy="10840085"/>
                    </a:xfrm>
                    <a:prstGeom prst="rect">
                      <a:avLst/>
                    </a:prstGeom>
                  </pic:spPr>
                </pic:pic>
              </a:graphicData>
            </a:graphic>
          </wp:anchor>
        </w:drawing>
      </w:r>
      <w:r>
        <w:br w:type="page"/>
      </w: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jc w:val="center"/>
        <w:rPr>
          <w:rFonts w:ascii="黑体" w:hAnsi="黑体" w:eastAsia="黑体" w:cs="黑体"/>
          <w:sz w:val="72"/>
          <w:szCs w:val="96"/>
          <w:highlight w:val="yellow"/>
        </w:rPr>
      </w:pPr>
      <w:r>
        <w:rPr>
          <w:rFonts w:hint="eastAsia" w:ascii="黑体" w:hAnsi="黑体" w:eastAsia="黑体" w:cs="黑体"/>
          <w:sz w:val="72"/>
          <w:szCs w:val="96"/>
        </w:rPr>
        <w:t>中国共产主义青年团保定市满城区委员会</w:t>
      </w:r>
    </w:p>
    <w:p>
      <w:pPr>
        <w:rPr>
          <w:rFonts w:ascii="黑体" w:hAnsi="黑体" w:eastAsia="黑体" w:cs="黑体"/>
          <w:sz w:val="72"/>
          <w:szCs w:val="96"/>
        </w:rPr>
      </w:pP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pgSz w:w="11906" w:h="16838"/>
          <w:pgMar w:top="2098" w:right="1531" w:bottom="1984"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二〇二一年</w:t>
      </w:r>
      <w:r>
        <w:rPr>
          <w:rFonts w:hint="eastAsia" w:ascii="楷体_GB2312" w:hAnsi="楷体_GB2312" w:eastAsia="楷体_GB2312" w:cs="楷体_GB2312"/>
          <w:color w:val="000000" w:themeColor="text1"/>
          <w:kern w:val="0"/>
          <w:sz w:val="40"/>
          <w:szCs w:val="40"/>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w:t>
      </w:r>
      <w:r>
        <w:rPr>
          <w:rFonts w:hint="eastAsia"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jc w:val="both"/>
        <w:rPr>
          <w:rFonts w:ascii="黑体" w:hAnsi="黑体" w:eastAsia="黑体" w:cs="黑体"/>
          <w:sz w:val="56"/>
          <w:szCs w:val="72"/>
          <w:highlight w:val="yellow"/>
        </w:rPr>
        <w:sectPr>
          <w:headerReference r:id="rId4" w:type="first"/>
          <w:footerReference r:id="rId6" w:type="first"/>
          <w:headerReference r:id="rId3" w:type="default"/>
          <w:footerReference r:id="rId5" w:type="default"/>
          <w:type w:val="continuous"/>
          <w:pgSz w:w="11906" w:h="16838"/>
          <w:pgMar w:top="2098" w:right="1531" w:bottom="1984" w:left="1531" w:header="851" w:footer="992" w:gutter="0"/>
          <w:cols w:space="0" w:num="1"/>
          <w:titlePg/>
          <w:docGrid w:type="lines" w:linePitch="312" w:charSpace="0"/>
        </w:sectPr>
      </w:pPr>
    </w:p>
    <w:p>
      <w:pPr>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keepNext w:val="0"/>
        <w:keepLines w:val="0"/>
        <w:pageBreakBefore w:val="0"/>
        <w:widowControl/>
        <w:kinsoku/>
        <w:wordWrap/>
        <w:overflowPunct/>
        <w:topLinePunct w:val="0"/>
        <w:autoSpaceDE/>
        <w:autoSpaceDN/>
        <w:bidi w:val="0"/>
        <w:adjustRightInd/>
        <w:snapToGrid/>
        <w:spacing w:line="640" w:lineRule="exact"/>
        <w:ind w:firstLine="1273" w:firstLineChars="398"/>
        <w:textAlignment w:val="auto"/>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keepNext w:val="0"/>
        <w:keepLines w:val="0"/>
        <w:pageBreakBefore w:val="0"/>
        <w:widowControl/>
        <w:kinsoku/>
        <w:wordWrap/>
        <w:overflowPunct/>
        <w:topLinePunct w:val="0"/>
        <w:autoSpaceDE/>
        <w:autoSpaceDN/>
        <w:bidi w:val="0"/>
        <w:adjustRightInd/>
        <w:snapToGrid/>
        <w:spacing w:line="640" w:lineRule="exact"/>
        <w:ind w:firstLine="1273" w:firstLineChars="398"/>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年部门决算情况说明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第三部分   名词解释</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 xml:space="preserve">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8" w:type="first"/>
          <w:footerReference r:id="rId10" w:type="first"/>
          <w:headerReference r:id="rId7" w:type="default"/>
          <w:footerReference r:id="rId9" w:type="default"/>
          <w:type w:val="continuous"/>
          <w:pgSz w:w="11906" w:h="16838"/>
          <w:pgMar w:top="2098" w:right="1531" w:bottom="1984"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59264" behindDoc="0" locked="0" layoutInCell="1" allowOverlap="1">
                <wp:simplePos x="0" y="0"/>
                <wp:positionH relativeFrom="column">
                  <wp:posOffset>-1088390</wp:posOffset>
                </wp:positionH>
                <wp:positionV relativeFrom="paragraph">
                  <wp:posOffset>1024890</wp:posOffset>
                </wp:positionV>
                <wp:extent cx="7793355" cy="3341370"/>
                <wp:effectExtent l="6350" t="6350" r="18415" b="2032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12700" cmpd="sng">
                          <a:solidFill>
                            <a:schemeClr val="bg1">
                              <a:lumMod val="65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659264;v-text-anchor:middle;mso-width-relative:page;mso-height-relative:page;" fillcolor="#7F7F7F [1612]" filled="t" stroked="t" coordsize="21600,21600" o:gfxdata="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Df95gjcAAAADQEAAA8AAAAAAAAAAQAgAAAAIgAAAGRycy9kb3ducmV2Lnht&#10;bFBLAQIUABQAAAAIAIdO4kCP8Fn4oAIAAHEFAAAOAAAAAAAAAAEAIAAAACsBAABkcnMvZTJvRG9j&#10;LnhtbFBLBQYAAAAABgAGAFkBAAA9BgAAAAA=&#10;">
                <v:fill type="pattern" on="t" color2="#FFFFFF [3212]" o:title="5%" focussize="0,0" r:id="rId15"/>
                <v:stroke weight="1pt" color="#A6A6A6 [2092]"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pStyle w:val="8"/>
        <w:widowControl/>
        <w:spacing w:line="520" w:lineRule="exact"/>
        <w:ind w:firstLine="640" w:firstLineChars="200"/>
        <w:jc w:val="both"/>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根据中共保定市委、保定市人民政府《关于区乡机构改革的实施意见》（保发[2001]17号），共青团满城区委机关职能配置和人员编制确定如下：</w:t>
      </w:r>
    </w:p>
    <w:p>
      <w:pPr>
        <w:pStyle w:val="8"/>
        <w:widowControl/>
        <w:numPr>
          <w:ilvl w:val="0"/>
          <w:numId w:val="1"/>
        </w:numPr>
        <w:spacing w:line="520" w:lineRule="exact"/>
        <w:ind w:firstLine="640" w:firstLineChars="200"/>
        <w:jc w:val="both"/>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行使共青团满城区委赋予的领导全区共青团工作，指导全区青联、学联和少先队工作的职权，对全区性青年的社团组织进行指导和管理。</w:t>
      </w:r>
    </w:p>
    <w:p>
      <w:pPr>
        <w:pStyle w:val="8"/>
        <w:widowControl/>
        <w:numPr>
          <w:ilvl w:val="0"/>
          <w:numId w:val="1"/>
        </w:numPr>
        <w:spacing w:line="520" w:lineRule="exact"/>
        <w:ind w:firstLine="640" w:firstLineChars="200"/>
        <w:jc w:val="both"/>
        <w:rPr>
          <w:rFonts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参与制定本区的青少年事业发展规划，对青少年组织和服务机构的建设等事务进行规划和管理。</w:t>
      </w:r>
    </w:p>
    <w:p>
      <w:pPr>
        <w:pStyle w:val="8"/>
        <w:widowControl/>
        <w:spacing w:line="520" w:lineRule="exact"/>
        <w:ind w:firstLine="640" w:firstLineChars="200"/>
        <w:jc w:val="both"/>
        <w:rPr>
          <w:rFonts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（三）参与本区有关青少年事务的地方性法规的制定和实施，协助区委、区政府处理、协调与青少年利益相关的事务。</w:t>
      </w:r>
    </w:p>
    <w:p>
      <w:pPr>
        <w:pStyle w:val="8"/>
        <w:widowControl/>
        <w:spacing w:line="520" w:lineRule="exact"/>
        <w:ind w:firstLine="640" w:firstLineChars="200"/>
        <w:jc w:val="both"/>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（四）调查青年思想动态和青年工作状况，研究青少年运动，青少年工作理论和思想教育问题，提出相应对策，开展各种活动。</w:t>
      </w:r>
    </w:p>
    <w:p>
      <w:pPr>
        <w:pStyle w:val="8"/>
        <w:widowControl/>
        <w:spacing w:line="520" w:lineRule="exact"/>
        <w:ind w:firstLine="640" w:firstLineChars="200"/>
        <w:jc w:val="both"/>
        <w:rPr>
          <w:rFonts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（五）协助区政府教育部门做好大、中、小学生的教育管理工作，利用青少年宫、团校等阵地，加强对青少年的思想道德和素质教育，维护学校稳定和社会安定团结。</w:t>
      </w:r>
    </w:p>
    <w:p>
      <w:pPr>
        <w:pStyle w:val="8"/>
        <w:widowControl/>
        <w:spacing w:line="520" w:lineRule="exact"/>
        <w:ind w:firstLine="640" w:firstLineChars="200"/>
        <w:jc w:val="both"/>
        <w:rPr>
          <w:rFonts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（六）以争创青年文明号、青年文明社区为载体，开展各种形式的精神文明创建活动。</w:t>
      </w:r>
    </w:p>
    <w:p>
      <w:pPr>
        <w:pStyle w:val="8"/>
        <w:widowControl/>
        <w:spacing w:line="520" w:lineRule="exact"/>
        <w:ind w:firstLine="640" w:firstLineChars="200"/>
        <w:jc w:val="both"/>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（七）组织、带领广大农村青年在农业生产中增效增收、成长成才。</w:t>
      </w:r>
    </w:p>
    <w:p>
      <w:pPr>
        <w:pStyle w:val="8"/>
        <w:widowControl/>
        <w:spacing w:line="520" w:lineRule="exact"/>
        <w:ind w:firstLine="640" w:firstLineChars="200"/>
        <w:jc w:val="both"/>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（八）实施希望工程，筹集资金，救助贫困学生，改善办学条件。</w:t>
      </w:r>
    </w:p>
    <w:p>
      <w:pPr>
        <w:pStyle w:val="8"/>
        <w:widowControl/>
        <w:spacing w:line="520" w:lineRule="exact"/>
        <w:ind w:firstLine="640" w:firstLineChars="200"/>
        <w:jc w:val="both"/>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（九）在国家经济建设中，组织和带领青年发挥生力军和突击队作用。</w:t>
      </w:r>
    </w:p>
    <w:p>
      <w:pPr>
        <w:pStyle w:val="8"/>
        <w:widowControl/>
        <w:spacing w:line="520" w:lineRule="exact"/>
        <w:ind w:firstLine="640" w:firstLineChars="200"/>
        <w:jc w:val="both"/>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（十）参与制定有关本区青年统战工作的办法，做好青年统战对象的团结教育工作，维护和促进祖国统一和民族团结。</w:t>
      </w:r>
    </w:p>
    <w:p>
      <w:pPr>
        <w:keepNext/>
        <w:keepLines/>
        <w:spacing w:line="580" w:lineRule="exact"/>
        <w:ind w:firstLine="640" w:firstLineChars="200"/>
        <w:jc w:val="left"/>
        <w:outlineLvl w:val="0"/>
        <w:rPr>
          <w:rFonts w:hint="eastAsia"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（十一）承担区委、区政府和团市委交办的有关事项。</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从决算编报单位构成看，纳入20</w:t>
      </w:r>
      <w:r>
        <w:rPr>
          <w:rFonts w:ascii="仿宋_GB2312" w:hAnsi="Calibri" w:eastAsia="仿宋_GB2312" w:cs="Arial Black"/>
          <w:kern w:val="0"/>
          <w:sz w:val="32"/>
          <w:szCs w:val="32"/>
        </w:rPr>
        <w:t>20</w:t>
      </w:r>
      <w:r>
        <w:rPr>
          <w:rFonts w:hint="eastAsia" w:ascii="仿宋_GB2312" w:hAnsi="Calibri" w:eastAsia="仿宋_GB2312" w:cs="Arial Black"/>
          <w:kern w:val="0"/>
          <w:sz w:val="32"/>
          <w:szCs w:val="32"/>
        </w:rPr>
        <w:t xml:space="preserve">年度本部门决算汇编范围的独立核算单位（以下简称“单位”）共 </w:t>
      </w:r>
      <w:r>
        <w:rPr>
          <w:rFonts w:hint="eastAsia" w:ascii="仿宋_GB2312" w:hAnsi="Calibri" w:eastAsia="仿宋_GB2312" w:cs="Arial Black"/>
          <w:kern w:val="0"/>
          <w:sz w:val="32"/>
          <w:szCs w:val="32"/>
          <w:lang w:val="en-US" w:eastAsia="zh-CN"/>
        </w:rPr>
        <w:t>1</w:t>
      </w:r>
      <w:r>
        <w:rPr>
          <w:rFonts w:hint="eastAsia" w:ascii="仿宋_GB2312" w:hAnsi="Calibri" w:eastAsia="仿宋_GB2312" w:cs="Arial Black"/>
          <w:kern w:val="0"/>
          <w:sz w:val="32"/>
          <w:szCs w:val="32"/>
        </w:rPr>
        <w:t>个，具体情况如下：</w:t>
      </w:r>
    </w:p>
    <w:tbl>
      <w:tblPr>
        <w:tblStyle w:val="6"/>
        <w:tblpPr w:leftFromText="180" w:rightFromText="180" w:vertAnchor="text" w:horzAnchor="page" w:tblpXSpec="center" w:tblpY="10"/>
        <w:tblOverlap w:val="never"/>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3426"/>
        <w:gridCol w:w="2404"/>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968"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序号</w:t>
            </w:r>
          </w:p>
        </w:tc>
        <w:tc>
          <w:tcPr>
            <w:tcW w:w="3426"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单位名称</w:t>
            </w:r>
          </w:p>
        </w:tc>
        <w:tc>
          <w:tcPr>
            <w:tcW w:w="2404"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单位基本性质</w:t>
            </w:r>
          </w:p>
        </w:tc>
        <w:tc>
          <w:tcPr>
            <w:tcW w:w="2620"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68"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1</w:t>
            </w:r>
          </w:p>
        </w:tc>
        <w:tc>
          <w:tcPr>
            <w:tcW w:w="3426" w:type="dxa"/>
          </w:tcPr>
          <w:p>
            <w:pPr>
              <w:spacing w:line="560" w:lineRule="exact"/>
              <w:rPr>
                <w:rFonts w:ascii="仿宋_GB2312" w:hAnsi="Calibri" w:eastAsia="仿宋_GB2312" w:cs="Arial Black"/>
                <w:kern w:val="0"/>
                <w:sz w:val="28"/>
                <w:szCs w:val="28"/>
              </w:rPr>
            </w:pPr>
            <w:r>
              <w:rPr>
                <w:rFonts w:hint="eastAsia" w:ascii="仿宋_GB2312" w:hAnsi="Calibri" w:eastAsia="仿宋_GB2312" w:cs="Arial Black"/>
                <w:kern w:val="0"/>
                <w:sz w:val="28"/>
                <w:szCs w:val="28"/>
              </w:rPr>
              <w:t>中国共产主义青年团保定市满城区委员会</w:t>
            </w:r>
          </w:p>
        </w:tc>
        <w:tc>
          <w:tcPr>
            <w:tcW w:w="2404"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行政单位</w:t>
            </w:r>
          </w:p>
        </w:tc>
        <w:tc>
          <w:tcPr>
            <w:tcW w:w="2620"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68"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2</w:t>
            </w:r>
          </w:p>
        </w:tc>
        <w:tc>
          <w:tcPr>
            <w:tcW w:w="3426" w:type="dxa"/>
          </w:tcPr>
          <w:p>
            <w:pPr>
              <w:spacing w:line="560" w:lineRule="exact"/>
              <w:rPr>
                <w:rFonts w:ascii="仿宋_GB2312" w:hAnsi="Calibri" w:eastAsia="仿宋_GB2312" w:cs="Arial Black"/>
                <w:kern w:val="0"/>
                <w:sz w:val="28"/>
                <w:szCs w:val="28"/>
              </w:rPr>
            </w:pPr>
          </w:p>
        </w:tc>
        <w:tc>
          <w:tcPr>
            <w:tcW w:w="2404" w:type="dxa"/>
          </w:tcPr>
          <w:p>
            <w:pPr>
              <w:spacing w:line="560" w:lineRule="exact"/>
              <w:jc w:val="center"/>
              <w:rPr>
                <w:rFonts w:ascii="仿宋_GB2312" w:hAnsi="Calibri" w:eastAsia="仿宋_GB2312" w:cs="Arial Black"/>
                <w:kern w:val="0"/>
                <w:sz w:val="28"/>
                <w:szCs w:val="28"/>
              </w:rPr>
            </w:pPr>
          </w:p>
        </w:tc>
        <w:tc>
          <w:tcPr>
            <w:tcW w:w="2620" w:type="dxa"/>
          </w:tcPr>
          <w:p>
            <w:pPr>
              <w:spacing w:line="560" w:lineRule="exact"/>
              <w:jc w:val="center"/>
              <w:rPr>
                <w:rFonts w:ascii="仿宋_GB2312" w:hAnsi="Calibri" w:eastAsia="仿宋_GB2312" w:cs="Arial Blac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68"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3</w:t>
            </w:r>
          </w:p>
        </w:tc>
        <w:tc>
          <w:tcPr>
            <w:tcW w:w="3426" w:type="dxa"/>
          </w:tcPr>
          <w:p>
            <w:pPr>
              <w:spacing w:line="560" w:lineRule="exact"/>
              <w:rPr>
                <w:rFonts w:ascii="仿宋_GB2312" w:hAnsi="Calibri" w:eastAsia="仿宋_GB2312" w:cs="Arial Black"/>
                <w:kern w:val="0"/>
                <w:sz w:val="28"/>
                <w:szCs w:val="28"/>
              </w:rPr>
            </w:pPr>
          </w:p>
        </w:tc>
        <w:tc>
          <w:tcPr>
            <w:tcW w:w="2404" w:type="dxa"/>
          </w:tcPr>
          <w:p>
            <w:pPr>
              <w:spacing w:line="560" w:lineRule="exact"/>
              <w:jc w:val="center"/>
              <w:rPr>
                <w:rFonts w:ascii="仿宋_GB2312" w:hAnsi="Calibri" w:eastAsia="仿宋_GB2312" w:cs="Arial Black"/>
                <w:kern w:val="0"/>
                <w:sz w:val="28"/>
                <w:szCs w:val="28"/>
              </w:rPr>
            </w:pPr>
          </w:p>
        </w:tc>
        <w:tc>
          <w:tcPr>
            <w:tcW w:w="2620" w:type="dxa"/>
          </w:tcPr>
          <w:p>
            <w:pPr>
              <w:spacing w:line="560" w:lineRule="exact"/>
              <w:jc w:val="center"/>
              <w:rPr>
                <w:rFonts w:ascii="仿宋_GB2312" w:hAnsi="Calibri" w:eastAsia="仿宋_GB2312" w:cs="Arial Blac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68" w:type="dxa"/>
            <w:tcBorders>
              <w:bottom w:val="single" w:color="auto" w:sz="4" w:space="0"/>
            </w:tcBorders>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w:t>
            </w:r>
          </w:p>
        </w:tc>
        <w:tc>
          <w:tcPr>
            <w:tcW w:w="3426" w:type="dxa"/>
            <w:tcBorders>
              <w:bottom w:val="single" w:color="auto" w:sz="4" w:space="0"/>
            </w:tcBorders>
          </w:tcPr>
          <w:p>
            <w:pPr>
              <w:spacing w:line="560" w:lineRule="exact"/>
              <w:rPr>
                <w:rFonts w:ascii="仿宋_GB2312" w:hAnsi="Calibri" w:eastAsia="仿宋_GB2312" w:cs="Arial Black"/>
                <w:kern w:val="0"/>
                <w:sz w:val="28"/>
                <w:szCs w:val="28"/>
              </w:rPr>
            </w:pPr>
            <w:r>
              <w:rPr>
                <w:rFonts w:hint="eastAsia" w:ascii="仿宋_GB2312" w:hAnsi="Calibri" w:eastAsia="仿宋_GB2312" w:cs="Arial Black"/>
                <w:kern w:val="0"/>
                <w:sz w:val="28"/>
                <w:szCs w:val="28"/>
              </w:rPr>
              <w:t>……………</w:t>
            </w:r>
          </w:p>
        </w:tc>
        <w:tc>
          <w:tcPr>
            <w:tcW w:w="2404" w:type="dxa"/>
            <w:tcBorders>
              <w:bottom w:val="single" w:color="auto" w:sz="4" w:space="0"/>
            </w:tcBorders>
          </w:tcPr>
          <w:p>
            <w:pPr>
              <w:spacing w:line="560" w:lineRule="exact"/>
              <w:jc w:val="center"/>
              <w:rPr>
                <w:rFonts w:ascii="仿宋_GB2312" w:hAnsi="Calibri" w:eastAsia="仿宋_GB2312" w:cs="Arial Black"/>
                <w:kern w:val="0"/>
                <w:sz w:val="28"/>
                <w:szCs w:val="28"/>
              </w:rPr>
            </w:pPr>
          </w:p>
        </w:tc>
        <w:tc>
          <w:tcPr>
            <w:tcW w:w="2620" w:type="dxa"/>
            <w:tcBorders>
              <w:bottom w:val="single" w:color="auto" w:sz="4" w:space="0"/>
            </w:tcBorders>
          </w:tcPr>
          <w:p>
            <w:pPr>
              <w:spacing w:line="560" w:lineRule="exact"/>
              <w:jc w:val="center"/>
              <w:rPr>
                <w:rFonts w:ascii="仿宋_GB2312" w:hAnsi="Calibri" w:eastAsia="仿宋_GB2312" w:cs="Arial Blac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420" w:type="dxa"/>
            <w:gridSpan w:val="4"/>
            <w:tcBorders>
              <w:top w:val="single" w:color="auto" w:sz="4" w:space="0"/>
              <w:left w:val="nil"/>
              <w:bottom w:val="nil"/>
              <w:right w:val="nil"/>
            </w:tcBorders>
          </w:tcPr>
          <w:p>
            <w:pPr>
              <w:spacing w:line="560" w:lineRule="exact"/>
              <w:jc w:val="left"/>
              <w:rPr>
                <w:rFonts w:ascii="仿宋_GB2312" w:hAnsi="Calibri" w:eastAsia="仿宋_GB2312" w:cs="Arial Black"/>
                <w:kern w:val="0"/>
                <w:sz w:val="28"/>
                <w:szCs w:val="28"/>
              </w:rPr>
            </w:pPr>
            <w:r>
              <w:rPr>
                <w:rFonts w:hint="eastAsia" w:ascii="仿宋_GB2312" w:hAnsi="Calibri" w:eastAsia="仿宋_GB2312" w:cs="Arial Black"/>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 Black"/>
                <w:kern w:val="0"/>
                <w:sz w:val="28"/>
                <w:szCs w:val="28"/>
              </w:rPr>
            </w:pPr>
            <w:r>
              <w:rPr>
                <w:rFonts w:hint="eastAsia" w:ascii="仿宋_GB2312" w:hAnsi="Calibri" w:eastAsia="仿宋_GB2312" w:cs="Arial Black"/>
                <w:kern w:val="0"/>
                <w:sz w:val="28"/>
                <w:szCs w:val="28"/>
              </w:rPr>
              <w:t>2、经费形式分为财政拨款、财政性资金基本保证、财政性资金定额或定项补助、财政性资金零补助四类。</w:t>
            </w: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
      <w:pPr>
        <w:widowControl/>
        <w:spacing w:after="160" w:line="580" w:lineRule="exact"/>
        <w:ind w:firstLine="1440" w:firstLineChars="200"/>
        <w:rPr>
          <w:rFonts w:ascii="Times New Roman" w:hAnsi="Times New Roman" w:eastAsia="黑体" w:cs="Times New Roman"/>
          <w:sz w:val="32"/>
          <w:szCs w:val="32"/>
        </w:rPr>
        <w:sectPr>
          <w:headerReference r:id="rId11" w:type="default"/>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1312"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1312;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62336" behindDoc="0" locked="0" layoutInCell="1" allowOverlap="1">
                <wp:simplePos x="0" y="0"/>
                <wp:positionH relativeFrom="column">
                  <wp:posOffset>-1028065</wp:posOffset>
                </wp:positionH>
                <wp:positionV relativeFrom="paragraph">
                  <wp:posOffset>-2637155</wp:posOffset>
                </wp:positionV>
                <wp:extent cx="7793355" cy="3341370"/>
                <wp:effectExtent l="6350" t="6350" r="18415" b="20320"/>
                <wp:wrapNone/>
                <wp:docPr id="2" name="文本框 2"/>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12700" cmpd="sng">
                          <a:solidFill>
                            <a:schemeClr val="bg1">
                              <a:lumMod val="65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2020年部门决算情况说明</w:t>
                            </w:r>
                          </w:p>
                          <w:p>
                            <w:pPr>
                              <w:widowControl/>
                              <w:jc w:val="center"/>
                              <w:rPr>
                                <w14:textOutline w14:w="9525" w14:cap="flat" w14:cmpd="sng" w14:algn="ctr">
                                  <w14:solidFill>
                                    <w14:schemeClr w14:val="tx1">
                                      <w14:lumMod w14:val="50000"/>
                                      <w14:lumOff w14:val="50000"/>
                                    </w14:schemeClr>
                                  </w14:solidFill>
                                  <w14:prstDash w14:val="solid"/>
                                  <w14:round/>
                                </w14:textOutline>
                              </w:rPr>
                            </w:pP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95pt;margin-top:-207.65pt;height:263.1pt;width:613.65pt;z-index:251662336;v-text-anchor:middle;mso-width-relative:page;mso-height-relative:page;" fillcolor="#7F7F7F [1612]" filled="t" stroked="t" coordsize="21600,21600" o:gfxdata="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vBcO0d0AAAAOAQAADwAAAAAAAAABACAAAAAiAAAAZHJzL2Rvd25yZXYueG1s&#10;UEsBAhQAFAAAAAgAh07iQFmkM3ieAgAAbQUAAA4AAAAAAAAAAQAgAAAALAEAAGRycy9lMm9Eb2Mu&#10;eG1sUEsFBgAAAAAGAAYAWQEAADwGAAAAAA==&#10;">
                <v:fill type="pattern" on="t" color2="#FFFFFF [3212]" o:title="5%" focussize="0,0" r:id="rId15"/>
                <v:stroke weight="1pt" color="#A6A6A6 [2092]"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2020年部门决算情况说明</w:t>
                      </w:r>
                    </w:p>
                    <w:p>
                      <w:pPr>
                        <w:widowControl/>
                        <w:jc w:val="center"/>
                        <w:rPr>
                          <w14:textOutline w14:w="9525" w14:cap="flat" w14:cmpd="sng" w14:algn="ctr">
                            <w14:solidFill>
                              <w14:schemeClr w14:val="tx1">
                                <w14:lumMod w14:val="50000"/>
                                <w14:lumOff w14:val="50000"/>
                              </w14:schemeClr>
                            </w14:solidFill>
                            <w14:prstDash w14:val="solid"/>
                            <w14:round/>
                          </w14:textOutline>
                        </w:rPr>
                      </w:pPr>
                    </w:p>
                    <w:p/>
                  </w:txbxContent>
                </v:textbox>
              </v:shape>
            </w:pict>
          </mc:Fallback>
        </mc:AlternateContent>
      </w:r>
    </w:p>
    <w:p>
      <w:pPr>
        <w:jc w:val="center"/>
        <w:rPr>
          <w:rFonts w:ascii="黑体" w:hAnsi="黑体" w:eastAsia="黑体" w:cs="黑体"/>
          <w:sz w:val="56"/>
          <w:szCs w:val="72"/>
        </w:rPr>
      </w:pPr>
    </w:p>
    <w:p>
      <w:pPr>
        <w:keepNext/>
        <w:keepLines/>
        <w:snapToGrid w:val="0"/>
        <w:spacing w:line="600" w:lineRule="exact"/>
        <w:ind w:firstLine="420" w:firstLineChars="200"/>
        <w:outlineLvl w:val="1"/>
        <w:rPr>
          <w:rFonts w:ascii="黑体" w:hAnsi="Calibri" w:eastAsia="黑体" w:cs="Times New Roman"/>
          <w:sz w:val="32"/>
          <w:szCs w:val="32"/>
        </w:rPr>
      </w:pPr>
      <w:r>
        <w:br w:type="page"/>
      </w: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600" w:lineRule="exact"/>
        <w:ind w:firstLine="640" w:firstLineChars="200"/>
        <w:rPr>
          <w:rFonts w:ascii="仿宋_GB2312" w:hAnsi="Times New Roman" w:eastAsia="仿宋_GB2312" w:cs="Wingdings"/>
          <w:sz w:val="32"/>
          <w:szCs w:val="32"/>
          <w:highlight w:val="yellow"/>
        </w:rPr>
      </w:pPr>
      <w:r>
        <w:rPr>
          <w:rFonts w:hint="eastAsia" w:ascii="仿宋_GB2312" w:hAnsi="Times New Roman" w:eastAsia="仿宋_GB2312" w:cs="Wingdings"/>
          <w:sz w:val="32"/>
          <w:szCs w:val="32"/>
        </w:rPr>
        <w:t>本部门2020年度收、支总计（含结转和结余）54</w:t>
      </w:r>
      <w:r>
        <w:rPr>
          <w:rFonts w:hint="eastAsia" w:ascii="仿宋_GB2312" w:hAnsi="Times New Roman" w:eastAsia="仿宋_GB2312" w:cs="Wingdings"/>
          <w:sz w:val="32"/>
          <w:szCs w:val="32"/>
          <w:lang w:val="en-US" w:eastAsia="zh-CN"/>
        </w:rPr>
        <w:t>.</w:t>
      </w:r>
      <w:r>
        <w:rPr>
          <w:rFonts w:hint="eastAsia" w:ascii="仿宋_GB2312" w:hAnsi="Times New Roman" w:eastAsia="仿宋_GB2312" w:cs="Wingdings"/>
          <w:sz w:val="32"/>
          <w:szCs w:val="32"/>
        </w:rPr>
        <w:t>61万元。与2019年度决算相比，收支各增加</w:t>
      </w:r>
      <w:r>
        <w:rPr>
          <w:rFonts w:hint="eastAsia" w:ascii="仿宋_GB2312" w:hAnsi="Times New Roman" w:eastAsia="仿宋_GB2312" w:cs="Wingdings"/>
          <w:sz w:val="32"/>
          <w:szCs w:val="32"/>
          <w:lang w:val="en-US" w:eastAsia="zh-CN"/>
        </w:rPr>
        <w:t>12.23</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28.88</w:t>
      </w:r>
      <w:r>
        <w:rPr>
          <w:rFonts w:hint="eastAsia" w:ascii="仿宋_GB2312" w:hAnsi="Times New Roman" w:eastAsia="仿宋_GB2312" w:cs="Wingdings"/>
          <w:sz w:val="32"/>
          <w:szCs w:val="32"/>
        </w:rPr>
        <w:t>%，主要原因是</w:t>
      </w:r>
      <w:r>
        <w:rPr>
          <w:rFonts w:hint="eastAsia" w:ascii="仿宋_GB2312" w:hAnsi="Times New Roman" w:eastAsia="仿宋_GB2312" w:cs="Wingdings"/>
          <w:sz w:val="32"/>
          <w:szCs w:val="32"/>
          <w:lang w:val="en-US" w:eastAsia="zh-CN"/>
        </w:rPr>
        <w:t>本年度人员工资增加</w:t>
      </w:r>
      <w:r>
        <w:rPr>
          <w:rFonts w:hint="eastAsia" w:ascii="仿宋_GB2312" w:hAnsi="Times New Roman" w:eastAsia="仿宋_GB2312" w:cs="Wingdings"/>
          <w:sz w:val="32"/>
          <w:szCs w:val="32"/>
        </w:rPr>
        <w:t>。</w:t>
      </w:r>
    </w:p>
    <w:p>
      <w:pPr>
        <w:adjustRightInd w:val="0"/>
        <w:snapToGrid w:val="0"/>
        <w:spacing w:line="600" w:lineRule="exact"/>
        <w:rPr>
          <w:rFonts w:ascii="仿宋_GB2312" w:hAnsi="Times New Roman" w:eastAsia="仿宋_GB2312" w:cs="Wingdings"/>
          <w:sz w:val="32"/>
          <w:szCs w:val="32"/>
        </w:rPr>
      </w:pPr>
      <w:r>
        <w:rPr>
          <w:rFonts w:hint="eastAsia" w:ascii="仿宋_GB2312" w:hAnsi="Times New Roman" w:eastAsia="仿宋_GB2312" w:cs="Wingdings"/>
          <w:sz w:val="32"/>
          <w:szCs w:val="32"/>
        </w:rPr>
        <w:drawing>
          <wp:anchor distT="0" distB="0" distL="114300" distR="114300" simplePos="0" relativeHeight="251663360" behindDoc="1" locked="0" layoutInCell="1" allowOverlap="1">
            <wp:simplePos x="0" y="0"/>
            <wp:positionH relativeFrom="column">
              <wp:posOffset>744220</wp:posOffset>
            </wp:positionH>
            <wp:positionV relativeFrom="paragraph">
              <wp:posOffset>62230</wp:posOffset>
            </wp:positionV>
            <wp:extent cx="4157980" cy="2273300"/>
            <wp:effectExtent l="0" t="0" r="2540" b="12700"/>
            <wp:wrapNone/>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adjustRightInd w:val="0"/>
        <w:snapToGrid w:val="0"/>
        <w:spacing w:line="600" w:lineRule="exact"/>
        <w:ind w:firstLine="640" w:firstLineChars="200"/>
        <w:rPr>
          <w:rFonts w:ascii="仿宋_GB2312" w:hAnsi="Times New Roman" w:eastAsia="仿宋_GB2312" w:cs="Wingdings"/>
          <w:sz w:val="32"/>
          <w:szCs w:val="32"/>
        </w:rPr>
      </w:pPr>
    </w:p>
    <w:p>
      <w:pPr>
        <w:tabs>
          <w:tab w:val="left" w:pos="5800"/>
        </w:tabs>
        <w:adjustRightInd w:val="0"/>
        <w:snapToGrid w:val="0"/>
        <w:spacing w:line="600" w:lineRule="exact"/>
        <w:ind w:firstLine="640" w:firstLineChars="200"/>
        <w:rPr>
          <w:rFonts w:ascii="仿宋_GB2312" w:hAnsi="Times New Roman" w:eastAsia="仿宋_GB2312" w:cs="Wingdings"/>
          <w:sz w:val="18"/>
          <w:szCs w:val="18"/>
        </w:rPr>
      </w:pPr>
      <w:r>
        <w:rPr>
          <w:rFonts w:ascii="仿宋_GB2312" w:hAnsi="Times New Roman" w:eastAsia="仿宋_GB2312" w:cs="Wingdings"/>
          <w:sz w:val="32"/>
          <w:szCs w:val="32"/>
        </w:rPr>
        <w:tab/>
      </w:r>
    </w:p>
    <w:p>
      <w:pPr>
        <w:adjustRightInd w:val="0"/>
        <w:snapToGrid w:val="0"/>
        <w:spacing w:line="600" w:lineRule="exact"/>
        <w:ind w:firstLine="640" w:firstLineChars="200"/>
        <w:rPr>
          <w:rFonts w:ascii="仿宋_GB2312" w:hAnsi="Times New Roman" w:eastAsia="仿宋_GB2312" w:cs="Wingdings"/>
          <w:sz w:val="32"/>
          <w:szCs w:val="32"/>
        </w:rPr>
      </w:pPr>
    </w:p>
    <w:p>
      <w:pPr>
        <w:tabs>
          <w:tab w:val="left" w:pos="2820"/>
        </w:tabs>
        <w:adjustRightInd w:val="0"/>
        <w:snapToGrid w:val="0"/>
        <w:spacing w:line="600" w:lineRule="exact"/>
        <w:ind w:firstLine="640" w:firstLineChars="200"/>
        <w:rPr>
          <w:rFonts w:ascii="仿宋_GB2312" w:hAnsi="Times New Roman" w:eastAsia="仿宋_GB2312" w:cs="Wingdings"/>
          <w:sz w:val="20"/>
          <w:szCs w:val="20"/>
        </w:rPr>
      </w:pPr>
      <w:r>
        <w:rPr>
          <w:rFonts w:ascii="仿宋_GB2312" w:hAnsi="Times New Roman" w:eastAsia="仿宋_GB2312" w:cs="Wingdings"/>
          <w:sz w:val="32"/>
          <w:szCs w:val="32"/>
        </w:rPr>
        <w:tab/>
      </w:r>
    </w:p>
    <w:p>
      <w:pPr>
        <w:keepNext/>
        <w:keepLines/>
        <w:snapToGrid w:val="0"/>
        <w:spacing w:line="600" w:lineRule="exact"/>
        <w:ind w:firstLine="640" w:firstLineChars="200"/>
        <w:outlineLvl w:val="1"/>
        <w:rPr>
          <w:rFonts w:ascii="黑体" w:hAnsi="Calibri" w:eastAsia="黑体" w:cs="Times New Roman"/>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snapToGrid w:val="0"/>
        <w:spacing w:line="600" w:lineRule="exact"/>
        <w:ind w:firstLine="640" w:firstLineChars="200"/>
        <w:outlineLvl w:val="1"/>
        <w:rPr>
          <w:rFonts w:hint="eastAsia" w:ascii="仿宋_GB2312" w:hAnsi="Times New Roman" w:eastAsia="仿宋_GB2312" w:cs="Wingdings"/>
          <w:sz w:val="32"/>
          <w:szCs w:val="32"/>
        </w:rPr>
      </w:pPr>
      <w:r>
        <w:rPr>
          <w:rFonts w:hint="eastAsia" w:ascii="仿宋_GB2312" w:hAnsi="Times New Roman" w:eastAsia="仿宋_GB2312" w:cs="Wingdings"/>
          <w:sz w:val="32"/>
          <w:szCs w:val="32"/>
        </w:rPr>
        <w:t>本部门2020年度本年收入合计54</w:t>
      </w:r>
      <w:r>
        <w:rPr>
          <w:rFonts w:hint="eastAsia" w:ascii="仿宋_GB2312" w:hAnsi="Times New Roman" w:eastAsia="仿宋_GB2312" w:cs="Wingdings"/>
          <w:sz w:val="32"/>
          <w:szCs w:val="32"/>
          <w:lang w:val="en-US" w:eastAsia="zh-CN"/>
        </w:rPr>
        <w:t>.</w:t>
      </w:r>
      <w:r>
        <w:rPr>
          <w:rFonts w:hint="eastAsia" w:ascii="仿宋_GB2312" w:hAnsi="Times New Roman" w:eastAsia="仿宋_GB2312" w:cs="Wingdings"/>
          <w:sz w:val="32"/>
          <w:szCs w:val="32"/>
        </w:rPr>
        <w:t>61万元，其中：财政拨款收入54</w:t>
      </w:r>
      <w:r>
        <w:rPr>
          <w:rFonts w:hint="eastAsia" w:ascii="仿宋_GB2312" w:hAnsi="Times New Roman" w:eastAsia="仿宋_GB2312" w:cs="Wingdings"/>
          <w:sz w:val="32"/>
          <w:szCs w:val="32"/>
          <w:lang w:val="en-US" w:eastAsia="zh-CN"/>
        </w:rPr>
        <w:t>.</w:t>
      </w:r>
      <w:r>
        <w:rPr>
          <w:rFonts w:hint="eastAsia" w:ascii="仿宋_GB2312" w:hAnsi="Times New Roman" w:eastAsia="仿宋_GB2312" w:cs="Wingdings"/>
          <w:sz w:val="32"/>
          <w:szCs w:val="32"/>
        </w:rPr>
        <w:t>61万元，占</w:t>
      </w:r>
      <w:r>
        <w:rPr>
          <w:rFonts w:hint="eastAsia" w:ascii="仿宋_GB2312" w:hAnsi="Times New Roman" w:eastAsia="仿宋_GB2312" w:cs="Wingdings"/>
          <w:sz w:val="32"/>
          <w:szCs w:val="32"/>
          <w:lang w:val="en-US" w:eastAsia="zh-CN"/>
        </w:rPr>
        <w:t>100</w:t>
      </w:r>
      <w:r>
        <w:rPr>
          <w:rFonts w:hint="eastAsia" w:ascii="仿宋_GB2312" w:hAnsi="Times New Roman" w:eastAsia="仿宋_GB2312" w:cs="Wingdings"/>
          <w:sz w:val="32"/>
          <w:szCs w:val="32"/>
        </w:rPr>
        <w:t>%；事业收入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%；经营收入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%；其他收入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w:t>
      </w:r>
    </w:p>
    <w:p>
      <w:pPr>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600" w:lineRule="exact"/>
        <w:ind w:firstLine="640" w:firstLineChars="200"/>
        <w:rPr>
          <w:rFonts w:hint="eastAsia" w:ascii="仿宋_GB2312" w:hAnsi="Times New Roman" w:eastAsia="仿宋_GB2312" w:cs="Wingdings"/>
          <w:sz w:val="32"/>
          <w:szCs w:val="32"/>
          <w:lang w:eastAsia="zh-CN"/>
        </w:rPr>
      </w:pPr>
      <w:r>
        <w:rPr>
          <w:rFonts w:hint="eastAsia" w:ascii="仿宋_GB2312" w:hAnsi="Times New Roman" w:eastAsia="仿宋_GB2312" w:cs="Wingdings"/>
          <w:sz w:val="32"/>
          <w:szCs w:val="32"/>
        </w:rPr>
        <w:t>本部门2020年度本年支出合计</w:t>
      </w:r>
      <w:r>
        <w:rPr>
          <w:rFonts w:hint="eastAsia" w:ascii="仿宋_GB2312" w:hAnsi="Times New Roman" w:eastAsia="仿宋_GB2312" w:cs="Wingdings"/>
          <w:sz w:val="32"/>
          <w:szCs w:val="32"/>
          <w:lang w:val="en-US" w:eastAsia="zh-CN"/>
        </w:rPr>
        <w:t>54.61</w:t>
      </w:r>
      <w:r>
        <w:rPr>
          <w:rFonts w:hint="eastAsia" w:ascii="仿宋_GB2312" w:hAnsi="Times New Roman" w:eastAsia="仿宋_GB2312" w:cs="Wingdings"/>
          <w:sz w:val="32"/>
          <w:szCs w:val="32"/>
        </w:rPr>
        <w:t>万元，其中：基本支出</w:t>
      </w:r>
      <w:r>
        <w:rPr>
          <w:rFonts w:hint="eastAsia" w:ascii="仿宋_GB2312" w:hAnsi="Times New Roman" w:eastAsia="仿宋_GB2312" w:cs="Wingdings"/>
          <w:sz w:val="32"/>
          <w:szCs w:val="32"/>
          <w:lang w:val="en-US" w:eastAsia="zh-CN"/>
        </w:rPr>
        <w:t>54.61</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100</w:t>
      </w:r>
      <w:r>
        <w:rPr>
          <w:rFonts w:hint="eastAsia" w:ascii="仿宋_GB2312" w:hAnsi="Times New Roman" w:eastAsia="仿宋_GB2312" w:cs="Wingdings"/>
          <w:sz w:val="32"/>
          <w:szCs w:val="32"/>
        </w:rPr>
        <w:t>%；项目支出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%；经营支出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w:t>
      </w:r>
    </w:p>
    <w:p>
      <w:pPr>
        <w:adjustRightInd w:val="0"/>
        <w:snapToGrid w:val="0"/>
        <w:spacing w:line="600" w:lineRule="exact"/>
        <w:ind w:firstLine="640" w:firstLineChars="200"/>
        <w:rPr>
          <w:rFonts w:hint="eastAsia" w:ascii="仿宋_GB2312" w:hAnsi="Times New Roman" w:eastAsia="仿宋_GB2312" w:cs="Wingdings"/>
          <w:sz w:val="32"/>
          <w:szCs w:val="32"/>
          <w:lang w:eastAsia="zh-CN"/>
        </w:rPr>
      </w:pPr>
    </w:p>
    <w:p>
      <w:pPr>
        <w:adjustRightInd w:val="0"/>
        <w:snapToGrid w:val="0"/>
        <w:spacing w:line="600" w:lineRule="exact"/>
        <w:ind w:firstLine="643" w:firstLineChars="200"/>
        <w:rPr>
          <w:rFonts w:ascii="黑体" w:hAnsi="Calibri" w:eastAsia="黑体" w:cs="Times New Roman"/>
          <w:b/>
          <w:bCs/>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（一）财政拨款收支与2019年度决算对比情况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本部门2020年度财政拨款收支均为一般公共预算财政拨款，其中本年收入</w:t>
      </w:r>
      <w:r>
        <w:rPr>
          <w:rFonts w:hint="eastAsia" w:ascii="仿宋_GB2312" w:hAnsi="Times New Roman" w:eastAsia="仿宋_GB2312" w:cs="Wingdings"/>
          <w:sz w:val="32"/>
          <w:szCs w:val="32"/>
          <w:lang w:val="en-US" w:eastAsia="zh-CN"/>
        </w:rPr>
        <w:t>54.61</w:t>
      </w:r>
      <w:r>
        <w:rPr>
          <w:rFonts w:hint="eastAsia" w:ascii="仿宋_GB2312" w:hAnsi="Times New Roman" w:eastAsia="仿宋_GB2312" w:cs="Wingdings"/>
          <w:sz w:val="32"/>
          <w:szCs w:val="32"/>
        </w:rPr>
        <w:t>万元,比2019年度增加</w:t>
      </w:r>
      <w:r>
        <w:rPr>
          <w:rFonts w:hint="eastAsia" w:ascii="仿宋_GB2312" w:hAnsi="Times New Roman" w:eastAsia="仿宋_GB2312" w:cs="Wingdings"/>
          <w:sz w:val="32"/>
          <w:szCs w:val="32"/>
          <w:lang w:val="en-US" w:eastAsia="zh-CN"/>
        </w:rPr>
        <w:t>12.23</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28.88</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本年度人员工资增加</w:t>
      </w:r>
      <w:r>
        <w:rPr>
          <w:rFonts w:hint="eastAsia" w:ascii="仿宋_GB2312" w:hAnsi="Times New Roman" w:eastAsia="仿宋_GB2312" w:cs="Wingdings"/>
          <w:sz w:val="32"/>
          <w:szCs w:val="32"/>
        </w:rPr>
        <w:t>；本年支出</w:t>
      </w:r>
      <w:r>
        <w:rPr>
          <w:rFonts w:hint="eastAsia" w:ascii="仿宋_GB2312" w:hAnsi="Times New Roman" w:eastAsia="仿宋_GB2312" w:cs="Wingdings"/>
          <w:sz w:val="32"/>
          <w:szCs w:val="32"/>
          <w:lang w:val="en-US" w:eastAsia="zh-CN"/>
        </w:rPr>
        <w:t>54.61</w:t>
      </w:r>
      <w:r>
        <w:rPr>
          <w:rFonts w:hint="eastAsia" w:ascii="仿宋_GB2312" w:hAnsi="Times New Roman" w:eastAsia="仿宋_GB2312" w:cs="Wingdings"/>
          <w:sz w:val="32"/>
          <w:szCs w:val="32"/>
        </w:rPr>
        <w:t>万元，增加</w:t>
      </w:r>
      <w:r>
        <w:rPr>
          <w:rFonts w:hint="eastAsia" w:ascii="仿宋_GB2312" w:hAnsi="Times New Roman" w:eastAsia="仿宋_GB2312" w:cs="Wingdings"/>
          <w:sz w:val="32"/>
          <w:szCs w:val="32"/>
          <w:lang w:val="en-US" w:eastAsia="zh-CN"/>
        </w:rPr>
        <w:t>12.23</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28.88</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本年度人员工资增加</w:t>
      </w:r>
      <w:r>
        <w:rPr>
          <w:rFonts w:hint="eastAsia" w:ascii="仿宋_GB2312" w:hAnsi="Times New Roman" w:eastAsia="仿宋_GB2312" w:cs="Wingdings"/>
          <w:sz w:val="32"/>
          <w:szCs w:val="32"/>
        </w:rPr>
        <w:t>。</w:t>
      </w:r>
    </w:p>
    <w:p>
      <w:pPr>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（二）财政拨款收支与年初预算数对比情况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本部门2020年度一般公共预算财政拨款收入</w:t>
      </w:r>
      <w:r>
        <w:rPr>
          <w:rFonts w:hint="eastAsia" w:ascii="仿宋_GB2312" w:hAnsi="Times New Roman" w:eastAsia="仿宋_GB2312" w:cs="Wingdings"/>
          <w:sz w:val="32"/>
          <w:szCs w:val="32"/>
          <w:lang w:val="en-US" w:eastAsia="zh-CN"/>
        </w:rPr>
        <w:t>54.61</w:t>
      </w:r>
      <w:r>
        <w:rPr>
          <w:rFonts w:hint="eastAsia" w:ascii="仿宋_GB2312" w:hAnsi="Times New Roman" w:eastAsia="仿宋_GB2312" w:cs="Wingdings"/>
          <w:sz w:val="32"/>
          <w:szCs w:val="32"/>
        </w:rPr>
        <w:t>万元，完成年初预算的</w:t>
      </w:r>
      <w:r>
        <w:rPr>
          <w:rFonts w:hint="eastAsia" w:ascii="仿宋_GB2312" w:hAnsi="Times New Roman" w:eastAsia="仿宋_GB2312" w:cs="Wingdings"/>
          <w:sz w:val="32"/>
          <w:szCs w:val="32"/>
          <w:lang w:val="en-US" w:eastAsia="zh-CN"/>
        </w:rPr>
        <w:t>89.35</w:t>
      </w:r>
      <w:r>
        <w:rPr>
          <w:rFonts w:hint="eastAsia" w:ascii="仿宋_GB2312" w:hAnsi="Times New Roman" w:eastAsia="仿宋_GB2312" w:cs="Wingdings"/>
          <w:sz w:val="32"/>
          <w:szCs w:val="32"/>
        </w:rPr>
        <w:t>%,比年初预算减少</w:t>
      </w:r>
      <w:r>
        <w:rPr>
          <w:rFonts w:hint="eastAsia" w:ascii="仿宋_GB2312" w:hAnsi="Times New Roman" w:eastAsia="仿宋_GB2312" w:cs="Wingdings"/>
          <w:sz w:val="32"/>
          <w:szCs w:val="32"/>
          <w:lang w:val="en-US" w:eastAsia="zh-CN"/>
        </w:rPr>
        <w:t>6.51</w:t>
      </w:r>
      <w:r>
        <w:rPr>
          <w:rFonts w:hint="eastAsia" w:ascii="仿宋_GB2312" w:hAnsi="Times New Roman" w:eastAsia="仿宋_GB2312" w:cs="Wingdings"/>
          <w:sz w:val="32"/>
          <w:szCs w:val="32"/>
        </w:rPr>
        <w:t>万元，决算数小于预算数主要原因是</w:t>
      </w:r>
      <w:r>
        <w:rPr>
          <w:rFonts w:hint="eastAsia" w:ascii="仿宋_GB2312" w:hAnsi="仿宋_GB2312" w:eastAsia="仿宋_GB2312" w:cs="仿宋_GB2312"/>
          <w:kern w:val="2"/>
          <w:sz w:val="32"/>
          <w:szCs w:val="32"/>
        </w:rPr>
        <w:t>严格执行中央八项规定，</w:t>
      </w:r>
      <w:r>
        <w:rPr>
          <w:rFonts w:hint="eastAsia" w:ascii="仿宋_GB2312" w:hAnsi="仿宋_GB2312" w:eastAsia="仿宋_GB2312" w:cs="仿宋_GB2312"/>
          <w:kern w:val="2"/>
          <w:sz w:val="32"/>
          <w:szCs w:val="32"/>
          <w:lang w:val="en-US" w:eastAsia="zh-CN"/>
        </w:rPr>
        <w:t>厉行节约减少支出</w:t>
      </w:r>
      <w:r>
        <w:rPr>
          <w:rFonts w:hint="eastAsia" w:ascii="仿宋_GB2312" w:hAnsi="Times New Roman" w:eastAsia="仿宋_GB2312" w:cs="Wingdings"/>
          <w:sz w:val="32"/>
          <w:szCs w:val="32"/>
        </w:rPr>
        <w:t>；本年支出</w:t>
      </w:r>
      <w:r>
        <w:rPr>
          <w:rFonts w:hint="eastAsia" w:ascii="仿宋_GB2312" w:hAnsi="Times New Roman" w:eastAsia="仿宋_GB2312" w:cs="Wingdings"/>
          <w:sz w:val="32"/>
          <w:szCs w:val="32"/>
          <w:lang w:val="en-US" w:eastAsia="zh-CN"/>
        </w:rPr>
        <w:t>54.61</w:t>
      </w:r>
      <w:r>
        <w:rPr>
          <w:rFonts w:hint="eastAsia" w:ascii="仿宋_GB2312" w:hAnsi="Times New Roman" w:eastAsia="仿宋_GB2312" w:cs="Wingdings"/>
          <w:sz w:val="32"/>
          <w:szCs w:val="32"/>
        </w:rPr>
        <w:t>万元，完成年初预算的</w:t>
      </w:r>
      <w:r>
        <w:rPr>
          <w:rFonts w:hint="eastAsia" w:ascii="仿宋_GB2312" w:hAnsi="Times New Roman" w:eastAsia="仿宋_GB2312" w:cs="Wingdings"/>
          <w:sz w:val="32"/>
          <w:szCs w:val="32"/>
          <w:lang w:val="en-US" w:eastAsia="zh-CN"/>
        </w:rPr>
        <w:t>89.35</w:t>
      </w:r>
      <w:r>
        <w:rPr>
          <w:rFonts w:hint="eastAsia" w:ascii="仿宋_GB2312" w:hAnsi="Times New Roman" w:eastAsia="仿宋_GB2312" w:cs="Wingdings"/>
          <w:sz w:val="32"/>
          <w:szCs w:val="32"/>
        </w:rPr>
        <w:t>%,比年初预算减少</w:t>
      </w:r>
      <w:r>
        <w:rPr>
          <w:rFonts w:hint="eastAsia" w:ascii="仿宋_GB2312" w:hAnsi="Times New Roman" w:eastAsia="仿宋_GB2312" w:cs="Wingdings"/>
          <w:sz w:val="32"/>
          <w:szCs w:val="32"/>
          <w:lang w:val="en-US" w:eastAsia="zh-CN"/>
        </w:rPr>
        <w:t>6.51</w:t>
      </w:r>
      <w:r>
        <w:rPr>
          <w:rFonts w:hint="eastAsia" w:ascii="仿宋_GB2312" w:hAnsi="Times New Roman" w:eastAsia="仿宋_GB2312" w:cs="Wingdings"/>
          <w:sz w:val="32"/>
          <w:szCs w:val="32"/>
        </w:rPr>
        <w:t>万元，决算数小于预算数主要原因是主要是</w:t>
      </w:r>
      <w:r>
        <w:rPr>
          <w:rFonts w:hint="eastAsia" w:ascii="仿宋_GB2312" w:hAnsi="仿宋_GB2312" w:eastAsia="仿宋_GB2312" w:cs="仿宋_GB2312"/>
          <w:kern w:val="2"/>
          <w:sz w:val="32"/>
          <w:szCs w:val="32"/>
        </w:rPr>
        <w:t>严格执行中央八项规定，</w:t>
      </w:r>
      <w:r>
        <w:rPr>
          <w:rFonts w:hint="eastAsia" w:ascii="仿宋_GB2312" w:hAnsi="仿宋_GB2312" w:eastAsia="仿宋_GB2312" w:cs="仿宋_GB2312"/>
          <w:kern w:val="2"/>
          <w:sz w:val="32"/>
          <w:szCs w:val="32"/>
          <w:lang w:val="en-US" w:eastAsia="zh-CN"/>
        </w:rPr>
        <w:t>厉行节约减少支出</w:t>
      </w:r>
      <w:r>
        <w:rPr>
          <w:rFonts w:hint="eastAsia" w:ascii="仿宋_GB2312" w:hAnsi="Times New Roman" w:eastAsia="仿宋_GB2312" w:cs="Wingdings"/>
          <w:sz w:val="32"/>
          <w:szCs w:val="32"/>
        </w:rPr>
        <w:t>。</w:t>
      </w:r>
    </w:p>
    <w:p>
      <w:pPr>
        <w:numPr>
          <w:ilvl w:val="0"/>
          <w:numId w:val="2"/>
        </w:num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财政拨款支出决算结构情况。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年度财政拨款支出</w:t>
      </w:r>
      <w:r>
        <w:rPr>
          <w:rFonts w:hint="eastAsia" w:ascii="仿宋_GB2312" w:hAnsi="Times New Roman" w:eastAsia="仿宋_GB2312" w:cs="Wingdings"/>
          <w:sz w:val="32"/>
          <w:szCs w:val="32"/>
          <w:lang w:val="en-US" w:eastAsia="zh-CN"/>
        </w:rPr>
        <w:t>54.61</w:t>
      </w:r>
      <w:r>
        <w:rPr>
          <w:rFonts w:hint="eastAsia" w:ascii="仿宋_GB2312" w:hAnsi="Times New Roman" w:eastAsia="仿宋_GB2312" w:cs="Wingdings"/>
          <w:sz w:val="32"/>
          <w:szCs w:val="32"/>
        </w:rPr>
        <w:t>万元，主要用于以下方面：一般公共服务（类）支出</w:t>
      </w:r>
      <w:r>
        <w:rPr>
          <w:rFonts w:hint="eastAsia" w:ascii="仿宋_GB2312" w:hAnsi="Times New Roman" w:eastAsia="仿宋_GB2312" w:cs="Wingdings"/>
          <w:sz w:val="32"/>
          <w:szCs w:val="32"/>
          <w:lang w:val="en-US" w:eastAsia="zh-CN"/>
        </w:rPr>
        <w:t>44.70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81.85</w:t>
      </w:r>
      <w:r>
        <w:rPr>
          <w:rFonts w:hint="eastAsia" w:ascii="仿宋_GB2312" w:hAnsi="Times New Roman" w:eastAsia="仿宋_GB2312" w:cs="Wingdings"/>
          <w:sz w:val="32"/>
          <w:szCs w:val="32"/>
        </w:rPr>
        <w:t xml:space="preserve">%，社会保障和就业（类）支出 </w:t>
      </w:r>
      <w:r>
        <w:rPr>
          <w:rFonts w:hint="eastAsia" w:ascii="仿宋_GB2312" w:hAnsi="Times New Roman" w:eastAsia="仿宋_GB2312" w:cs="Wingdings"/>
          <w:sz w:val="32"/>
          <w:szCs w:val="32"/>
          <w:lang w:val="en-US" w:eastAsia="zh-CN"/>
        </w:rPr>
        <w:t>5.13</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9.39</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val="en-US" w:eastAsia="zh-CN"/>
        </w:rPr>
        <w:t>卫生健康（类）支出2.07万元，占3.79%</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val="en-US" w:eastAsia="zh-CN"/>
        </w:rPr>
        <w:t>住房保障（类）支出2.72万元，占4.97%</w:t>
      </w:r>
      <w:r>
        <w:rPr>
          <w:rFonts w:hint="eastAsia" w:ascii="仿宋_GB2312" w:hAnsi="Times New Roman" w:eastAsia="仿宋_GB2312" w:cs="Wingdings"/>
          <w:sz w:val="32"/>
          <w:szCs w:val="32"/>
        </w:rPr>
        <w:t>。</w:t>
      </w: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hint="eastAsia" w:ascii="楷体_GB2312" w:hAnsi="Times New Roman" w:eastAsia="楷体_GB2312" w:cs="Mongolian Baiti"/>
          <w:b/>
          <w:bCs/>
          <w:sz w:val="32"/>
          <w:szCs w:val="32"/>
          <w:lang w:eastAsia="zh-CN"/>
        </w:rPr>
      </w:pPr>
    </w:p>
    <w:p>
      <w:pPr>
        <w:adjustRightInd w:val="0"/>
        <w:snapToGrid w:val="0"/>
        <w:spacing w:line="600" w:lineRule="exact"/>
        <w:rPr>
          <w:rFonts w:hint="eastAsia" w:ascii="楷体_GB2312" w:hAnsi="Times New Roman" w:eastAsia="楷体_GB2312" w:cs="Mongolian Baiti"/>
          <w:b/>
          <w:bCs/>
          <w:sz w:val="32"/>
          <w:szCs w:val="32"/>
        </w:rPr>
      </w:pPr>
      <w:r>
        <w:rPr>
          <w:rFonts w:hint="eastAsia" w:ascii="楷体_GB2312" w:hAnsi="Times New Roman" w:eastAsia="楷体_GB2312" w:cs="Mongolian Baiti"/>
          <w:b/>
          <w:bCs/>
          <w:sz w:val="32"/>
          <w:szCs w:val="32"/>
          <w:lang w:eastAsia="zh-CN"/>
        </w:rPr>
        <w:drawing>
          <wp:anchor distT="0" distB="0" distL="114300" distR="114300" simplePos="0" relativeHeight="251666432" behindDoc="0" locked="0" layoutInCell="1" allowOverlap="1">
            <wp:simplePos x="0" y="0"/>
            <wp:positionH relativeFrom="column">
              <wp:posOffset>301625</wp:posOffset>
            </wp:positionH>
            <wp:positionV relativeFrom="paragraph">
              <wp:posOffset>-588010</wp:posOffset>
            </wp:positionV>
            <wp:extent cx="5080000" cy="3810000"/>
            <wp:effectExtent l="4445" t="4445" r="20955" b="14605"/>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p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（四）一般公共预算基本支出决算情况说明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年度财政拨款基本支出</w:t>
      </w:r>
      <w:r>
        <w:rPr>
          <w:rFonts w:hint="eastAsia" w:ascii="仿宋_GB2312" w:hAnsi="Times New Roman" w:eastAsia="仿宋_GB2312" w:cs="Wingdings"/>
          <w:sz w:val="32"/>
          <w:szCs w:val="32"/>
          <w:lang w:val="en-US" w:eastAsia="zh-CN"/>
        </w:rPr>
        <w:t>54.61</w:t>
      </w:r>
      <w:r>
        <w:rPr>
          <w:rFonts w:hint="eastAsia" w:ascii="仿宋_GB2312" w:hAnsi="Times New Roman" w:eastAsia="仿宋_GB2312" w:cs="Wingdings"/>
          <w:sz w:val="32"/>
          <w:szCs w:val="32"/>
        </w:rPr>
        <w:t xml:space="preserve">万元，其中：人员经费 </w:t>
      </w:r>
      <w:r>
        <w:rPr>
          <w:rFonts w:hint="eastAsia" w:ascii="仿宋_GB2312" w:hAnsi="Times New Roman" w:eastAsia="仿宋_GB2312" w:cs="Wingdings"/>
          <w:sz w:val="32"/>
          <w:szCs w:val="32"/>
          <w:lang w:val="en-US" w:eastAsia="zh-CN"/>
        </w:rPr>
        <w:t>48.95</w:t>
      </w:r>
      <w:r>
        <w:rPr>
          <w:rFonts w:hint="eastAsia" w:ascii="仿宋_GB2312" w:hAnsi="Times New Roman" w:eastAsia="仿宋_GB2312" w:cs="Wingdings"/>
          <w:sz w:val="32"/>
          <w:szCs w:val="32"/>
        </w:rPr>
        <w:t xml:space="preserve">万元，主要包括基本工资、津贴补贴、奖金、机关事业单位基本养老保险缴费、职工基本医疗保险缴费、住房公积金；公用经费 </w:t>
      </w:r>
      <w:r>
        <w:rPr>
          <w:rFonts w:hint="eastAsia" w:ascii="仿宋_GB2312" w:hAnsi="Times New Roman" w:eastAsia="仿宋_GB2312" w:cs="Wingdings"/>
          <w:sz w:val="32"/>
          <w:szCs w:val="32"/>
          <w:lang w:val="en-US" w:eastAsia="zh-CN"/>
        </w:rPr>
        <w:t>5.66</w:t>
      </w:r>
      <w:r>
        <w:rPr>
          <w:rFonts w:hint="eastAsia" w:ascii="仿宋_GB2312" w:hAnsi="Times New Roman" w:eastAsia="仿宋_GB2312" w:cs="Wingdings"/>
          <w:sz w:val="32"/>
          <w:szCs w:val="32"/>
        </w:rPr>
        <w:t>万元，主要包括办公费、印刷费、邮电费、公务用车运行维护费。</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（一）“三公”经费财政拨款支出决算总体情况说明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本部门2020年度“三公”经费财政拨款支出预算为</w:t>
      </w:r>
      <w:r>
        <w:rPr>
          <w:rFonts w:hint="eastAsia" w:ascii="仿宋_GB2312" w:hAnsi="Times New Roman" w:eastAsia="仿宋_GB2312" w:cs="Wingdings"/>
          <w:sz w:val="32"/>
          <w:szCs w:val="32"/>
          <w:lang w:val="en-US" w:eastAsia="zh-CN"/>
        </w:rPr>
        <w:t>2.66</w:t>
      </w:r>
      <w:r>
        <w:rPr>
          <w:rFonts w:hint="eastAsia" w:ascii="仿宋_GB2312" w:hAnsi="Times New Roman" w:eastAsia="仿宋_GB2312" w:cs="Wingdings"/>
          <w:sz w:val="32"/>
          <w:szCs w:val="32"/>
        </w:rPr>
        <w:t>万元，支出决算为</w:t>
      </w:r>
      <w:r>
        <w:rPr>
          <w:rFonts w:hint="eastAsia" w:ascii="仿宋_GB2312" w:hAnsi="Times New Roman" w:eastAsia="仿宋_GB2312" w:cs="Wingdings"/>
          <w:sz w:val="32"/>
          <w:szCs w:val="32"/>
          <w:lang w:val="en-US" w:eastAsia="zh-CN"/>
        </w:rPr>
        <w:t>1.70万</w:t>
      </w:r>
      <w:r>
        <w:rPr>
          <w:rFonts w:hint="eastAsia" w:ascii="仿宋_GB2312" w:hAnsi="Times New Roman" w:eastAsia="仿宋_GB2312" w:cs="Wingdings"/>
          <w:sz w:val="32"/>
          <w:szCs w:val="32"/>
        </w:rPr>
        <w:t>元，完成预算的</w:t>
      </w:r>
      <w:r>
        <w:rPr>
          <w:rFonts w:hint="eastAsia" w:ascii="仿宋_GB2312" w:hAnsi="Times New Roman" w:eastAsia="仿宋_GB2312" w:cs="Wingdings"/>
          <w:sz w:val="32"/>
          <w:szCs w:val="32"/>
          <w:lang w:val="en-US" w:eastAsia="zh-CN"/>
        </w:rPr>
        <w:t>63.91</w:t>
      </w:r>
      <w:r>
        <w:rPr>
          <w:rFonts w:hint="eastAsia" w:ascii="仿宋_GB2312" w:hAnsi="Times New Roman" w:eastAsia="仿宋_GB2312" w:cs="Wingdings"/>
          <w:sz w:val="32"/>
          <w:szCs w:val="32"/>
        </w:rPr>
        <w:t>%,较预算减少</w:t>
      </w:r>
      <w:r>
        <w:rPr>
          <w:rFonts w:hint="eastAsia" w:ascii="仿宋_GB2312" w:hAnsi="Times New Roman" w:eastAsia="仿宋_GB2312" w:cs="Wingdings"/>
          <w:sz w:val="32"/>
          <w:szCs w:val="32"/>
          <w:lang w:val="en-US" w:eastAsia="zh-CN"/>
        </w:rPr>
        <w:t>0.96</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36.09</w:t>
      </w:r>
      <w:r>
        <w:rPr>
          <w:rFonts w:hint="eastAsia" w:ascii="仿宋_GB2312" w:hAnsi="Times New Roman" w:eastAsia="仿宋_GB2312" w:cs="Wingdings"/>
          <w:sz w:val="32"/>
          <w:szCs w:val="32"/>
        </w:rPr>
        <w:t>%，主要是</w:t>
      </w:r>
      <w:r>
        <w:rPr>
          <w:rFonts w:hint="eastAsia" w:ascii="仿宋_GB2312" w:hAnsi="仿宋_GB2312" w:eastAsia="仿宋_GB2312" w:cs="仿宋_GB2312"/>
          <w:kern w:val="2"/>
          <w:sz w:val="32"/>
          <w:szCs w:val="32"/>
        </w:rPr>
        <w:t>严格执行中央八项规定，减少</w:t>
      </w:r>
      <w:r>
        <w:rPr>
          <w:rFonts w:hint="eastAsia" w:ascii="仿宋_GB2312" w:hAnsi="仿宋_GB2312" w:eastAsia="仿宋_GB2312" w:cs="仿宋_GB2312"/>
          <w:kern w:val="2"/>
          <w:sz w:val="32"/>
          <w:szCs w:val="32"/>
          <w:lang w:val="en-US" w:eastAsia="zh-CN"/>
        </w:rPr>
        <w:t>公务用车运行维护费用及公务接待</w:t>
      </w:r>
      <w:r>
        <w:rPr>
          <w:rFonts w:hint="eastAsia" w:ascii="仿宋_GB2312" w:hAnsi="Times New Roman" w:eastAsia="仿宋_GB2312" w:cs="Wingdings"/>
          <w:sz w:val="32"/>
          <w:szCs w:val="32"/>
        </w:rPr>
        <w:t>；较2019年度减少</w:t>
      </w:r>
      <w:r>
        <w:rPr>
          <w:rFonts w:hint="eastAsia" w:ascii="仿宋_GB2312" w:hAnsi="Times New Roman" w:eastAsia="仿宋_GB2312" w:cs="Wingdings"/>
          <w:sz w:val="32"/>
          <w:szCs w:val="32"/>
          <w:lang w:val="en-US" w:eastAsia="zh-CN"/>
        </w:rPr>
        <w:t>0.80</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32.11</w:t>
      </w:r>
      <w:r>
        <w:rPr>
          <w:rFonts w:hint="eastAsia" w:ascii="仿宋_GB2312" w:hAnsi="Times New Roman" w:eastAsia="仿宋_GB2312" w:cs="Wingdings"/>
          <w:sz w:val="32"/>
          <w:szCs w:val="32"/>
        </w:rPr>
        <w:t>%，主要</w:t>
      </w:r>
      <w:r>
        <w:rPr>
          <w:rFonts w:hint="eastAsia" w:ascii="仿宋_GB2312" w:hAnsi="Times New Roman" w:eastAsia="仿宋_GB2312" w:cs="Wingdings"/>
          <w:sz w:val="32"/>
          <w:szCs w:val="32"/>
          <w:lang w:val="en-US" w:eastAsia="zh-CN"/>
        </w:rPr>
        <w:t>原因</w:t>
      </w:r>
      <w:r>
        <w:rPr>
          <w:rFonts w:hint="eastAsia" w:ascii="仿宋_GB2312" w:hAnsi="Times New Roman" w:eastAsia="仿宋_GB2312" w:cs="Wingdings"/>
          <w:sz w:val="32"/>
          <w:szCs w:val="32"/>
        </w:rPr>
        <w:t>是</w:t>
      </w:r>
      <w:r>
        <w:rPr>
          <w:rFonts w:hint="eastAsia" w:ascii="仿宋_GB2312" w:hAnsi="仿宋_GB2312" w:eastAsia="仿宋_GB2312" w:cs="仿宋_GB2312"/>
          <w:kern w:val="2"/>
          <w:sz w:val="32"/>
          <w:szCs w:val="32"/>
        </w:rPr>
        <w:t>严格执行中央八项规定，</w:t>
      </w:r>
      <w:r>
        <w:rPr>
          <w:rFonts w:hint="eastAsia" w:ascii="仿宋_GB2312" w:hAnsi="仿宋_GB2312" w:eastAsia="仿宋_GB2312" w:cs="仿宋_GB2312"/>
          <w:kern w:val="2"/>
          <w:sz w:val="32"/>
          <w:szCs w:val="32"/>
          <w:lang w:val="en-US" w:eastAsia="zh-CN"/>
        </w:rPr>
        <w:t>厉行节约减少三公经费支出</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（二）“三公”经费财政拨款支出决算具体情况说明</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1.因公出国（境）费</w:t>
      </w:r>
      <w:r>
        <w:rPr>
          <w:rFonts w:hint="eastAsia" w:ascii="楷体_GB2312" w:hAnsi="Times New Roman" w:eastAsia="楷体_GB2312" w:cs="Mongolian Baiti"/>
          <w:b/>
          <w:bCs/>
          <w:sz w:val="32"/>
          <w:szCs w:val="32"/>
          <w:lang w:eastAsia="zh-CN"/>
        </w:rPr>
        <w:t>。</w:t>
      </w:r>
      <w:r>
        <w:rPr>
          <w:rFonts w:hint="eastAsia" w:ascii="仿宋_GB2312" w:hAnsi="仿宋_GB2312" w:eastAsia="仿宋_GB2312" w:cs="仿宋_GB2312"/>
          <w:b w:val="0"/>
          <w:bCs w:val="0"/>
          <w:sz w:val="32"/>
          <w:szCs w:val="32"/>
        </w:rPr>
        <w:t>本部门2020</w:t>
      </w:r>
      <w:r>
        <w:rPr>
          <w:rFonts w:hint="eastAsia" w:ascii="仿宋_GB2312" w:hAnsi="仿宋_GB2312" w:eastAsia="仿宋_GB2312" w:cs="仿宋_GB2312"/>
          <w:b w:val="0"/>
          <w:bCs w:val="0"/>
          <w:sz w:val="32"/>
          <w:szCs w:val="32"/>
          <w:lang w:val="en-US" w:eastAsia="zh-CN"/>
        </w:rPr>
        <w:t>年因公出国（境）费</w:t>
      </w:r>
      <w:r>
        <w:rPr>
          <w:rFonts w:hint="eastAsia" w:ascii="仿宋_GB2312" w:hAnsi="仿宋_GB2312" w:eastAsia="仿宋_GB2312" w:cs="仿宋_GB2312"/>
          <w:b w:val="0"/>
          <w:bCs w:val="0"/>
          <w:sz w:val="32"/>
          <w:szCs w:val="32"/>
        </w:rPr>
        <w:t>支出</w:t>
      </w:r>
      <w:r>
        <w:rPr>
          <w:rFonts w:hint="eastAsia" w:ascii="仿宋_GB2312" w:hAnsi="仿宋_GB2312" w:eastAsia="仿宋_GB2312" w:cs="仿宋_GB2312"/>
          <w:b w:val="0"/>
          <w:bCs w:val="0"/>
          <w:sz w:val="32"/>
          <w:szCs w:val="32"/>
          <w:lang w:val="en-US" w:eastAsia="zh-CN"/>
        </w:rPr>
        <w:t>0.00</w:t>
      </w:r>
      <w:r>
        <w:rPr>
          <w:rFonts w:hint="eastAsia" w:ascii="仿宋_GB2312" w:hAnsi="仿宋_GB2312" w:eastAsia="仿宋_GB2312" w:cs="仿宋_GB2312"/>
          <w:b w:val="0"/>
          <w:bCs w:val="0"/>
          <w:sz w:val="32"/>
          <w:szCs w:val="32"/>
        </w:rPr>
        <w:t>万元，完成预算的</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w:t>
      </w:r>
      <w:r>
        <w:rPr>
          <w:rFonts w:hint="eastAsia" w:ascii="仿宋_GB2312" w:hAnsi="Times New Roman" w:eastAsia="仿宋_GB2312" w:cs="Wingdings"/>
          <w:sz w:val="32"/>
          <w:szCs w:val="32"/>
        </w:rPr>
        <w:t>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人、参加其他单位组织的因公出国（境）团组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无本单位组织的出国（境）团组。因公出国（境）费支出较预算增加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仿宋_GB2312" w:eastAsia="仿宋_GB2312" w:cs="仿宋_GB2312"/>
          <w:kern w:val="2"/>
          <w:sz w:val="32"/>
          <w:szCs w:val="32"/>
        </w:rPr>
        <w:t>严格执行中央八项规定，减少</w:t>
      </w:r>
      <w:r>
        <w:rPr>
          <w:rFonts w:hint="eastAsia" w:ascii="仿宋_GB2312" w:hAnsi="仿宋_GB2312" w:eastAsia="仿宋_GB2312" w:cs="仿宋_GB2312"/>
          <w:kern w:val="2"/>
          <w:sz w:val="32"/>
          <w:szCs w:val="32"/>
          <w:lang w:val="en-US" w:eastAsia="zh-CN"/>
        </w:rPr>
        <w:t>费用支出</w:t>
      </w:r>
      <w:r>
        <w:rPr>
          <w:rFonts w:hint="eastAsia" w:ascii="仿宋_GB2312" w:hAnsi="Times New Roman" w:eastAsia="仿宋_GB2312" w:cs="Wingdings"/>
          <w:sz w:val="32"/>
          <w:szCs w:val="32"/>
        </w:rPr>
        <w:t>；较上年增加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仿宋_GB2312" w:eastAsia="仿宋_GB2312" w:cs="仿宋_GB2312"/>
          <w:kern w:val="2"/>
          <w:sz w:val="32"/>
          <w:szCs w:val="32"/>
        </w:rPr>
        <w:t>严格执行中央八项规定，减少</w:t>
      </w:r>
      <w:r>
        <w:rPr>
          <w:rFonts w:hint="eastAsia" w:ascii="仿宋_GB2312" w:hAnsi="仿宋_GB2312" w:eastAsia="仿宋_GB2312" w:cs="仿宋_GB2312"/>
          <w:kern w:val="2"/>
          <w:sz w:val="32"/>
          <w:szCs w:val="32"/>
          <w:lang w:val="en-US" w:eastAsia="zh-CN"/>
        </w:rPr>
        <w:t>费用支出</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2.公务用车购置及运行维护费</w:t>
      </w:r>
      <w:r>
        <w:rPr>
          <w:rFonts w:hint="eastAsia" w:ascii="楷体_GB2312" w:hAnsi="Times New Roman" w:eastAsia="楷体_GB2312" w:cs="Mongolian Baiti"/>
          <w:b/>
          <w:bCs/>
          <w:sz w:val="32"/>
          <w:szCs w:val="32"/>
          <w:lang w:eastAsia="zh-CN"/>
        </w:rPr>
        <w:t>。</w:t>
      </w:r>
      <w:r>
        <w:rPr>
          <w:rFonts w:hint="eastAsia" w:ascii="仿宋_GB2312" w:hAnsi="仿宋_GB2312" w:eastAsia="仿宋_GB2312" w:cs="仿宋_GB2312"/>
          <w:b w:val="0"/>
          <w:bCs w:val="0"/>
          <w:sz w:val="32"/>
          <w:szCs w:val="32"/>
          <w:lang w:eastAsia="zh-CN"/>
        </w:rPr>
        <w:t>本部门2020</w:t>
      </w:r>
      <w:r>
        <w:rPr>
          <w:rFonts w:hint="eastAsia" w:ascii="仿宋_GB2312" w:hAnsi="仿宋_GB2312" w:eastAsia="仿宋_GB2312" w:cs="仿宋_GB2312"/>
          <w:b w:val="0"/>
          <w:bCs w:val="0"/>
          <w:sz w:val="32"/>
          <w:szCs w:val="32"/>
          <w:lang w:val="en-US" w:eastAsia="zh-CN"/>
        </w:rPr>
        <w:t>年</w:t>
      </w:r>
      <w:r>
        <w:rPr>
          <w:rFonts w:hint="eastAsia" w:ascii="仿宋_GB2312" w:hAnsi="仿宋_GB2312" w:eastAsia="仿宋_GB2312" w:cs="仿宋_GB2312"/>
          <w:b w:val="0"/>
          <w:bCs w:val="0"/>
          <w:sz w:val="32"/>
          <w:szCs w:val="32"/>
        </w:rPr>
        <w:t>公务用车购置及运行维护费</w:t>
      </w:r>
      <w:r>
        <w:rPr>
          <w:rFonts w:hint="eastAsia" w:ascii="仿宋_GB2312" w:hAnsi="仿宋_GB2312" w:eastAsia="仿宋_GB2312" w:cs="仿宋_GB2312"/>
          <w:b w:val="0"/>
          <w:bCs w:val="0"/>
          <w:sz w:val="32"/>
          <w:szCs w:val="32"/>
          <w:lang w:eastAsia="zh-CN"/>
        </w:rPr>
        <w:t>支出</w:t>
      </w:r>
      <w:r>
        <w:rPr>
          <w:rFonts w:hint="eastAsia" w:ascii="仿宋_GB2312" w:hAnsi="仿宋_GB2312" w:eastAsia="仿宋_GB2312" w:cs="仿宋_GB2312"/>
          <w:b w:val="0"/>
          <w:bCs w:val="0"/>
          <w:sz w:val="32"/>
          <w:szCs w:val="32"/>
          <w:lang w:val="en-US" w:eastAsia="zh-CN"/>
        </w:rPr>
        <w:t>1.70</w:t>
      </w:r>
      <w:r>
        <w:rPr>
          <w:rFonts w:hint="eastAsia" w:ascii="仿宋_GB2312" w:hAnsi="仿宋_GB2312" w:eastAsia="仿宋_GB2312" w:cs="仿宋_GB2312"/>
          <w:b w:val="0"/>
          <w:bCs w:val="0"/>
          <w:sz w:val="32"/>
          <w:szCs w:val="32"/>
          <w:lang w:eastAsia="zh-CN"/>
        </w:rPr>
        <w:t>万元，完成预算的</w:t>
      </w:r>
      <w:r>
        <w:rPr>
          <w:rFonts w:hint="eastAsia" w:ascii="仿宋_GB2312" w:hAnsi="仿宋_GB2312" w:eastAsia="仿宋_GB2312" w:cs="仿宋_GB2312"/>
          <w:b w:val="0"/>
          <w:bCs w:val="0"/>
          <w:sz w:val="32"/>
          <w:szCs w:val="32"/>
          <w:lang w:val="en-US" w:eastAsia="zh-CN"/>
        </w:rPr>
        <w:t>68.00</w:t>
      </w:r>
      <w:r>
        <w:rPr>
          <w:rFonts w:hint="eastAsia" w:ascii="仿宋_GB2312" w:hAnsi="仿宋_GB2312" w:eastAsia="仿宋_GB2312" w:cs="仿宋_GB2312"/>
          <w:b w:val="0"/>
          <w:bCs w:val="0"/>
          <w:sz w:val="32"/>
          <w:szCs w:val="32"/>
          <w:lang w:eastAsia="zh-CN"/>
        </w:rPr>
        <w:t>%，</w:t>
      </w:r>
      <w:r>
        <w:rPr>
          <w:rFonts w:hint="eastAsia" w:ascii="仿宋_GB2312" w:hAnsi="Times New Roman" w:eastAsia="仿宋_GB2312" w:cs="Wingdings"/>
          <w:sz w:val="32"/>
          <w:szCs w:val="32"/>
        </w:rPr>
        <w:t>较预算减少</w:t>
      </w:r>
      <w:r>
        <w:rPr>
          <w:rFonts w:hint="eastAsia" w:ascii="仿宋_GB2312" w:hAnsi="Times New Roman" w:eastAsia="仿宋_GB2312" w:cs="Wingdings"/>
          <w:sz w:val="32"/>
          <w:szCs w:val="32"/>
          <w:lang w:val="en-US" w:eastAsia="zh-CN"/>
        </w:rPr>
        <w:t>0.80</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32.00</w:t>
      </w:r>
      <w:r>
        <w:rPr>
          <w:rFonts w:hint="eastAsia" w:ascii="仿宋_GB2312" w:hAnsi="Times New Roman" w:eastAsia="仿宋_GB2312" w:cs="Wingdings"/>
          <w:sz w:val="32"/>
          <w:szCs w:val="32"/>
        </w:rPr>
        <w:t>%,主要是</w:t>
      </w:r>
      <w:r>
        <w:rPr>
          <w:rFonts w:hint="eastAsia" w:ascii="仿宋_GB2312" w:hAnsi="仿宋_GB2312" w:eastAsia="仿宋_GB2312" w:cs="仿宋_GB2312"/>
          <w:kern w:val="2"/>
          <w:sz w:val="32"/>
          <w:szCs w:val="32"/>
        </w:rPr>
        <w:t>严格执行中央八项规定，减少</w:t>
      </w:r>
      <w:r>
        <w:rPr>
          <w:rFonts w:hint="eastAsia" w:ascii="仿宋_GB2312" w:hAnsi="仿宋_GB2312" w:eastAsia="仿宋_GB2312" w:cs="仿宋_GB2312"/>
          <w:kern w:val="2"/>
          <w:sz w:val="32"/>
          <w:szCs w:val="32"/>
          <w:lang w:val="en-US" w:eastAsia="zh-CN"/>
        </w:rPr>
        <w:t>公务用车运行</w:t>
      </w:r>
      <w:r>
        <w:rPr>
          <w:rFonts w:hint="eastAsia" w:ascii="仿宋_GB2312" w:hAnsi="Times New Roman" w:eastAsia="仿宋_GB2312" w:cs="Wingdings"/>
          <w:sz w:val="32"/>
          <w:szCs w:val="32"/>
        </w:rPr>
        <w:t>；较上年减少</w:t>
      </w:r>
      <w:r>
        <w:rPr>
          <w:rFonts w:hint="eastAsia" w:ascii="仿宋_GB2312" w:hAnsi="Times New Roman" w:eastAsia="仿宋_GB2312" w:cs="Wingdings"/>
          <w:sz w:val="32"/>
          <w:szCs w:val="32"/>
          <w:lang w:val="en-US" w:eastAsia="zh-CN"/>
        </w:rPr>
        <w:t>0.80</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32.11</w:t>
      </w:r>
      <w:r>
        <w:rPr>
          <w:rFonts w:hint="eastAsia" w:ascii="仿宋_GB2312" w:hAnsi="Times New Roman" w:eastAsia="仿宋_GB2312" w:cs="Wingdings"/>
          <w:sz w:val="32"/>
          <w:szCs w:val="32"/>
        </w:rPr>
        <w:t>%,主要是</w:t>
      </w:r>
      <w:r>
        <w:rPr>
          <w:rFonts w:hint="eastAsia" w:ascii="仿宋_GB2312" w:hAnsi="仿宋_GB2312" w:eastAsia="仿宋_GB2312" w:cs="仿宋_GB2312"/>
          <w:kern w:val="2"/>
          <w:sz w:val="32"/>
          <w:szCs w:val="32"/>
        </w:rPr>
        <w:t>严格执行中央八项规定，减少</w:t>
      </w:r>
      <w:r>
        <w:rPr>
          <w:rFonts w:hint="eastAsia" w:ascii="仿宋_GB2312" w:hAnsi="仿宋_GB2312" w:eastAsia="仿宋_GB2312" w:cs="仿宋_GB2312"/>
          <w:kern w:val="2"/>
          <w:sz w:val="32"/>
          <w:szCs w:val="32"/>
          <w:lang w:val="en-US" w:eastAsia="zh-CN"/>
        </w:rPr>
        <w:t>公务用车运行</w:t>
      </w:r>
      <w:r>
        <w:rPr>
          <w:rFonts w:hint="eastAsia" w:ascii="仿宋_GB2312" w:hAnsi="Times New Roman" w:eastAsia="仿宋_GB2312" w:cs="Wingdings"/>
          <w:sz w:val="32"/>
          <w:szCs w:val="32"/>
        </w:rPr>
        <w:t>。</w:t>
      </w:r>
      <w:r>
        <w:rPr>
          <w:rFonts w:hint="eastAsia" w:ascii="仿宋_GB2312" w:hAnsi="Times New Roman" w:eastAsia="仿宋_GB2312" w:cs="Mongolian Baiti"/>
          <w:b/>
          <w:bCs/>
          <w:sz w:val="32"/>
          <w:szCs w:val="32"/>
        </w:rPr>
        <w:t>其中：</w:t>
      </w:r>
    </w:p>
    <w:p>
      <w:pPr>
        <w:adjustRightInd w:val="0"/>
        <w:snapToGrid w:val="0"/>
        <w:spacing w:line="600" w:lineRule="exact"/>
        <w:ind w:firstLine="643" w:firstLineChars="200"/>
        <w:rPr>
          <w:rFonts w:ascii="仿宋_GB2312" w:hAnsi="Times New Roman" w:eastAsia="仿宋_GB2312" w:cs="Wingdings"/>
          <w:color w:val="000000"/>
          <w:sz w:val="32"/>
          <w:szCs w:val="32"/>
          <w:highlight w:val="yellow"/>
        </w:rPr>
      </w:pPr>
      <w:r>
        <w:rPr>
          <w:rFonts w:hint="eastAsia" w:ascii="仿宋_GB2312" w:hAnsi="Times New Roman" w:eastAsia="仿宋_GB2312" w:cs="Wingdings"/>
          <w:b/>
          <w:sz w:val="32"/>
          <w:szCs w:val="32"/>
        </w:rPr>
        <w:t>公务用车购置费支出：</w:t>
      </w:r>
      <w:r>
        <w:rPr>
          <w:rFonts w:hint="eastAsia" w:ascii="仿宋_GB2312" w:hAnsi="Times New Roman" w:eastAsia="仿宋_GB2312" w:cs="Wingdings"/>
          <w:sz w:val="32"/>
          <w:szCs w:val="32"/>
        </w:rPr>
        <w:t>本部门2020年度公务用车购置量</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辆，发生“公务用车购置”经费支出</w:t>
      </w:r>
      <w:r>
        <w:rPr>
          <w:rFonts w:hint="eastAsia" w:ascii="仿宋_GB2312" w:hAnsi="Times New Roman" w:eastAsia="仿宋_GB2312" w:cs="Wingdings"/>
          <w:sz w:val="32"/>
          <w:szCs w:val="32"/>
          <w:lang w:val="en-US" w:eastAsia="zh-CN"/>
        </w:rPr>
        <w:t>0.00</w:t>
      </w:r>
      <w:r>
        <w:rPr>
          <w:rFonts w:hint="eastAsia" w:ascii="仿宋_GB2312" w:hAnsi="Times New Roman" w:eastAsia="仿宋_GB2312" w:cs="Wingdings"/>
          <w:sz w:val="32"/>
          <w:szCs w:val="32"/>
        </w:rPr>
        <w:t>万元。公务用车购置费支出较预算增加</w:t>
      </w:r>
      <w:r>
        <w:rPr>
          <w:rFonts w:hint="eastAsia" w:ascii="仿宋_GB2312" w:hAnsi="Times New Roman" w:eastAsia="仿宋_GB2312" w:cs="Wingdings"/>
          <w:sz w:val="32"/>
          <w:szCs w:val="32"/>
          <w:lang w:val="en-US" w:eastAsia="zh-CN"/>
        </w:rPr>
        <w:t>0.00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0.00</w:t>
      </w:r>
      <w:r>
        <w:rPr>
          <w:rFonts w:hint="eastAsia" w:ascii="仿宋_GB2312" w:hAnsi="Times New Roman" w:eastAsia="仿宋_GB2312" w:cs="Wingdings"/>
          <w:sz w:val="32"/>
          <w:szCs w:val="32"/>
        </w:rPr>
        <w:t>%,主要是</w:t>
      </w:r>
      <w:r>
        <w:rPr>
          <w:rFonts w:hint="eastAsia" w:ascii="仿宋_GB2312" w:hAnsi="Times New Roman" w:eastAsia="仿宋_GB2312" w:cs="Wingdings"/>
          <w:color w:val="000000"/>
          <w:sz w:val="32"/>
          <w:szCs w:val="32"/>
          <w:highlight w:val="none"/>
        </w:rPr>
        <w:t>未发生‘公务用车购置’经费支出</w:t>
      </w:r>
      <w:r>
        <w:rPr>
          <w:rFonts w:hint="eastAsia" w:ascii="仿宋_GB2312" w:hAnsi="Times New Roman" w:eastAsia="仿宋_GB2312" w:cs="Wingdings"/>
          <w:sz w:val="32"/>
          <w:szCs w:val="32"/>
        </w:rPr>
        <w:t>；较上年增加</w:t>
      </w:r>
      <w:r>
        <w:rPr>
          <w:rFonts w:hint="eastAsia" w:ascii="仿宋_GB2312" w:hAnsi="Times New Roman" w:eastAsia="仿宋_GB2312" w:cs="Wingdings"/>
          <w:sz w:val="32"/>
          <w:szCs w:val="32"/>
          <w:lang w:val="en-US" w:eastAsia="zh-CN"/>
        </w:rPr>
        <w:t>0.00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0.00</w:t>
      </w:r>
      <w:r>
        <w:rPr>
          <w:rFonts w:hint="eastAsia" w:ascii="仿宋_GB2312" w:hAnsi="Times New Roman" w:eastAsia="仿宋_GB2312" w:cs="Wingdings"/>
          <w:sz w:val="32"/>
          <w:szCs w:val="32"/>
        </w:rPr>
        <w:t>%,主要是</w:t>
      </w:r>
      <w:r>
        <w:rPr>
          <w:rFonts w:hint="eastAsia" w:ascii="仿宋_GB2312" w:hAnsi="Times New Roman" w:eastAsia="仿宋_GB2312" w:cs="Wingdings"/>
          <w:color w:val="000000"/>
          <w:sz w:val="32"/>
          <w:szCs w:val="32"/>
          <w:highlight w:val="none"/>
        </w:rPr>
        <w:t>未发生‘公务用车购置’经费支出</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公务用车运行维护费支出：</w:t>
      </w:r>
      <w:r>
        <w:rPr>
          <w:rFonts w:hint="eastAsia" w:ascii="仿宋_GB2312" w:hAnsi="Times New Roman" w:eastAsia="仿宋_GB2312" w:cs="Wingdings"/>
          <w:sz w:val="32"/>
          <w:szCs w:val="32"/>
        </w:rPr>
        <w:t>本部门2020年度单位公务用车保有量</w:t>
      </w:r>
      <w:r>
        <w:rPr>
          <w:rFonts w:hint="eastAsia" w:ascii="仿宋_GB2312" w:hAnsi="Times New Roman" w:eastAsia="仿宋_GB2312" w:cs="Wingdings"/>
          <w:sz w:val="32"/>
          <w:szCs w:val="32"/>
          <w:lang w:val="en-US" w:eastAsia="zh-CN"/>
        </w:rPr>
        <w:t>1</w:t>
      </w:r>
      <w:r>
        <w:rPr>
          <w:rFonts w:hint="eastAsia" w:ascii="仿宋_GB2312" w:hAnsi="Times New Roman" w:eastAsia="仿宋_GB2312" w:cs="Wingdings"/>
          <w:sz w:val="32"/>
          <w:szCs w:val="32"/>
        </w:rPr>
        <w:t>辆</w:t>
      </w:r>
      <w:r>
        <w:rPr>
          <w:rFonts w:hint="eastAsia" w:ascii="仿宋_GB2312" w:hAnsi="Times New Roman" w:eastAsia="仿宋_GB2312" w:cs="Wingdings"/>
          <w:sz w:val="32"/>
          <w:szCs w:val="32"/>
          <w:lang w:val="en-US" w:eastAsia="zh-CN"/>
        </w:rPr>
        <w:t>,发生运行维护费支出1.70万元，</w:t>
      </w:r>
      <w:r>
        <w:rPr>
          <w:rFonts w:hint="eastAsia" w:ascii="仿宋_GB2312" w:hAnsi="Times New Roman" w:eastAsia="仿宋_GB2312" w:cs="Wingdings"/>
          <w:sz w:val="32"/>
          <w:szCs w:val="32"/>
        </w:rPr>
        <w:t>。公车运行维护费支出较预算减少</w:t>
      </w:r>
      <w:r>
        <w:rPr>
          <w:rFonts w:hint="eastAsia" w:ascii="仿宋_GB2312" w:hAnsi="Times New Roman" w:eastAsia="仿宋_GB2312" w:cs="Wingdings"/>
          <w:sz w:val="32"/>
          <w:szCs w:val="32"/>
          <w:lang w:val="en-US" w:eastAsia="zh-CN"/>
        </w:rPr>
        <w:t>0.8</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32.00</w:t>
      </w:r>
      <w:r>
        <w:rPr>
          <w:rFonts w:hint="eastAsia" w:ascii="仿宋_GB2312" w:hAnsi="Times New Roman" w:eastAsia="仿宋_GB2312" w:cs="Wingdings"/>
          <w:sz w:val="32"/>
          <w:szCs w:val="32"/>
        </w:rPr>
        <w:t>%,主要是</w:t>
      </w:r>
      <w:r>
        <w:rPr>
          <w:rFonts w:hint="eastAsia" w:ascii="仿宋_GB2312" w:hAnsi="仿宋_GB2312" w:eastAsia="仿宋_GB2312" w:cs="仿宋_GB2312"/>
          <w:kern w:val="2"/>
          <w:sz w:val="32"/>
          <w:szCs w:val="32"/>
        </w:rPr>
        <w:t>严格执行中央八项规定，减少</w:t>
      </w:r>
      <w:r>
        <w:rPr>
          <w:rFonts w:hint="eastAsia" w:ascii="仿宋_GB2312" w:hAnsi="仿宋_GB2312" w:eastAsia="仿宋_GB2312" w:cs="仿宋_GB2312"/>
          <w:kern w:val="2"/>
          <w:sz w:val="32"/>
          <w:szCs w:val="32"/>
          <w:lang w:val="en-US" w:eastAsia="zh-CN"/>
        </w:rPr>
        <w:t>公务用车运行</w:t>
      </w:r>
      <w:r>
        <w:rPr>
          <w:rFonts w:hint="eastAsia" w:ascii="仿宋_GB2312" w:hAnsi="Times New Roman" w:eastAsia="仿宋_GB2312" w:cs="Wingdings"/>
          <w:sz w:val="32"/>
          <w:szCs w:val="32"/>
        </w:rPr>
        <w:t>；较上年减少</w:t>
      </w:r>
      <w:r>
        <w:rPr>
          <w:rFonts w:hint="eastAsia" w:ascii="仿宋_GB2312" w:hAnsi="Times New Roman" w:eastAsia="仿宋_GB2312" w:cs="Wingdings"/>
          <w:sz w:val="32"/>
          <w:szCs w:val="32"/>
          <w:lang w:val="en-US" w:eastAsia="zh-CN"/>
        </w:rPr>
        <w:t>0.80</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32.11</w:t>
      </w:r>
      <w:r>
        <w:rPr>
          <w:rFonts w:hint="eastAsia" w:ascii="仿宋_GB2312" w:hAnsi="Times New Roman" w:eastAsia="仿宋_GB2312" w:cs="Wingdings"/>
          <w:sz w:val="32"/>
          <w:szCs w:val="32"/>
        </w:rPr>
        <w:t>%，主要是</w:t>
      </w:r>
      <w:r>
        <w:rPr>
          <w:rFonts w:hint="eastAsia" w:ascii="仿宋_GB2312" w:hAnsi="仿宋_GB2312" w:eastAsia="仿宋_GB2312" w:cs="仿宋_GB2312"/>
          <w:kern w:val="2"/>
          <w:sz w:val="32"/>
          <w:szCs w:val="32"/>
        </w:rPr>
        <w:t>严格执行中央八项规定，减少</w:t>
      </w:r>
      <w:r>
        <w:rPr>
          <w:rFonts w:hint="eastAsia" w:ascii="仿宋_GB2312" w:hAnsi="仿宋_GB2312" w:eastAsia="仿宋_GB2312" w:cs="仿宋_GB2312"/>
          <w:kern w:val="2"/>
          <w:sz w:val="32"/>
          <w:szCs w:val="32"/>
          <w:lang w:val="en-US" w:eastAsia="zh-CN"/>
        </w:rPr>
        <w:t>公务用车运行</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3.公务接待费</w:t>
      </w:r>
      <w:r>
        <w:rPr>
          <w:rFonts w:hint="eastAsia" w:ascii="楷体_GB2312" w:hAnsi="Times New Roman" w:eastAsia="楷体_GB2312" w:cs="Mongolian Baiti"/>
          <w:b/>
          <w:bCs/>
          <w:sz w:val="32"/>
          <w:szCs w:val="32"/>
          <w:lang w:eastAsia="zh-CN"/>
        </w:rPr>
        <w:t>。</w:t>
      </w:r>
      <w:r>
        <w:rPr>
          <w:rFonts w:hint="eastAsia" w:ascii="仿宋_GB2312" w:hAnsi="仿宋_GB2312" w:eastAsia="仿宋_GB2312" w:cs="仿宋_GB2312"/>
          <w:b w:val="0"/>
          <w:bCs w:val="0"/>
          <w:sz w:val="32"/>
          <w:szCs w:val="32"/>
        </w:rPr>
        <w:t>本部门2020年</w:t>
      </w:r>
      <w:r>
        <w:rPr>
          <w:rFonts w:hint="eastAsia" w:ascii="仿宋_GB2312" w:hAnsi="仿宋_GB2312" w:eastAsia="仿宋_GB2312" w:cs="仿宋_GB2312"/>
          <w:b w:val="0"/>
          <w:bCs w:val="0"/>
          <w:sz w:val="32"/>
          <w:szCs w:val="32"/>
          <w:lang w:eastAsia="zh-CN"/>
        </w:rPr>
        <w:t>公务接待</w:t>
      </w:r>
      <w:r>
        <w:rPr>
          <w:rFonts w:hint="eastAsia" w:ascii="仿宋_GB2312" w:hAnsi="仿宋_GB2312" w:eastAsia="仿宋_GB2312" w:cs="仿宋_GB2312"/>
          <w:b w:val="0"/>
          <w:bCs w:val="0"/>
          <w:sz w:val="32"/>
          <w:szCs w:val="32"/>
        </w:rPr>
        <w:t>费支出</w:t>
      </w:r>
      <w:r>
        <w:rPr>
          <w:rFonts w:hint="eastAsia" w:ascii="仿宋_GB2312" w:hAnsi="仿宋_GB2312" w:eastAsia="仿宋_GB2312" w:cs="仿宋_GB2312"/>
          <w:b w:val="0"/>
          <w:bCs w:val="0"/>
          <w:sz w:val="32"/>
          <w:szCs w:val="32"/>
          <w:lang w:val="en-US" w:eastAsia="zh-CN"/>
        </w:rPr>
        <w:t>0.00</w:t>
      </w:r>
      <w:r>
        <w:rPr>
          <w:rFonts w:hint="eastAsia" w:ascii="仿宋_GB2312" w:hAnsi="仿宋_GB2312" w:eastAsia="仿宋_GB2312" w:cs="仿宋_GB2312"/>
          <w:b w:val="0"/>
          <w:bCs w:val="0"/>
          <w:sz w:val="32"/>
          <w:szCs w:val="32"/>
        </w:rPr>
        <w:t>万元，完成预算的</w:t>
      </w:r>
      <w:r>
        <w:rPr>
          <w:rFonts w:hint="eastAsia" w:ascii="仿宋_GB2312" w:hAnsi="仿宋_GB2312" w:eastAsia="仿宋_GB2312" w:cs="仿宋_GB2312"/>
          <w:b w:val="0"/>
          <w:bCs w:val="0"/>
          <w:sz w:val="32"/>
          <w:szCs w:val="32"/>
          <w:lang w:val="en-US" w:eastAsia="zh-CN"/>
        </w:rPr>
        <w:t>0.00</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发生</w:t>
      </w:r>
      <w:r>
        <w:rPr>
          <w:rFonts w:hint="eastAsia" w:ascii="仿宋_GB2312" w:hAnsi="Times New Roman" w:eastAsia="仿宋_GB2312" w:cs="Wingdings"/>
          <w:sz w:val="32"/>
          <w:szCs w:val="32"/>
        </w:rPr>
        <w:t>公务接待共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批次、</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人次。公务接待费支出较预算减少</w:t>
      </w:r>
      <w:r>
        <w:rPr>
          <w:rFonts w:hint="eastAsia" w:ascii="仿宋_GB2312" w:hAnsi="Times New Roman" w:eastAsia="仿宋_GB2312" w:cs="Wingdings"/>
          <w:sz w:val="32"/>
          <w:szCs w:val="32"/>
          <w:lang w:val="en-US" w:eastAsia="zh-CN"/>
        </w:rPr>
        <w:t>0.00</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0.00</w:t>
      </w:r>
      <w:r>
        <w:rPr>
          <w:rFonts w:hint="eastAsia" w:ascii="仿宋_GB2312" w:hAnsi="Times New Roman" w:eastAsia="仿宋_GB2312" w:cs="Wingdings"/>
          <w:sz w:val="32"/>
          <w:szCs w:val="32"/>
        </w:rPr>
        <w:t>%,主要是</w:t>
      </w:r>
      <w:r>
        <w:rPr>
          <w:rFonts w:hint="eastAsia" w:ascii="仿宋_GB2312" w:hAnsi="Times New Roman" w:eastAsia="仿宋_GB2312" w:cs="Wingdings"/>
          <w:color w:val="000000"/>
          <w:sz w:val="32"/>
          <w:szCs w:val="32"/>
          <w:highlight w:val="none"/>
        </w:rPr>
        <w:t>未发生‘</w:t>
      </w:r>
      <w:r>
        <w:rPr>
          <w:rFonts w:hint="eastAsia" w:ascii="仿宋_GB2312" w:hAnsi="Times New Roman" w:eastAsia="仿宋_GB2312" w:cs="Wingdings"/>
          <w:color w:val="000000"/>
          <w:sz w:val="32"/>
          <w:szCs w:val="32"/>
          <w:highlight w:val="none"/>
          <w:lang w:val="en-US" w:eastAsia="zh-CN"/>
        </w:rPr>
        <w:t>公务接待费</w:t>
      </w:r>
      <w:r>
        <w:rPr>
          <w:rFonts w:hint="eastAsia" w:ascii="仿宋_GB2312" w:hAnsi="Times New Roman" w:eastAsia="仿宋_GB2312" w:cs="Wingdings"/>
          <w:color w:val="000000"/>
          <w:sz w:val="32"/>
          <w:szCs w:val="32"/>
          <w:highlight w:val="none"/>
        </w:rPr>
        <w:t>’经费支出</w:t>
      </w:r>
      <w:r>
        <w:rPr>
          <w:rFonts w:hint="eastAsia" w:ascii="仿宋_GB2312" w:hAnsi="Times New Roman" w:eastAsia="仿宋_GB2312" w:cs="Wingdings"/>
          <w:sz w:val="32"/>
          <w:szCs w:val="32"/>
        </w:rPr>
        <w:t>；较上年度减少</w:t>
      </w:r>
      <w:r>
        <w:rPr>
          <w:rFonts w:hint="eastAsia" w:ascii="仿宋_GB2312" w:hAnsi="Times New Roman" w:eastAsia="仿宋_GB2312" w:cs="Wingdings"/>
          <w:sz w:val="32"/>
          <w:szCs w:val="32"/>
          <w:lang w:val="en-US" w:eastAsia="zh-CN"/>
        </w:rPr>
        <w:t>0.00</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0.00</w:t>
      </w:r>
      <w:r>
        <w:rPr>
          <w:rFonts w:hint="eastAsia" w:ascii="仿宋_GB2312" w:hAnsi="Times New Roman" w:eastAsia="仿宋_GB2312" w:cs="Wingdings"/>
          <w:sz w:val="32"/>
          <w:szCs w:val="32"/>
        </w:rPr>
        <w:t>%,主要是</w:t>
      </w:r>
      <w:r>
        <w:rPr>
          <w:rFonts w:hint="eastAsia" w:ascii="仿宋_GB2312" w:hAnsi="Times New Roman" w:eastAsia="仿宋_GB2312" w:cs="Wingdings"/>
          <w:color w:val="000000"/>
          <w:sz w:val="32"/>
          <w:szCs w:val="32"/>
          <w:highlight w:val="none"/>
        </w:rPr>
        <w:t>未发生‘</w:t>
      </w:r>
      <w:r>
        <w:rPr>
          <w:rFonts w:hint="eastAsia" w:ascii="仿宋_GB2312" w:hAnsi="Times New Roman" w:eastAsia="仿宋_GB2312" w:cs="Wingdings"/>
          <w:color w:val="000000"/>
          <w:sz w:val="32"/>
          <w:szCs w:val="32"/>
          <w:highlight w:val="none"/>
          <w:lang w:val="en-US" w:eastAsia="zh-CN"/>
        </w:rPr>
        <w:t>公务接待费</w:t>
      </w:r>
      <w:r>
        <w:rPr>
          <w:rFonts w:hint="eastAsia" w:ascii="仿宋_GB2312" w:hAnsi="Times New Roman" w:eastAsia="仿宋_GB2312" w:cs="Wingdings"/>
          <w:color w:val="000000"/>
          <w:sz w:val="32"/>
          <w:szCs w:val="32"/>
          <w:highlight w:val="none"/>
        </w:rPr>
        <w:t>’经费支出</w:t>
      </w:r>
      <w:r>
        <w:rPr>
          <w:rFonts w:hint="eastAsia" w:ascii="仿宋_GB2312" w:hAnsi="Times New Roman" w:eastAsia="仿宋_GB2312" w:cs="Wingdings"/>
          <w:sz w:val="32"/>
          <w:szCs w:val="32"/>
        </w:rPr>
        <w:t>。</w:t>
      </w:r>
    </w:p>
    <w:p>
      <w:pPr>
        <w:adjustRightInd w:val="0"/>
        <w:snapToGrid w:val="0"/>
        <w:spacing w:line="600" w:lineRule="exact"/>
        <w:ind w:firstLine="640" w:firstLineChars="200"/>
        <w:rPr>
          <w:rFonts w:ascii="黑体" w:hAnsi="Times New Roman" w:eastAsia="黑体" w:cs="Times New Roman"/>
          <w:sz w:val="32"/>
          <w:szCs w:val="40"/>
          <w:highlight w:val="none"/>
        </w:rPr>
      </w:pPr>
      <w:r>
        <w:rPr>
          <w:rFonts w:hint="eastAsia" w:ascii="黑体" w:hAnsi="Times New Roman" w:eastAsia="黑体" w:cs="Times New Roman"/>
          <w:sz w:val="32"/>
          <w:szCs w:val="40"/>
          <w:highlight w:val="none"/>
        </w:rPr>
        <w:t>六、预算绩效情况说明</w:t>
      </w:r>
    </w:p>
    <w:p>
      <w:pPr>
        <w:adjustRightInd w:val="0"/>
        <w:snapToGrid w:val="0"/>
        <w:spacing w:line="600" w:lineRule="exact"/>
        <w:ind w:firstLine="643" w:firstLineChars="200"/>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（一）预算绩效管理工作开展情况。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根据预算绩效管理要求，本部门组织对2020年度项目支出全面开展绩效自评，其中，一般公共预算一级项目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6.04%</w:t>
      </w:r>
      <w:r>
        <w:rPr>
          <w:rFonts w:hint="eastAsia" w:ascii="仿宋_GB2312" w:hAnsi="仿宋_GB2312" w:eastAsia="仿宋_GB2312" w:cs="仿宋_GB2312"/>
          <w:sz w:val="32"/>
          <w:szCs w:val="32"/>
        </w:rPr>
        <w:t>；政府性基金预算一级项目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万元，占政府性基金预算项目支出总额的</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w:t>
      </w:r>
    </w:p>
    <w:p>
      <w:pPr>
        <w:adjustRightInd w:val="0"/>
        <w:snapToGrid w:val="0"/>
        <w:spacing w:line="600" w:lineRule="exact"/>
        <w:ind w:firstLine="643" w:firstLineChars="200"/>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 部门决算中项目绩效自评结果。</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w:t>
      </w:r>
      <w:r>
        <w:rPr>
          <w:rFonts w:hint="eastAsia" w:ascii="仿宋_GB2312" w:hAnsi="宋体" w:eastAsia="仿宋_GB2312"/>
          <w:sz w:val="32"/>
          <w:szCs w:val="32"/>
        </w:rPr>
        <w:t>2020年</w:t>
      </w:r>
      <w:r>
        <w:rPr>
          <w:rFonts w:hint="eastAsia" w:ascii="仿宋_GB2312" w:hAnsi="宋体" w:eastAsia="仿宋_GB2312"/>
          <w:sz w:val="32"/>
          <w:szCs w:val="32"/>
          <w:lang w:eastAsia="zh-CN"/>
        </w:rPr>
        <w:t>满城区共青团第一次代表大会</w:t>
      </w:r>
      <w:r>
        <w:rPr>
          <w:rFonts w:hint="eastAsia" w:ascii="仿宋_GB2312" w:hAnsi="仿宋_GB2312" w:eastAsia="仿宋_GB2312" w:cs="仿宋_GB2312"/>
          <w:sz w:val="32"/>
          <w:szCs w:val="32"/>
        </w:rPr>
        <w:t>项目1个项目绩效自评结果。</w:t>
      </w:r>
    </w:p>
    <w:p>
      <w:pPr>
        <w:adjustRightInd w:val="0"/>
        <w:snapToGrid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选举产生新一届代表，</w:t>
      </w:r>
      <w:r>
        <w:rPr>
          <w:rFonts w:hint="eastAsia" w:ascii="Times New Roman" w:hAnsi="Times New Roman" w:eastAsia="仿宋_GB2312" w:cs="Times New Roman"/>
          <w:color w:val="auto"/>
          <w:sz w:val="32"/>
          <w:szCs w:val="32"/>
          <w:lang w:val="en-US" w:eastAsia="zh-CN"/>
        </w:rPr>
        <w:t>整体</w:t>
      </w:r>
      <w:r>
        <w:rPr>
          <w:rFonts w:hint="eastAsia" w:ascii="Times New Roman" w:hAnsi="Times New Roman" w:eastAsia="仿宋_GB2312" w:cs="Times New Roman"/>
          <w:color w:val="auto"/>
          <w:sz w:val="32"/>
          <w:szCs w:val="32"/>
          <w:lang w:eastAsia="zh-CN"/>
        </w:rPr>
        <w:t>决策依据充分，程序规范。绩效目标有待细化，执行部门有序开展相关工作，</w:t>
      </w:r>
      <w:r>
        <w:rPr>
          <w:rFonts w:hint="eastAsia" w:ascii="Times New Roman" w:hAnsi="Times New Roman" w:eastAsia="仿宋_GB2312" w:cs="Times New Roman"/>
          <w:color w:val="auto"/>
          <w:sz w:val="32"/>
          <w:szCs w:val="32"/>
          <w:lang w:val="en-US" w:eastAsia="zh-CN"/>
        </w:rPr>
        <w:t>整体</w:t>
      </w:r>
      <w:r>
        <w:rPr>
          <w:rFonts w:hint="eastAsia" w:ascii="Times New Roman" w:hAnsi="Times New Roman" w:eastAsia="仿宋_GB2312" w:cs="Times New Roman"/>
          <w:color w:val="auto"/>
          <w:sz w:val="32"/>
          <w:szCs w:val="32"/>
          <w:lang w:eastAsia="zh-CN"/>
        </w:rPr>
        <w:t>产出数量达标，工作效率仍有提高空间。</w:t>
      </w:r>
    </w:p>
    <w:p>
      <w:pPr>
        <w:adjustRightInd w:val="0"/>
        <w:snapToGrid w:val="0"/>
        <w:spacing w:line="60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（三）财政评价项目绩效评价结果</w:t>
      </w:r>
    </w:p>
    <w:p>
      <w:pPr>
        <w:adjustRightInd w:val="0"/>
        <w:snapToGrid w:val="0"/>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keepNext/>
        <w:keepLines/>
        <w:snapToGrid w:val="0"/>
        <w:spacing w:line="600" w:lineRule="exact"/>
        <w:ind w:firstLine="640" w:firstLineChars="200"/>
        <w:outlineLvl w:val="1"/>
        <w:rPr>
          <w:rFonts w:ascii="黑体" w:hAnsi="黑体" w:eastAsia="黑体" w:cs="黑体"/>
          <w:b/>
          <w:bCs/>
          <w:sz w:val="32"/>
          <w:szCs w:val="32"/>
        </w:rPr>
      </w:pPr>
      <w:r>
        <w:rPr>
          <w:rFonts w:hint="eastAsia" w:ascii="黑体" w:hAnsi="黑体" w:eastAsia="黑体" w:cs="黑体"/>
          <w:sz w:val="32"/>
          <w:szCs w:val="32"/>
        </w:rPr>
        <w:t>七、机关运行经费情况</w:t>
      </w:r>
    </w:p>
    <w:p>
      <w:pPr>
        <w:adjustRightInd w:val="0"/>
        <w:snapToGrid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本部门2020年度机关运行经费支出</w:t>
      </w:r>
      <w:r>
        <w:rPr>
          <w:rFonts w:hint="eastAsia" w:ascii="仿宋_GB2312" w:hAnsi="仿宋_GB2312" w:eastAsia="仿宋_GB2312" w:cs="仿宋_GB2312"/>
          <w:sz w:val="32"/>
          <w:szCs w:val="32"/>
          <w:lang w:val="en-US" w:eastAsia="zh-CN"/>
        </w:rPr>
        <w:t>5.66</w:t>
      </w:r>
      <w:r>
        <w:rPr>
          <w:rFonts w:hint="eastAsia" w:ascii="仿宋_GB2312" w:hAnsi="仿宋_GB2312" w:eastAsia="仿宋_GB2312" w:cs="仿宋_GB2312"/>
          <w:sz w:val="32"/>
          <w:szCs w:val="32"/>
        </w:rPr>
        <w:t>万元，比2019年度减少</w:t>
      </w:r>
      <w:r>
        <w:rPr>
          <w:rFonts w:hint="eastAsia" w:ascii="仿宋_GB2312" w:hAnsi="仿宋_GB2312" w:eastAsia="仿宋_GB2312" w:cs="仿宋_GB2312"/>
          <w:sz w:val="32"/>
          <w:szCs w:val="32"/>
          <w:lang w:val="en-US" w:eastAsia="zh-CN"/>
        </w:rPr>
        <w:t>1.88</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24.93</w:t>
      </w:r>
      <w:r>
        <w:rPr>
          <w:rFonts w:hint="eastAsia" w:ascii="仿宋_GB2312" w:hAnsi="仿宋_GB2312" w:eastAsia="仿宋_GB2312" w:cs="仿宋_GB2312"/>
          <w:sz w:val="32"/>
          <w:szCs w:val="32"/>
        </w:rPr>
        <w:t>%。主要原因是</w:t>
      </w:r>
      <w:r>
        <w:rPr>
          <w:rFonts w:hint="eastAsia" w:ascii="仿宋_GB2312" w:hAnsi="Times New Roman" w:eastAsia="仿宋_GB2312" w:cs="Wingdings"/>
          <w:sz w:val="32"/>
          <w:szCs w:val="32"/>
        </w:rPr>
        <w:t>主要是</w:t>
      </w:r>
      <w:r>
        <w:rPr>
          <w:rFonts w:hint="eastAsia" w:ascii="仿宋_GB2312" w:hAnsi="仿宋_GB2312" w:eastAsia="仿宋_GB2312" w:cs="仿宋_GB2312"/>
          <w:kern w:val="2"/>
          <w:sz w:val="32"/>
          <w:szCs w:val="32"/>
        </w:rPr>
        <w:t>严格执行中央八项规定，减少</w:t>
      </w:r>
      <w:r>
        <w:rPr>
          <w:rFonts w:hint="eastAsia" w:ascii="仿宋_GB2312" w:hAnsi="仿宋_GB2312" w:eastAsia="仿宋_GB2312" w:cs="仿宋_GB2312"/>
          <w:kern w:val="2"/>
          <w:sz w:val="32"/>
          <w:szCs w:val="32"/>
          <w:lang w:val="en-US" w:eastAsia="zh-CN"/>
        </w:rPr>
        <w:t>机关运行经费支出</w:t>
      </w:r>
      <w:r>
        <w:rPr>
          <w:rFonts w:hint="eastAsia" w:ascii="仿宋_GB2312" w:hAnsi="仿宋_GB2312" w:eastAsia="仿宋_GB2312" w:cs="仿宋_GB2312"/>
          <w:sz w:val="32"/>
          <w:szCs w:val="32"/>
        </w:rPr>
        <w:t>。</w:t>
      </w:r>
    </w:p>
    <w:p>
      <w:pPr>
        <w:keepNext/>
        <w:keepLines/>
        <w:snapToGrid w:val="0"/>
        <w:spacing w:line="60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八、政府采购情况</w:t>
      </w:r>
    </w:p>
    <w:p>
      <w:pPr>
        <w:snapToGrid w:val="0"/>
        <w:spacing w:line="600" w:lineRule="exact"/>
        <w:ind w:firstLine="640" w:firstLineChars="200"/>
        <w:jc w:val="left"/>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本部门2020年度政府采购支出总额</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万元，从采购类型来看，</w:t>
      </w:r>
      <w:r>
        <w:rPr>
          <w:rFonts w:hint="eastAsia"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0.00</w:t>
      </w:r>
      <w:r>
        <w:rPr>
          <w:rFonts w:hint="eastAsia" w:ascii="仿宋_GB2312" w:hAnsi="仿宋_GB2312" w:eastAsia="仿宋_GB2312" w:cs="仿宋_GB2312"/>
          <w:color w:val="000000"/>
          <w:kern w:val="0"/>
          <w:sz w:val="32"/>
          <w:szCs w:val="32"/>
          <w:lang w:bidi="ar"/>
        </w:rPr>
        <w:t xml:space="preserve"> 万元、政府采购工程支出</w:t>
      </w:r>
      <w:r>
        <w:rPr>
          <w:rFonts w:hint="eastAsia" w:ascii="仿宋_GB2312" w:hAnsi="仿宋_GB2312" w:eastAsia="仿宋_GB2312" w:cs="仿宋_GB2312"/>
          <w:color w:val="000000"/>
          <w:kern w:val="0"/>
          <w:sz w:val="32"/>
          <w:szCs w:val="32"/>
          <w:lang w:val="en-US" w:eastAsia="zh-CN" w:bidi="ar"/>
        </w:rPr>
        <w:t>0.00</w:t>
      </w:r>
      <w:r>
        <w:rPr>
          <w:rFonts w:hint="eastAsia" w:ascii="仿宋_GB2312" w:hAnsi="仿宋_GB2312" w:eastAsia="仿宋_GB2312" w:cs="仿宋_GB2312"/>
          <w:color w:val="000000"/>
          <w:kern w:val="0"/>
          <w:sz w:val="32"/>
          <w:szCs w:val="32"/>
          <w:lang w:bidi="ar"/>
        </w:rPr>
        <w:t xml:space="preserve">万元、政府采购服务支出 </w:t>
      </w:r>
      <w:r>
        <w:rPr>
          <w:rFonts w:hint="eastAsia" w:ascii="仿宋_GB2312" w:hAnsi="仿宋_GB2312" w:eastAsia="仿宋_GB2312" w:cs="仿宋_GB2312"/>
          <w:color w:val="000000"/>
          <w:kern w:val="0"/>
          <w:sz w:val="32"/>
          <w:szCs w:val="32"/>
          <w:lang w:val="en-US" w:eastAsia="zh-CN" w:bidi="ar"/>
        </w:rPr>
        <w:t>0.00</w:t>
      </w:r>
      <w:r>
        <w:rPr>
          <w:rFonts w:hint="eastAsia"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val="en-US" w:eastAsia="zh-CN" w:bidi="ar"/>
        </w:rPr>
        <w:t>0.00</w:t>
      </w:r>
      <w:r>
        <w:rPr>
          <w:rFonts w:hint="eastAsia"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0.00</w:t>
      </w:r>
      <w:r>
        <w:rPr>
          <w:rFonts w:hint="eastAsia"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0.00</w:t>
      </w:r>
      <w:r>
        <w:rPr>
          <w:rFonts w:hint="eastAsia" w:ascii="仿宋_GB2312" w:hAnsi="仿宋_GB2312" w:eastAsia="仿宋_GB2312" w:cs="仿宋_GB2312"/>
          <w:color w:val="000000"/>
          <w:kern w:val="0"/>
          <w:sz w:val="32"/>
          <w:szCs w:val="32"/>
          <w:lang w:bidi="ar"/>
        </w:rPr>
        <w:t xml:space="preserve">万元，占政府采购支出总额的 </w:t>
      </w:r>
      <w:r>
        <w:rPr>
          <w:rFonts w:hint="eastAsia" w:ascii="仿宋_GB2312" w:hAnsi="仿宋_GB2312" w:eastAsia="仿宋_GB2312" w:cs="仿宋_GB2312"/>
          <w:color w:val="000000"/>
          <w:kern w:val="0"/>
          <w:sz w:val="32"/>
          <w:szCs w:val="32"/>
          <w:lang w:val="en-US" w:eastAsia="zh-CN" w:bidi="ar"/>
        </w:rPr>
        <w:t>0.00</w:t>
      </w:r>
      <w:r>
        <w:rPr>
          <w:rFonts w:hint="eastAsia" w:ascii="仿宋_GB2312" w:hAnsi="仿宋_GB2312" w:eastAsia="仿宋_GB2312" w:cs="仿宋_GB2312"/>
          <w:color w:val="000000"/>
          <w:kern w:val="0"/>
          <w:sz w:val="32"/>
          <w:szCs w:val="32"/>
          <w:lang w:bidi="ar"/>
        </w:rPr>
        <w:t>%。</w:t>
      </w:r>
    </w:p>
    <w:p>
      <w:pPr>
        <w:keepNext/>
        <w:keepLines/>
        <w:snapToGrid w:val="0"/>
        <w:spacing w:line="600" w:lineRule="exact"/>
        <w:ind w:firstLine="640" w:firstLineChars="200"/>
        <w:outlineLvl w:val="2"/>
        <w:rPr>
          <w:rFonts w:ascii="黑体" w:hAnsi="黑体" w:eastAsia="黑体" w:cs="黑体"/>
          <w:sz w:val="32"/>
          <w:szCs w:val="32"/>
          <w:highlight w:val="none"/>
        </w:rPr>
      </w:pPr>
      <w:r>
        <w:rPr>
          <w:rFonts w:hint="eastAsia" w:ascii="黑体" w:hAnsi="黑体" w:eastAsia="黑体" w:cs="黑体"/>
          <w:sz w:val="32"/>
          <w:szCs w:val="32"/>
          <w:highlight w:val="none"/>
        </w:rPr>
        <w:t>九、国有资产占用情况</w:t>
      </w:r>
    </w:p>
    <w:p>
      <w:pPr>
        <w:adjustRightInd w:val="0"/>
        <w:snapToGrid w:val="0"/>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截至2020年12月31日，本部门共有车辆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辆，比上年增加</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highlight w:val="none"/>
        </w:rPr>
        <w:t>主要是</w:t>
      </w:r>
      <w:r>
        <w:rPr>
          <w:rFonts w:hint="eastAsia" w:ascii="仿宋_GB2312" w:hAnsi="仿宋_GB2312" w:eastAsia="仿宋_GB2312" w:cs="仿宋_GB2312"/>
          <w:sz w:val="32"/>
          <w:szCs w:val="32"/>
          <w:highlight w:val="none"/>
          <w:lang w:eastAsia="zh-CN"/>
        </w:rPr>
        <w:t>单位公务用车</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其中，副部（省）级及以上领导用车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辆，主要领导干部用车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辆，应急保障用车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辆，离退休干部用车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辆，其他用车主要是</w:t>
      </w:r>
      <w:r>
        <w:rPr>
          <w:rFonts w:hint="eastAsia" w:ascii="仿宋_GB2312" w:hAnsi="仿宋_GB2312" w:eastAsia="仿宋_GB2312" w:cs="仿宋_GB2312"/>
          <w:sz w:val="32"/>
          <w:szCs w:val="32"/>
          <w:highlight w:val="none"/>
          <w:lang w:eastAsia="zh-CN"/>
        </w:rPr>
        <w:t>单位公务用车</w:t>
      </w:r>
      <w:r>
        <w:rPr>
          <w:rFonts w:hint="eastAsia" w:ascii="仿宋_GB2312" w:hAnsi="仿宋_GB2312" w:eastAsia="仿宋_GB2312" w:cs="仿宋_GB2312"/>
          <w:sz w:val="32"/>
          <w:szCs w:val="32"/>
          <w:highlight w:val="none"/>
        </w:rPr>
        <w:t>；</w:t>
      </w:r>
    </w:p>
    <w:p>
      <w:pPr>
        <w:adjustRightInd w:val="0"/>
        <w:snapToGrid w:val="0"/>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highlight w:val="none"/>
        </w:rPr>
        <w:t>单</w:t>
      </w:r>
      <w:r>
        <w:rPr>
          <w:rFonts w:hint="eastAsia" w:ascii="仿宋_GB2312" w:hAnsi="仿宋_GB2312" w:eastAsia="仿宋_GB2312" w:cs="仿宋_GB2312"/>
          <w:sz w:val="32"/>
          <w:szCs w:val="32"/>
        </w:rPr>
        <w:t>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台（套），比上年增加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套，主要是</w:t>
      </w:r>
      <w:r>
        <w:rPr>
          <w:rFonts w:hint="eastAsia" w:ascii="仿宋_GB2312" w:hAnsi="仿宋_GB2312" w:eastAsia="仿宋_GB2312" w:cs="仿宋_GB2312"/>
          <w:sz w:val="32"/>
          <w:szCs w:val="32"/>
          <w:lang w:val="en-US" w:eastAsia="zh-CN"/>
        </w:rPr>
        <w:t>与上年度数据一致</w:t>
      </w:r>
      <w:r>
        <w:rPr>
          <w:rFonts w:hint="eastAsia" w:ascii="仿宋_GB2312" w:hAnsi="仿宋_GB2312" w:eastAsia="仿宋_GB2312" w:cs="仿宋_GB2312"/>
          <w:sz w:val="32"/>
          <w:szCs w:val="32"/>
        </w:rPr>
        <w:t>，单位价值100万元以上专用设备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台（套）比上年增加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套，主要是</w:t>
      </w:r>
      <w:r>
        <w:rPr>
          <w:rFonts w:hint="eastAsia" w:ascii="仿宋_GB2312" w:hAnsi="仿宋_GB2312" w:eastAsia="仿宋_GB2312" w:cs="仿宋_GB2312"/>
          <w:sz w:val="32"/>
          <w:szCs w:val="32"/>
          <w:lang w:val="en-US" w:eastAsia="zh-CN"/>
        </w:rPr>
        <w:t>与上年度数据一致</w:t>
      </w:r>
      <w:r>
        <w:rPr>
          <w:rFonts w:hint="eastAsia" w:ascii="仿宋_GB2312" w:hAnsi="仿宋_GB2312" w:eastAsia="仿宋_GB2312" w:cs="仿宋_GB2312"/>
          <w:sz w:val="32"/>
          <w:szCs w:val="32"/>
        </w:rPr>
        <w:t>。</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十、其他需要说明的情况</w:t>
      </w:r>
    </w:p>
    <w:p>
      <w:pPr>
        <w:adjustRightInd w:val="0"/>
        <w:snapToGrid w:val="0"/>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1. 本部门2020年度未发生</w:t>
      </w:r>
      <w:r>
        <w:rPr>
          <w:rFonts w:hint="eastAsia" w:ascii="仿宋_GB2312" w:hAnsi="仿宋_GB2312" w:eastAsia="仿宋_GB2312" w:cs="仿宋_GB2312"/>
          <w:sz w:val="32"/>
          <w:szCs w:val="32"/>
          <w:highlight w:val="none"/>
        </w:rPr>
        <w:t>政府性基金预算、国有资金经营预算</w:t>
      </w:r>
      <w:r>
        <w:rPr>
          <w:rFonts w:hint="eastAsia" w:ascii="仿宋_GB2312" w:hAnsi="仿宋_GB2312" w:eastAsia="仿宋_GB2312" w:cs="仿宋_GB2312"/>
          <w:sz w:val="32"/>
          <w:szCs w:val="32"/>
        </w:rPr>
        <w:t>收支及结转结余情况，</w:t>
      </w:r>
      <w:r>
        <w:rPr>
          <w:rFonts w:hint="eastAsia" w:ascii="仿宋_GB2312" w:hAnsi="仿宋_GB2312" w:eastAsia="仿宋_GB2312" w:cs="仿宋_GB2312"/>
          <w:sz w:val="32"/>
          <w:szCs w:val="32"/>
          <w:highlight w:val="none"/>
        </w:rPr>
        <w:t>故政府性基金预算财政拨款收入支出决算表、国有资本经营预算财政拨款支出决算表以空表列示。</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 xml:space="preserve">2. </w:t>
      </w:r>
      <w:bookmarkStart w:id="0" w:name="_GoBack"/>
      <w:bookmarkEnd w:id="0"/>
      <w:r>
        <w:rPr>
          <w:rFonts w:hint="eastAsia" w:ascii="仿宋_GB2312" w:hAnsi="仿宋_GB2312" w:eastAsia="仿宋_GB2312" w:cs="仿宋_GB2312"/>
          <w:sz w:val="32"/>
          <w:szCs w:val="32"/>
          <w:highlight w:val="none"/>
        </w:rPr>
        <w:t>由于决算公开表格中金</w:t>
      </w:r>
      <w:r>
        <w:rPr>
          <w:rFonts w:hint="eastAsia" w:ascii="仿宋_GB2312" w:hAnsi="仿宋_GB2312" w:eastAsia="仿宋_GB2312" w:cs="仿宋_GB2312"/>
          <w:sz w:val="32"/>
          <w:szCs w:val="32"/>
        </w:rPr>
        <w:t>额数值应当保留两位小数，公开数据为四舍五入计算结果，个别数据合计项与分项之和存在小数点后差额，特此说明。</w: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hint="eastAsia"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r>
        <w:rPr>
          <w:sz w:val="72"/>
        </w:rPr>
        <mc:AlternateContent>
          <mc:Choice Requires="wps">
            <w:drawing>
              <wp:anchor distT="0" distB="0" distL="114300" distR="114300" simplePos="0" relativeHeight="251660288" behindDoc="0" locked="0" layoutInCell="1" allowOverlap="1">
                <wp:simplePos x="0" y="0"/>
                <wp:positionH relativeFrom="column">
                  <wp:posOffset>-1022350</wp:posOffset>
                </wp:positionH>
                <wp:positionV relativeFrom="paragraph">
                  <wp:posOffset>201930</wp:posOffset>
                </wp:positionV>
                <wp:extent cx="7793355" cy="3341370"/>
                <wp:effectExtent l="4445" t="4445" r="508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6350">
                          <a:solidFill>
                            <a:schemeClr val="bg1">
                              <a:lumMod val="50000"/>
                            </a:schemeClr>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5pt;margin-top:15.9pt;height:263.1pt;width:613.65pt;z-index:251660288;v-text-anchor:middle;mso-width-relative:page;mso-height-relative:page;" fillcolor="#7F7F7F [1612]" filled="t" stroked="t" coordsize="21600,21600" o:gfxdata="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P/0jT7ZAAAADAEAAA8A&#10;AAAAAAAAAQAgAAAAIgAAAGRycy9kb3ducmV2LnhtbFBLAQIUABQAAAAIAIdO4kDBnZ8JiAIAAEwF&#10;AAAOAAAAAAAAAAEAIAAAACgBAABkcnMvZTJvRG9jLnhtbFBLBQYAAAAABgAGAFkBAAAiBgAAAAA=&#10;">
                <v:fill type="pattern" on="t" color2="#FFFFFF [3212]" o:title="5%" focussize="0,0" r:id="rId15"/>
                <v:stroke weight="0.5pt" color="#7F7F7F [1612]"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highlight w:val="yellow"/>
        </w:rPr>
      </w:pPr>
      <w:r>
        <w:rPr>
          <w:rFonts w:hint="eastAsia" w:ascii="仿宋_GB2312" w:hAnsi="宋体" w:eastAsia="仿宋_GB2312" w:cs="Arial Black"/>
          <w:sz w:val="32"/>
          <w:szCs w:val="32"/>
          <w:highlight w:val="yellow"/>
        </w:rPr>
        <w:br w:type="page"/>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仿宋_GB2312" w:hAnsi="Cambria" w:eastAsia="仿宋_GB2312" w:cs="Arial Black"/>
          <w:kern w:val="0"/>
          <w:sz w:val="32"/>
          <w:szCs w:val="32"/>
        </w:r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widowControl/>
        <w:spacing w:after="160" w:line="580" w:lineRule="exact"/>
        <w:rPr>
          <w:rFonts w:ascii="Times New Roman" w:hAnsi="Times New Roman" w:eastAsia="黑体" w:cs="Times New Roman"/>
          <w:sz w:val="32"/>
          <w:szCs w:val="32"/>
        </w:rPr>
        <w:sectPr>
          <w:headerReference r:id="rId12" w:type="default"/>
          <w:pgSz w:w="11906" w:h="16838"/>
          <w:pgMar w:top="2098" w:right="1531" w:bottom="1984"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sectPr>
          <w:type w:val="continuous"/>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5408" behindDoc="0" locked="0" layoutInCell="1" allowOverlap="1">
                <wp:simplePos x="0" y="0"/>
                <wp:positionH relativeFrom="column">
                  <wp:posOffset>-1027430</wp:posOffset>
                </wp:positionH>
                <wp:positionV relativeFrom="paragraph">
                  <wp:posOffset>1151255</wp:posOffset>
                </wp:positionV>
                <wp:extent cx="7793355" cy="3341370"/>
                <wp:effectExtent l="6350" t="6350" r="18415" b="20320"/>
                <wp:wrapNone/>
                <wp:docPr id="1" name="文本框 1"/>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ysClr val="window" lastClr="FFFFFF">
                              <a:lumMod val="50000"/>
                            </a:sysClr>
                          </a:fgClr>
                          <a:bgClr>
                            <a:sysClr val="window" lastClr="FFFFFF"/>
                          </a:bgClr>
                        </a:pattFill>
                        <a:ln w="12700" cmpd="sng">
                          <a:solidFill>
                            <a:sysClr val="window" lastClr="FFFFFF">
                              <a:lumMod val="65000"/>
                            </a:sysClr>
                          </a:solidFill>
                          <a:prstDash val="solid"/>
                        </a:ln>
                        <a:effectLst/>
                      </wps:spPr>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2020年度部门决算报表</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9pt;margin-top:90.65pt;height:263.1pt;width:613.65pt;z-index:251665408;v-text-anchor:middle;mso-width-relative:page;mso-height-relative:page;" fillcolor="#7F7F7F" filled="t" stroked="t" coordsize="21600,21600" o:gfxdata="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ANhBuPcAAAADQEAAA8AAAAAAAAAAQAgAAAAIgAAAGRycy9kb3du&#10;cmV2LnhtbFBLAQIUABQAAAAIAIdO4kAJY6zCpgIAAKkFAAAOAAAAAAAAAAEAIAAAACsBAABkcnMv&#10;ZTJvRG9jLnhtbFBLBQYAAAAABgAGAFkBAABDBgAAAAA=&#10;">
                <v:fill type="pattern" on="t" color2="#FFFFFF" o:title="5%" focussize="0,0" r:id="rId15"/>
                <v:stroke weight="1pt" color="#A6A6A6"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2020年度部门决算报表</w:t>
                      </w:r>
                    </w:p>
                    <w:p/>
                  </w:txbxContent>
                </v:textbox>
              </v:shape>
            </w:pict>
          </mc:Fallback>
        </mc:AlternateContent>
      </w:r>
    </w:p>
    <w:tbl>
      <w:tblPr>
        <w:tblStyle w:val="5"/>
        <w:tblpPr w:leftFromText="180" w:rightFromText="180" w:vertAnchor="text" w:horzAnchor="page" w:tblpXSpec="center" w:tblpY="330"/>
        <w:tblOverlap w:val="never"/>
        <w:tblW w:w="9420" w:type="dxa"/>
        <w:jc w:val="center"/>
        <w:tblLayout w:type="fixed"/>
        <w:tblCellMar>
          <w:top w:w="0" w:type="dxa"/>
          <w:left w:w="0" w:type="dxa"/>
          <w:bottom w:w="0" w:type="dxa"/>
          <w:right w:w="0" w:type="dxa"/>
        </w:tblCellMar>
      </w:tblPr>
      <w:tblGrid>
        <w:gridCol w:w="3833"/>
        <w:gridCol w:w="405"/>
        <w:gridCol w:w="615"/>
        <w:gridCol w:w="3189"/>
        <w:gridCol w:w="534"/>
        <w:gridCol w:w="844"/>
      </w:tblGrid>
      <w:tr>
        <w:trPr>
          <w:trHeight w:val="165" w:hRule="atLeast"/>
          <w:jc w:val="center"/>
        </w:trPr>
        <w:tc>
          <w:tcPr>
            <w:tcW w:w="9420"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收入支出决算总表</w:t>
            </w:r>
          </w:p>
        </w:tc>
      </w:tr>
      <w:tr>
        <w:tblPrEx>
          <w:tblCellMar>
            <w:top w:w="0" w:type="dxa"/>
            <w:left w:w="0" w:type="dxa"/>
            <w:bottom w:w="0" w:type="dxa"/>
            <w:right w:w="0" w:type="dxa"/>
          </w:tblCellMar>
        </w:tblPrEx>
        <w:trPr>
          <w:trHeight w:val="294" w:hRule="atLeast"/>
          <w:jc w:val="center"/>
        </w:trPr>
        <w:tc>
          <w:tcPr>
            <w:tcW w:w="383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0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1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567"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公开01表</w:t>
            </w:r>
          </w:p>
        </w:tc>
      </w:tr>
      <w:tr>
        <w:tblPrEx>
          <w:tblCellMar>
            <w:top w:w="0" w:type="dxa"/>
            <w:left w:w="0" w:type="dxa"/>
            <w:bottom w:w="0" w:type="dxa"/>
            <w:right w:w="0" w:type="dxa"/>
          </w:tblCellMar>
        </w:tblPrEx>
        <w:trPr>
          <w:trHeight w:val="306" w:hRule="atLeast"/>
          <w:jc w:val="center"/>
        </w:trPr>
        <w:tc>
          <w:tcPr>
            <w:tcW w:w="3833"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部门：</w:t>
            </w:r>
            <w:r>
              <w:rPr>
                <w:rFonts w:hint="eastAsia" w:ascii="宋体" w:hAnsi="宋体" w:eastAsia="宋体" w:cs="宋体"/>
                <w:color w:val="000000"/>
                <w:kern w:val="0"/>
                <w:sz w:val="18"/>
                <w:szCs w:val="18"/>
                <w:lang w:val="en-US" w:eastAsia="zh-CN" w:bidi="ar"/>
              </w:rPr>
              <w:t>中国共产主义青年团保定市满城区委员会</w:t>
            </w:r>
          </w:p>
        </w:tc>
        <w:tc>
          <w:tcPr>
            <w:tcW w:w="40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1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567"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242" w:hRule="atLeast"/>
          <w:jc w:val="center"/>
        </w:trPr>
        <w:tc>
          <w:tcPr>
            <w:tcW w:w="485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收入</w:t>
            </w:r>
          </w:p>
        </w:tc>
        <w:tc>
          <w:tcPr>
            <w:tcW w:w="4567"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ascii="宋体" w:hAnsi="宋体" w:eastAsia="宋体" w:cs="宋体"/>
                <w:color w:val="000000"/>
                <w:szCs w:val="21"/>
              </w:rPr>
              <w:t>支出</w:t>
            </w:r>
          </w:p>
        </w:tc>
      </w:tr>
      <w:tr>
        <w:tblPrEx>
          <w:tblCellMar>
            <w:top w:w="0" w:type="dxa"/>
            <w:left w:w="0" w:type="dxa"/>
            <w:bottom w:w="0" w:type="dxa"/>
            <w:right w:w="0" w:type="dxa"/>
          </w:tblCellMar>
        </w:tblPrEx>
        <w:trPr>
          <w:trHeight w:val="479" w:hRule="atLeast"/>
          <w:jc w:val="center"/>
        </w:trPr>
        <w:tc>
          <w:tcPr>
            <w:tcW w:w="38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项目</w:t>
            </w: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行次</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金额</w:t>
            </w:r>
          </w:p>
        </w:tc>
        <w:tc>
          <w:tcPr>
            <w:tcW w:w="31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项目</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行次</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金额</w:t>
            </w:r>
          </w:p>
        </w:tc>
      </w:tr>
      <w:tr>
        <w:tblPrEx>
          <w:tblCellMar>
            <w:top w:w="0" w:type="dxa"/>
            <w:left w:w="0" w:type="dxa"/>
            <w:bottom w:w="0" w:type="dxa"/>
            <w:right w:w="0" w:type="dxa"/>
          </w:tblCellMar>
        </w:tblPrEx>
        <w:trPr>
          <w:trHeight w:val="306" w:hRule="atLeast"/>
          <w:jc w:val="center"/>
        </w:trPr>
        <w:tc>
          <w:tcPr>
            <w:tcW w:w="38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栏次</w:t>
            </w: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w:t>
            </w:r>
          </w:p>
        </w:tc>
        <w:tc>
          <w:tcPr>
            <w:tcW w:w="31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栏次</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w:t>
            </w:r>
          </w:p>
        </w:tc>
      </w:tr>
      <w:tr>
        <w:tblPrEx>
          <w:tblCellMar>
            <w:top w:w="0" w:type="dxa"/>
            <w:left w:w="0" w:type="dxa"/>
            <w:bottom w:w="0" w:type="dxa"/>
            <w:right w:w="0" w:type="dxa"/>
          </w:tblCellMar>
        </w:tblPrEx>
        <w:trPr>
          <w:trHeight w:val="306" w:hRule="atLeast"/>
          <w:jc w:val="center"/>
        </w:trPr>
        <w:tc>
          <w:tcPr>
            <w:tcW w:w="38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一、一般公共预算财政拨款收入</w:t>
            </w: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54.61</w:t>
            </w:r>
          </w:p>
        </w:tc>
        <w:tc>
          <w:tcPr>
            <w:tcW w:w="31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一、一般公共服务支出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44.70</w:t>
            </w:r>
          </w:p>
        </w:tc>
      </w:tr>
      <w:tr>
        <w:tblPrEx>
          <w:tblCellMar>
            <w:top w:w="0" w:type="dxa"/>
            <w:left w:w="0" w:type="dxa"/>
            <w:bottom w:w="0" w:type="dxa"/>
            <w:right w:w="0" w:type="dxa"/>
          </w:tblCellMar>
        </w:tblPrEx>
        <w:trPr>
          <w:trHeight w:val="353" w:hRule="atLeast"/>
          <w:jc w:val="center"/>
        </w:trPr>
        <w:tc>
          <w:tcPr>
            <w:tcW w:w="38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二、政府性基金预算财政拨款收入</w:t>
            </w: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二、外交支出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8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三、国有资本经营预算财政拨款收入</w:t>
            </w: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三、国防支出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8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四、上级补助收入</w:t>
            </w: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四、公共安全支出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8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五、事业收入</w:t>
            </w: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五、教育支出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8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六、经营收入</w:t>
            </w: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6</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六、科学技术支出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8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七、附属单位上缴收入</w:t>
            </w: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7</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七、文化旅游体育与传媒支出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8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八、其他收入</w:t>
            </w: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8</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八、社会保障和就业支出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5.13</w:t>
            </w:r>
          </w:p>
        </w:tc>
      </w:tr>
      <w:tr>
        <w:tblPrEx>
          <w:tblCellMar>
            <w:top w:w="0" w:type="dxa"/>
            <w:left w:w="0" w:type="dxa"/>
            <w:bottom w:w="0" w:type="dxa"/>
            <w:right w:w="0" w:type="dxa"/>
          </w:tblCellMar>
        </w:tblPrEx>
        <w:trPr>
          <w:trHeight w:val="306" w:hRule="atLeast"/>
          <w:jc w:val="center"/>
        </w:trPr>
        <w:tc>
          <w:tcPr>
            <w:tcW w:w="38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9</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九、卫生健康支出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2.07</w:t>
            </w:r>
          </w:p>
        </w:tc>
      </w:tr>
      <w:tr>
        <w:tblPrEx>
          <w:tblCellMar>
            <w:top w:w="0" w:type="dxa"/>
            <w:left w:w="0" w:type="dxa"/>
            <w:bottom w:w="0" w:type="dxa"/>
            <w:right w:w="0" w:type="dxa"/>
          </w:tblCellMar>
        </w:tblPrEx>
        <w:trPr>
          <w:trHeight w:val="306" w:hRule="atLeast"/>
          <w:jc w:val="center"/>
        </w:trPr>
        <w:tc>
          <w:tcPr>
            <w:tcW w:w="38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十、节能环保支出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8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11</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十一、城乡社区支出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8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12</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十二、农林水支出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8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13</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十三、交通运输支出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8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14</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十四、资源勘探工业信息等支出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8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15</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十五、商业服务业等支出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8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16</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十六、金融支出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8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17</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十七、援助其他地区支出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8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18</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十八、自然资源海洋气象等支出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8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19</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十九、住房保障支出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rPr>
              <w:t>2.</w:t>
            </w:r>
            <w:r>
              <w:rPr>
                <w:rFonts w:hint="eastAsia" w:ascii="宋体" w:hAnsi="宋体" w:eastAsia="宋体" w:cs="宋体"/>
                <w:color w:val="000000"/>
                <w:szCs w:val="21"/>
                <w:lang w:val="en-US" w:eastAsia="zh-CN"/>
              </w:rPr>
              <w:t>72</w:t>
            </w:r>
          </w:p>
        </w:tc>
      </w:tr>
      <w:tr>
        <w:tblPrEx>
          <w:tblCellMar>
            <w:top w:w="0" w:type="dxa"/>
            <w:left w:w="0" w:type="dxa"/>
            <w:bottom w:w="0" w:type="dxa"/>
            <w:right w:w="0" w:type="dxa"/>
          </w:tblCellMar>
        </w:tblPrEx>
        <w:trPr>
          <w:trHeight w:val="306" w:hRule="atLeast"/>
          <w:jc w:val="center"/>
        </w:trPr>
        <w:tc>
          <w:tcPr>
            <w:tcW w:w="38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二十、粮油物资储备支出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8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21</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二十一、国有资本经营预算支出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8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Cs w:val="21"/>
                <w:lang w:bidi="ar"/>
              </w:rPr>
            </w:pP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rPr>
              <w:t>22</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Cs w:val="21"/>
                <w:lang w:bidi="ar"/>
              </w:rPr>
            </w:pPr>
          </w:p>
        </w:tc>
        <w:tc>
          <w:tcPr>
            <w:tcW w:w="31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Cs w:val="21"/>
                <w:lang w:bidi="ar"/>
              </w:rPr>
            </w:pPr>
            <w:r>
              <w:rPr>
                <w:rFonts w:hint="eastAsia"/>
              </w:rPr>
              <w:t>二十二、灾害防治及应急管理支出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rPr>
              <w:t>53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p>
        </w:tc>
      </w:tr>
      <w:tr>
        <w:tblPrEx>
          <w:tblCellMar>
            <w:top w:w="0" w:type="dxa"/>
            <w:left w:w="0" w:type="dxa"/>
            <w:bottom w:w="0" w:type="dxa"/>
            <w:right w:w="0" w:type="dxa"/>
          </w:tblCellMar>
        </w:tblPrEx>
        <w:trPr>
          <w:trHeight w:val="306" w:hRule="atLeast"/>
          <w:jc w:val="center"/>
        </w:trPr>
        <w:tc>
          <w:tcPr>
            <w:tcW w:w="38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23</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二十三、其他支出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8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24</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二十四、债务还本支出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8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Cs w:val="21"/>
              </w:rPr>
            </w:pP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25</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eastAsia="宋体" w:cs="宋体"/>
                <w:b/>
                <w:color w:val="000000"/>
                <w:szCs w:val="21"/>
              </w:rPr>
            </w:pPr>
            <w:r>
              <w:rPr>
                <w:rFonts w:hint="eastAsia"/>
              </w:rPr>
              <w:t>二十五、债务付息支出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8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26</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二十六、抗疫特别国债安排的支出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8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本年收入合计</w:t>
            </w: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27</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r>
              <w:rPr>
                <w:rFonts w:hint="eastAsia" w:ascii="宋体" w:hAnsi="宋体" w:eastAsia="宋体" w:cs="宋体"/>
                <w:color w:val="000000"/>
                <w:szCs w:val="21"/>
                <w:lang w:val="en-US" w:eastAsia="zh-CN"/>
              </w:rPr>
              <w:t>54.61</w:t>
            </w:r>
          </w:p>
        </w:tc>
        <w:tc>
          <w:tcPr>
            <w:tcW w:w="31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本年支出合计</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54.61</w:t>
            </w:r>
          </w:p>
        </w:tc>
      </w:tr>
      <w:tr>
        <w:tblPrEx>
          <w:tblCellMar>
            <w:top w:w="0" w:type="dxa"/>
            <w:left w:w="0" w:type="dxa"/>
            <w:bottom w:w="0" w:type="dxa"/>
            <w:right w:w="0" w:type="dxa"/>
          </w:tblCellMar>
        </w:tblPrEx>
        <w:trPr>
          <w:trHeight w:val="306" w:hRule="atLeast"/>
          <w:jc w:val="center"/>
        </w:trPr>
        <w:tc>
          <w:tcPr>
            <w:tcW w:w="38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使用非财政拨款结余</w:t>
            </w: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28</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结余分配</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833"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b/>
                <w:color w:val="000000"/>
                <w:szCs w:val="21"/>
              </w:rPr>
            </w:pPr>
            <w:r>
              <w:rPr>
                <w:rFonts w:hint="eastAsia"/>
              </w:rPr>
              <w:t>年初结转和结余</w:t>
            </w:r>
          </w:p>
        </w:tc>
        <w:tc>
          <w:tcPr>
            <w:tcW w:w="40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29</w:t>
            </w:r>
          </w:p>
        </w:tc>
        <w:tc>
          <w:tcPr>
            <w:tcW w:w="61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89"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b/>
                <w:color w:val="000000"/>
                <w:szCs w:val="21"/>
              </w:rPr>
            </w:pPr>
            <w:r>
              <w:rPr>
                <w:rFonts w:hint="eastAsia"/>
              </w:rPr>
              <w:t>年末结转和结余</w:t>
            </w:r>
          </w:p>
        </w:tc>
        <w:tc>
          <w:tcPr>
            <w:tcW w:w="53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60</w:t>
            </w:r>
          </w:p>
        </w:tc>
        <w:tc>
          <w:tcPr>
            <w:tcW w:w="84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p>
        </w:tc>
      </w:tr>
      <w:tr>
        <w:trPr>
          <w:trHeight w:val="182" w:hRule="atLeast"/>
          <w:jc w:val="center"/>
        </w:trPr>
        <w:tc>
          <w:tcPr>
            <w:tcW w:w="383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30</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8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p>
        </w:tc>
        <w:tc>
          <w:tcPr>
            <w:tcW w:w="53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61</w:t>
            </w:r>
          </w:p>
        </w:tc>
        <w:tc>
          <w:tcPr>
            <w:tcW w:w="84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83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总计</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31</w:t>
            </w:r>
          </w:p>
        </w:tc>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54.61</w:t>
            </w:r>
          </w:p>
        </w:tc>
        <w:tc>
          <w:tcPr>
            <w:tcW w:w="318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总计</w:t>
            </w:r>
          </w:p>
        </w:tc>
        <w:tc>
          <w:tcPr>
            <w:tcW w:w="53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62</w:t>
            </w:r>
          </w:p>
        </w:tc>
        <w:tc>
          <w:tcPr>
            <w:tcW w:w="84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54.61</w:t>
            </w:r>
          </w:p>
        </w:tc>
      </w:tr>
      <w:tr>
        <w:tblPrEx>
          <w:tblCellMar>
            <w:top w:w="0" w:type="dxa"/>
            <w:left w:w="0" w:type="dxa"/>
            <w:bottom w:w="0" w:type="dxa"/>
            <w:right w:w="0" w:type="dxa"/>
          </w:tblCellMar>
        </w:tblPrEx>
        <w:trPr>
          <w:trHeight w:val="306" w:hRule="atLeast"/>
          <w:jc w:val="center"/>
        </w:trPr>
        <w:tc>
          <w:tcPr>
            <w:tcW w:w="9420" w:type="dxa"/>
            <w:gridSpan w:val="6"/>
            <w:tcBorders>
              <w:top w:val="single" w:color="auto" w:sz="4" w:space="0"/>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lang w:bidi="ar"/>
              </w:rPr>
            </w:pPr>
            <w:r>
              <w:rPr>
                <w:rFonts w:hint="eastAsia"/>
                <w:sz w:val="20"/>
                <w:szCs w:val="20"/>
              </w:rPr>
              <w:t>注：本表反映部门本年度的总收支和年末结转结余情况。</w:t>
            </w:r>
          </w:p>
        </w:tc>
      </w:tr>
    </w:tbl>
    <w:tbl>
      <w:tblPr>
        <w:tblStyle w:val="5"/>
        <w:tblW w:w="10426" w:type="dxa"/>
        <w:jc w:val="center"/>
        <w:tblLayout w:type="autofit"/>
        <w:tblCellMar>
          <w:top w:w="0" w:type="dxa"/>
          <w:left w:w="0" w:type="dxa"/>
          <w:bottom w:w="0" w:type="dxa"/>
          <w:right w:w="0" w:type="dxa"/>
        </w:tblCellMar>
      </w:tblPr>
      <w:tblGrid>
        <w:gridCol w:w="1033"/>
        <w:gridCol w:w="59"/>
        <w:gridCol w:w="59"/>
        <w:gridCol w:w="3270"/>
        <w:gridCol w:w="1564"/>
        <w:gridCol w:w="1564"/>
        <w:gridCol w:w="448"/>
        <w:gridCol w:w="953"/>
        <w:gridCol w:w="953"/>
        <w:gridCol w:w="795"/>
        <w:gridCol w:w="725"/>
      </w:tblGrid>
      <w:tr>
        <w:tblPrEx>
          <w:tblCellMar>
            <w:top w:w="0" w:type="dxa"/>
            <w:left w:w="0" w:type="dxa"/>
            <w:bottom w:w="0" w:type="dxa"/>
            <w:right w:w="0" w:type="dxa"/>
          </w:tblCellMar>
        </w:tblPrEx>
        <w:trPr>
          <w:trHeight w:val="670" w:hRule="atLeast"/>
          <w:jc w:val="center"/>
        </w:trPr>
        <w:tc>
          <w:tcPr>
            <w:tcW w:w="10426"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lang w:bidi="ar"/>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18"/>
                <w:szCs w:val="18"/>
                <w:lang w:val="en-US" w:eastAsia="zh-CN" w:bidi="ar"/>
              </w:rPr>
              <w:t>中国共产主义青年团保定市满城区委员会</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73"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w:t>
            </w:r>
          </w:p>
        </w:tc>
        <w:tc>
          <w:tcPr>
            <w:tcW w:w="156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本年收入合计</w:t>
            </w:r>
          </w:p>
        </w:tc>
        <w:tc>
          <w:tcPr>
            <w:tcW w:w="156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财政拨款收入</w:t>
            </w:r>
          </w:p>
        </w:tc>
        <w:tc>
          <w:tcPr>
            <w:tcW w:w="61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上级补助收入</w:t>
            </w:r>
          </w:p>
        </w:tc>
        <w:tc>
          <w:tcPr>
            <w:tcW w:w="95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事业收入</w:t>
            </w:r>
          </w:p>
        </w:tc>
        <w:tc>
          <w:tcPr>
            <w:tcW w:w="95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经营收入</w:t>
            </w:r>
          </w:p>
        </w:tc>
        <w:tc>
          <w:tcPr>
            <w:tcW w:w="79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附属单位上缴收入</w:t>
            </w:r>
          </w:p>
        </w:tc>
        <w:tc>
          <w:tcPr>
            <w:tcW w:w="72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其他收入</w:t>
            </w:r>
          </w:p>
        </w:tc>
      </w:tr>
      <w:tr>
        <w:tblPrEx>
          <w:tblCellMar>
            <w:top w:w="0" w:type="dxa"/>
            <w:left w:w="0" w:type="dxa"/>
            <w:bottom w:w="0" w:type="dxa"/>
            <w:right w:w="0" w:type="dxa"/>
          </w:tblCellMar>
        </w:tblPrEx>
        <w:trPr>
          <w:trHeight w:val="380" w:hRule="atLeast"/>
          <w:jc w:val="center"/>
        </w:trPr>
        <w:tc>
          <w:tcPr>
            <w:tcW w:w="1151"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56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156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6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95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95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79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7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r>
      <w:tr>
        <w:tblPrEx>
          <w:tblCellMar>
            <w:top w:w="0" w:type="dxa"/>
            <w:left w:w="0" w:type="dxa"/>
            <w:bottom w:w="0" w:type="dxa"/>
            <w:right w:w="0" w:type="dxa"/>
          </w:tblCellMar>
        </w:tblPrEx>
        <w:trPr>
          <w:trHeight w:val="380" w:hRule="atLeast"/>
          <w:jc w:val="center"/>
        </w:trPr>
        <w:tc>
          <w:tcPr>
            <w:tcW w:w="1151"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56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9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51"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56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9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5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6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9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9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7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7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color w:val="000000"/>
                <w:sz w:val="22"/>
                <w:lang w:val="en-US" w:eastAsia="zh-CN"/>
              </w:rPr>
            </w:pPr>
            <w:r>
              <w:rPr>
                <w:rFonts w:hint="eastAsia" w:ascii="宋体" w:hAnsi="宋体" w:eastAsia="宋体" w:cs="宋体"/>
                <w:b/>
                <w:bCs/>
                <w:i w:val="0"/>
                <w:iCs w:val="0"/>
                <w:color w:val="000000"/>
                <w:kern w:val="0"/>
                <w:sz w:val="22"/>
                <w:szCs w:val="22"/>
                <w:u w:val="none"/>
                <w:lang w:val="en-US" w:eastAsia="zh-CN" w:bidi="ar"/>
              </w:rPr>
              <w:t>54.61</w:t>
            </w:r>
          </w:p>
        </w:tc>
        <w:tc>
          <w:tcPr>
            <w:tcW w:w="1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bCs/>
                <w:i w:val="0"/>
                <w:iCs w:val="0"/>
                <w:color w:val="000000"/>
                <w:kern w:val="0"/>
                <w:sz w:val="22"/>
                <w:szCs w:val="22"/>
                <w:u w:val="none"/>
                <w:lang w:val="en-US" w:eastAsia="zh-CN" w:bidi="ar"/>
              </w:rPr>
              <w:t>54.61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w:t>
            </w:r>
          </w:p>
        </w:tc>
        <w:tc>
          <w:tcPr>
            <w:tcW w:w="2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一般公共服务支出</w:t>
            </w:r>
          </w:p>
        </w:tc>
        <w:tc>
          <w:tcPr>
            <w:tcW w:w="1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44.70</w:t>
            </w:r>
          </w:p>
        </w:tc>
        <w:tc>
          <w:tcPr>
            <w:tcW w:w="1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44.70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20129</w:t>
            </w:r>
          </w:p>
        </w:tc>
        <w:tc>
          <w:tcPr>
            <w:tcW w:w="2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群众团体事务</w:t>
            </w:r>
          </w:p>
        </w:tc>
        <w:tc>
          <w:tcPr>
            <w:tcW w:w="1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44.70</w:t>
            </w:r>
          </w:p>
        </w:tc>
        <w:tc>
          <w:tcPr>
            <w:tcW w:w="1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44.70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2012901</w:t>
            </w:r>
          </w:p>
        </w:tc>
        <w:tc>
          <w:tcPr>
            <w:tcW w:w="2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10.58</w:t>
            </w:r>
          </w:p>
        </w:tc>
        <w:tc>
          <w:tcPr>
            <w:tcW w:w="1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10.58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2012999</w:t>
            </w:r>
          </w:p>
        </w:tc>
        <w:tc>
          <w:tcPr>
            <w:tcW w:w="2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1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34.11</w:t>
            </w:r>
          </w:p>
        </w:tc>
        <w:tc>
          <w:tcPr>
            <w:tcW w:w="1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34.11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w:t>
            </w:r>
          </w:p>
        </w:tc>
        <w:tc>
          <w:tcPr>
            <w:tcW w:w="2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5.13</w:t>
            </w:r>
          </w:p>
        </w:tc>
        <w:tc>
          <w:tcPr>
            <w:tcW w:w="1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5.13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20805</w:t>
            </w:r>
          </w:p>
        </w:tc>
        <w:tc>
          <w:tcPr>
            <w:tcW w:w="2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5.13</w:t>
            </w:r>
          </w:p>
        </w:tc>
        <w:tc>
          <w:tcPr>
            <w:tcW w:w="1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2080505</w:t>
            </w:r>
          </w:p>
        </w:tc>
        <w:tc>
          <w:tcPr>
            <w:tcW w:w="2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5.13</w:t>
            </w:r>
          </w:p>
        </w:tc>
        <w:tc>
          <w:tcPr>
            <w:tcW w:w="1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w:t>
            </w:r>
          </w:p>
        </w:tc>
        <w:tc>
          <w:tcPr>
            <w:tcW w:w="2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卫生健康支出</w:t>
            </w:r>
          </w:p>
        </w:tc>
        <w:tc>
          <w:tcPr>
            <w:tcW w:w="1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2.07</w:t>
            </w:r>
          </w:p>
        </w:tc>
        <w:tc>
          <w:tcPr>
            <w:tcW w:w="1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w:t>
            </w:r>
          </w:p>
        </w:tc>
        <w:tc>
          <w:tcPr>
            <w:tcW w:w="2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行政事业单位医疗</w:t>
            </w:r>
          </w:p>
        </w:tc>
        <w:tc>
          <w:tcPr>
            <w:tcW w:w="1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2.07</w:t>
            </w:r>
          </w:p>
        </w:tc>
        <w:tc>
          <w:tcPr>
            <w:tcW w:w="1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2101101</w:t>
            </w:r>
          </w:p>
        </w:tc>
        <w:tc>
          <w:tcPr>
            <w:tcW w:w="2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2.07</w:t>
            </w:r>
          </w:p>
        </w:tc>
        <w:tc>
          <w:tcPr>
            <w:tcW w:w="1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w:t>
            </w:r>
          </w:p>
        </w:tc>
        <w:tc>
          <w:tcPr>
            <w:tcW w:w="2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住房保障支出</w:t>
            </w:r>
          </w:p>
        </w:tc>
        <w:tc>
          <w:tcPr>
            <w:tcW w:w="1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2.72</w:t>
            </w:r>
          </w:p>
        </w:tc>
        <w:tc>
          <w:tcPr>
            <w:tcW w:w="1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2.72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22102</w:t>
            </w:r>
          </w:p>
        </w:tc>
        <w:tc>
          <w:tcPr>
            <w:tcW w:w="2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住房改革支出</w:t>
            </w:r>
          </w:p>
        </w:tc>
        <w:tc>
          <w:tcPr>
            <w:tcW w:w="1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2.72</w:t>
            </w:r>
          </w:p>
        </w:tc>
        <w:tc>
          <w:tcPr>
            <w:tcW w:w="1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2.72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2210201</w:t>
            </w:r>
          </w:p>
        </w:tc>
        <w:tc>
          <w:tcPr>
            <w:tcW w:w="2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2.72</w:t>
            </w:r>
          </w:p>
        </w:tc>
        <w:tc>
          <w:tcPr>
            <w:tcW w:w="1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2.72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注：本表反映部门本年度取得的各项收入情况。</w:t>
            </w:r>
          </w:p>
        </w:tc>
      </w:tr>
    </w:tbl>
    <w:p>
      <w:pPr>
        <w:jc w:val="left"/>
      </w:pPr>
    </w:p>
    <w:p>
      <w:r>
        <w:br w:type="page"/>
      </w:r>
    </w:p>
    <w:tbl>
      <w:tblPr>
        <w:tblStyle w:val="5"/>
        <w:tblW w:w="9680" w:type="dxa"/>
        <w:jc w:val="center"/>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411"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公开03表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r>
              <w:rPr>
                <w:rFonts w:hint="eastAsia" w:ascii="宋体" w:hAnsi="宋体" w:eastAsia="宋体" w:cs="宋体"/>
                <w:color w:val="000000"/>
                <w:kern w:val="0"/>
                <w:sz w:val="18"/>
                <w:szCs w:val="18"/>
                <w:lang w:val="en-US" w:eastAsia="zh-CN" w:bidi="ar"/>
              </w:rPr>
              <w:t>中国共产主义青年团保定市满城区委员会</w:t>
            </w: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功能分类科目编码</w:t>
            </w:r>
          </w:p>
        </w:tc>
        <w:tc>
          <w:tcPr>
            <w:tcW w:w="135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科目名称</w:t>
            </w: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18"/>
                <w:szCs w:val="18"/>
              </w:rPr>
            </w:pPr>
            <w:r>
              <w:rPr>
                <w:rFonts w:hint="eastAsia" w:ascii="宋体" w:hAnsi="宋体" w:eastAsia="宋体" w:cs="宋体"/>
                <w:b/>
                <w:bCs/>
                <w:i w:val="0"/>
                <w:iCs w:val="0"/>
                <w:color w:val="000000"/>
                <w:kern w:val="0"/>
                <w:sz w:val="22"/>
                <w:szCs w:val="22"/>
                <w:u w:val="none"/>
                <w:lang w:val="en-US" w:eastAsia="zh-CN" w:bidi="ar"/>
              </w:rPr>
              <w:t>54.61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18"/>
                <w:szCs w:val="18"/>
              </w:rPr>
            </w:pPr>
            <w:r>
              <w:rPr>
                <w:rFonts w:hint="eastAsia" w:ascii="宋体" w:hAnsi="宋体" w:eastAsia="宋体" w:cs="宋体"/>
                <w:b/>
                <w:bCs/>
                <w:i w:val="0"/>
                <w:iCs w:val="0"/>
                <w:color w:val="000000"/>
                <w:kern w:val="0"/>
                <w:sz w:val="22"/>
                <w:szCs w:val="22"/>
                <w:u w:val="none"/>
                <w:lang w:val="en-US" w:eastAsia="zh-CN" w:bidi="ar"/>
              </w:rPr>
              <w:t>54.61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一般公共服务支出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44.70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44.70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20129</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群众团体事务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44.70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44.70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2012901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10.58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10.58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2012999</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34.11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34.11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208</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5.13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5.13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2080505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卫生健康支出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21011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行政事业单位医疗</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2101101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住房保障支出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22102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住房改革支出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2210201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注：本表反映部门本年度各项支出情况。</w:t>
            </w:r>
          </w:p>
        </w:tc>
      </w:tr>
    </w:tbl>
    <w:p>
      <w:r>
        <w:br w:type="page"/>
      </w:r>
    </w:p>
    <w:tbl>
      <w:tblPr>
        <w:tblStyle w:val="5"/>
        <w:tblW w:w="9990" w:type="dxa"/>
        <w:jc w:val="center"/>
        <w:tblLayout w:type="fixed"/>
        <w:tblCellMar>
          <w:top w:w="0" w:type="dxa"/>
          <w:left w:w="0" w:type="dxa"/>
          <w:bottom w:w="0" w:type="dxa"/>
          <w:right w:w="0" w:type="dxa"/>
        </w:tblCellMar>
      </w:tblPr>
      <w:tblGrid>
        <w:gridCol w:w="1174"/>
        <w:gridCol w:w="67"/>
        <w:gridCol w:w="67"/>
        <w:gridCol w:w="1695"/>
        <w:gridCol w:w="2329"/>
        <w:gridCol w:w="2329"/>
        <w:gridCol w:w="1859"/>
        <w:gridCol w:w="470"/>
      </w:tblGrid>
      <w:tr>
        <w:tblPrEx>
          <w:tblCellMar>
            <w:top w:w="0" w:type="dxa"/>
            <w:left w:w="0" w:type="dxa"/>
            <w:bottom w:w="0" w:type="dxa"/>
            <w:right w:w="0" w:type="dxa"/>
          </w:tblCellMar>
        </w:tblPrEx>
        <w:trPr>
          <w:gridAfter w:val="1"/>
          <w:wAfter w:w="470" w:type="dxa"/>
          <w:trHeight w:val="406" w:hRule="atLeast"/>
          <w:jc w:val="center"/>
        </w:trPr>
        <w:tc>
          <w:tcPr>
            <w:tcW w:w="9520"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黑体" w:hAnsi="宋体" w:eastAsia="黑体" w:cs="黑体"/>
                <w:color w:val="000000"/>
                <w:sz w:val="32"/>
                <w:szCs w:val="32"/>
              </w:rPr>
            </w:pPr>
            <w:r>
              <w:rPr>
                <w:rFonts w:hint="eastAsia" w:ascii="黑体" w:hAnsi="宋体" w:eastAsia="黑体" w:cs="黑体"/>
                <w:color w:val="000000"/>
                <w:kern w:val="0"/>
                <w:sz w:val="32"/>
                <w:szCs w:val="32"/>
                <w:lang w:bidi="ar"/>
              </w:rPr>
              <w:t>财政拨款收入支出决算总表</w:t>
            </w:r>
          </w:p>
        </w:tc>
      </w:tr>
      <w:tr>
        <w:tblPrEx>
          <w:tblCellMar>
            <w:top w:w="0" w:type="dxa"/>
            <w:left w:w="0" w:type="dxa"/>
            <w:bottom w:w="0" w:type="dxa"/>
            <w:right w:w="0" w:type="dxa"/>
          </w:tblCellMar>
        </w:tblPrEx>
        <w:trPr>
          <w:trHeight w:val="600" w:hRule="atLeast"/>
          <w:jc w:val="center"/>
        </w:trPr>
        <w:tc>
          <w:tcPr>
            <w:tcW w:w="9990" w:type="dxa"/>
            <w:gridSpan w:val="8"/>
            <w:tcBorders>
              <w:top w:val="nil"/>
              <w:left w:val="nil"/>
              <w:bottom w:val="nil"/>
              <w:right w:val="nil"/>
            </w:tcBorders>
            <w:shd w:val="clear" w:color="auto" w:fill="auto"/>
            <w:noWrap/>
            <w:tcMar>
              <w:top w:w="15" w:type="dxa"/>
              <w:left w:w="15" w:type="dxa"/>
              <w:right w:w="15" w:type="dxa"/>
            </w:tcMar>
            <w:vAlign w:val="center"/>
          </w:tcPr>
          <w:tbl>
            <w:tblPr>
              <w:tblStyle w:val="5"/>
              <w:tblW w:w="9736" w:type="dxa"/>
              <w:tblInd w:w="0" w:type="dxa"/>
              <w:tblLayout w:type="fixed"/>
              <w:tblCellMar>
                <w:top w:w="0" w:type="dxa"/>
                <w:left w:w="108" w:type="dxa"/>
                <w:bottom w:w="0" w:type="dxa"/>
                <w:right w:w="108" w:type="dxa"/>
              </w:tblCellMar>
            </w:tblPr>
            <w:tblGrid>
              <w:gridCol w:w="2498"/>
              <w:gridCol w:w="284"/>
              <w:gridCol w:w="748"/>
              <w:gridCol w:w="2456"/>
              <w:gridCol w:w="446"/>
              <w:gridCol w:w="648"/>
              <w:gridCol w:w="701"/>
              <w:gridCol w:w="850"/>
              <w:gridCol w:w="853"/>
              <w:gridCol w:w="252"/>
            </w:tblGrid>
            <w:tr>
              <w:tblPrEx>
                <w:tblCellMar>
                  <w:top w:w="0" w:type="dxa"/>
                  <w:left w:w="108" w:type="dxa"/>
                  <w:bottom w:w="0" w:type="dxa"/>
                  <w:right w:w="108" w:type="dxa"/>
                </w:tblCellMar>
              </w:tblPrEx>
              <w:trPr>
                <w:gridAfter w:val="1"/>
                <w:wAfter w:w="252" w:type="dxa"/>
                <w:trHeight w:val="90" w:hRule="atLeast"/>
              </w:trPr>
              <w:tc>
                <w:tcPr>
                  <w:tcW w:w="2498" w:type="dxa"/>
                  <w:tcBorders>
                    <w:top w:val="nil"/>
                    <w:left w:val="nil"/>
                    <w:bottom w:val="nil"/>
                    <w:right w:val="nil"/>
                  </w:tcBorders>
                  <w:shd w:val="clear" w:color="auto" w:fill="auto"/>
                  <w:vAlign w:val="bottom"/>
                </w:tcPr>
                <w:p>
                  <w:pPr>
                    <w:widowControl/>
                    <w:spacing w:line="240" w:lineRule="exact"/>
                    <w:jc w:val="left"/>
                    <w:rPr>
                      <w:rFonts w:ascii="宋体" w:hAnsi="宋体" w:eastAsia="宋体" w:cs="宋体"/>
                      <w:kern w:val="0"/>
                      <w:sz w:val="15"/>
                      <w:szCs w:val="15"/>
                    </w:rPr>
                  </w:pPr>
                </w:p>
              </w:tc>
              <w:tc>
                <w:tcPr>
                  <w:tcW w:w="284"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74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5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4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64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04" w:type="dxa"/>
                  <w:gridSpan w:val="3"/>
                  <w:tcBorders>
                    <w:top w:val="nil"/>
                    <w:left w:val="nil"/>
                    <w:bottom w:val="nil"/>
                    <w:right w:val="nil"/>
                  </w:tcBorders>
                  <w:shd w:val="clear" w:color="auto" w:fill="auto"/>
                  <w:vAlign w:val="bottom"/>
                </w:tcPr>
                <w:p>
                  <w:pPr>
                    <w:widowControl/>
                    <w:spacing w:line="240" w:lineRule="exact"/>
                    <w:ind w:right="300"/>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公开04表</w:t>
                  </w:r>
                </w:p>
              </w:tc>
            </w:tr>
            <w:tr>
              <w:tblPrEx>
                <w:tblCellMar>
                  <w:top w:w="0" w:type="dxa"/>
                  <w:left w:w="108" w:type="dxa"/>
                  <w:bottom w:w="0" w:type="dxa"/>
                  <w:right w:w="108" w:type="dxa"/>
                </w:tblCellMar>
              </w:tblPrEx>
              <w:trPr>
                <w:gridAfter w:val="1"/>
                <w:wAfter w:w="252" w:type="dxa"/>
                <w:trHeight w:val="90" w:hRule="atLeast"/>
              </w:trPr>
              <w:tc>
                <w:tcPr>
                  <w:tcW w:w="2498" w:type="dxa"/>
                  <w:tcBorders>
                    <w:top w:val="nil"/>
                    <w:left w:val="nil"/>
                    <w:bottom w:val="nil"/>
                    <w:right w:val="nil"/>
                  </w:tcBorders>
                  <w:shd w:val="clear" w:color="auto" w:fill="auto"/>
                  <w:vAlign w:val="bottom"/>
                </w:tcPr>
                <w:p>
                  <w:pPr>
                    <w:widowControl/>
                    <w:spacing w:line="240" w:lineRule="exact"/>
                    <w:jc w:val="left"/>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部门：</w:t>
                  </w:r>
                  <w:r>
                    <w:rPr>
                      <w:rFonts w:hint="eastAsia" w:ascii="宋体" w:hAnsi="宋体" w:eastAsia="宋体" w:cs="宋体"/>
                      <w:color w:val="000000"/>
                      <w:kern w:val="0"/>
                      <w:sz w:val="15"/>
                      <w:szCs w:val="15"/>
                      <w:lang w:val="en-US" w:eastAsia="zh-CN" w:bidi="ar"/>
                    </w:rPr>
                    <w:t>中国共产主义青年团保定市满城区委员会</w:t>
                  </w:r>
                </w:p>
              </w:tc>
              <w:tc>
                <w:tcPr>
                  <w:tcW w:w="284" w:type="dxa"/>
                  <w:tcBorders>
                    <w:top w:val="nil"/>
                    <w:left w:val="nil"/>
                    <w:bottom w:val="nil"/>
                    <w:right w:val="nil"/>
                  </w:tcBorders>
                  <w:shd w:val="clear" w:color="auto" w:fill="auto"/>
                  <w:vAlign w:val="bottom"/>
                </w:tcPr>
                <w:p>
                  <w:pPr>
                    <w:widowControl/>
                    <w:spacing w:line="240" w:lineRule="exact"/>
                    <w:jc w:val="left"/>
                    <w:rPr>
                      <w:rFonts w:hint="eastAsia" w:ascii="宋体" w:hAnsi="宋体" w:eastAsia="宋体" w:cs="Arial"/>
                      <w:color w:val="000000"/>
                      <w:kern w:val="0"/>
                      <w:sz w:val="15"/>
                      <w:szCs w:val="15"/>
                    </w:rPr>
                  </w:pPr>
                </w:p>
              </w:tc>
              <w:tc>
                <w:tcPr>
                  <w:tcW w:w="74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5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4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64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701"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1703" w:type="dxa"/>
                  <w:gridSpan w:val="2"/>
                  <w:tcBorders>
                    <w:top w:val="nil"/>
                    <w:left w:val="nil"/>
                    <w:bottom w:val="nil"/>
                    <w:right w:val="nil"/>
                  </w:tcBorders>
                  <w:shd w:val="clear" w:color="auto" w:fill="auto"/>
                  <w:vAlign w:val="bottom"/>
                </w:tcPr>
                <w:p>
                  <w:pPr>
                    <w:widowControl/>
                    <w:spacing w:line="24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gridAfter w:val="1"/>
                <w:wAfter w:w="252" w:type="dxa"/>
                <w:trHeight w:val="90" w:hRule="atLeast"/>
              </w:trPr>
              <w:tc>
                <w:tcPr>
                  <w:tcW w:w="3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黑体" w:hAnsi="黑体" w:eastAsia="黑体" w:cs="Arial"/>
                      <w:color w:val="000000"/>
                      <w:kern w:val="0"/>
                      <w:sz w:val="20"/>
                      <w:szCs w:val="20"/>
                    </w:rPr>
                  </w:pPr>
                  <w:r>
                    <w:rPr>
                      <w:rFonts w:hint="eastAsia" w:ascii="黑体" w:hAnsi="黑体" w:eastAsia="黑体" w:cs="Arial"/>
                      <w:color w:val="000000"/>
                      <w:kern w:val="0"/>
                      <w:sz w:val="20"/>
                      <w:szCs w:val="20"/>
                    </w:rPr>
                    <w:t>收     入</w:t>
                  </w:r>
                </w:p>
              </w:tc>
              <w:tc>
                <w:tcPr>
                  <w:tcW w:w="5954"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黑体" w:hAnsi="黑体" w:eastAsia="黑体" w:cs="Arial"/>
                      <w:color w:val="000000"/>
                      <w:kern w:val="0"/>
                      <w:sz w:val="20"/>
                      <w:szCs w:val="20"/>
                    </w:rPr>
                  </w:pPr>
                  <w:r>
                    <w:rPr>
                      <w:rFonts w:hint="eastAsia" w:ascii="黑体" w:hAnsi="黑体" w:eastAsia="黑体" w:cs="Arial"/>
                      <w:color w:val="000000"/>
                      <w:kern w:val="0"/>
                      <w:sz w:val="20"/>
                      <w:szCs w:val="20"/>
                    </w:rPr>
                    <w:t>支     出</w:t>
                  </w:r>
                </w:p>
              </w:tc>
            </w:tr>
            <w:tr>
              <w:tblPrEx>
                <w:tblCellMar>
                  <w:top w:w="0" w:type="dxa"/>
                  <w:left w:w="108" w:type="dxa"/>
                  <w:bottom w:w="0" w:type="dxa"/>
                  <w:right w:w="108" w:type="dxa"/>
                </w:tblCellMar>
              </w:tblPrEx>
              <w:trPr>
                <w:gridAfter w:val="1"/>
                <w:wAfter w:w="252" w:type="dxa"/>
                <w:trHeight w:val="312" w:hRule="atLeast"/>
              </w:trPr>
              <w:tc>
                <w:tcPr>
                  <w:tcW w:w="249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284"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748"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金额</w:t>
                  </w:r>
                </w:p>
              </w:tc>
              <w:tc>
                <w:tcPr>
                  <w:tcW w:w="2456"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46"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648"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合计</w:t>
                  </w:r>
                </w:p>
              </w:tc>
              <w:tc>
                <w:tcPr>
                  <w:tcW w:w="701"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一般公共预算财政拨款</w:t>
                  </w:r>
                </w:p>
              </w:tc>
              <w:tc>
                <w:tcPr>
                  <w:tcW w:w="850"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政府性基金预算财政拨款</w:t>
                  </w:r>
                </w:p>
              </w:tc>
              <w:tc>
                <w:tcPr>
                  <w:tcW w:w="853"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国有资本经营预算财政拨款</w:t>
                  </w:r>
                </w:p>
              </w:tc>
            </w:tr>
            <w:tr>
              <w:tblPrEx>
                <w:tblCellMar>
                  <w:top w:w="0" w:type="dxa"/>
                  <w:left w:w="108" w:type="dxa"/>
                  <w:bottom w:w="0" w:type="dxa"/>
                  <w:right w:w="108" w:type="dxa"/>
                </w:tblCellMar>
              </w:tblPrEx>
              <w:trPr>
                <w:trHeight w:val="90" w:hRule="atLeast"/>
              </w:trPr>
              <w:tc>
                <w:tcPr>
                  <w:tcW w:w="249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284"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748"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2456"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446"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648"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701"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850"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853"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252" w:type="dxa"/>
                  <w:tcBorders>
                    <w:top w:val="nil"/>
                    <w:left w:val="nil"/>
                    <w:bottom w:val="nil"/>
                    <w:right w:val="nil"/>
                  </w:tcBorders>
                  <w:shd w:val="clear" w:color="auto" w:fill="auto"/>
                  <w:noWrap/>
                  <w:vAlign w:val="bottom"/>
                </w:tcPr>
                <w:p>
                  <w:pPr>
                    <w:widowControl/>
                    <w:jc w:val="center"/>
                    <w:rPr>
                      <w:rFonts w:hint="eastAsia" w:ascii="宋体" w:hAnsi="宋体" w:eastAsia="宋体" w:cs="Arial"/>
                      <w:color w:val="000000"/>
                      <w:kern w:val="0"/>
                      <w:sz w:val="15"/>
                      <w:szCs w:val="15"/>
                    </w:rPr>
                  </w:pPr>
                </w:p>
              </w:tc>
            </w:tr>
            <w:tr>
              <w:tblPrEx>
                <w:tblCellMar>
                  <w:top w:w="0" w:type="dxa"/>
                  <w:left w:w="108" w:type="dxa"/>
                  <w:bottom w:w="0" w:type="dxa"/>
                  <w:right w:w="108" w:type="dxa"/>
                </w:tblCellMar>
              </w:tblPrEx>
              <w:trPr>
                <w:trHeight w:val="90" w:hRule="atLeast"/>
              </w:trPr>
              <w:tc>
                <w:tcPr>
                  <w:tcW w:w="24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2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4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一、一般公共预算财政拨款</w:t>
                  </w:r>
                </w:p>
              </w:tc>
              <w:tc>
                <w:tcPr>
                  <w:tcW w:w="2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54.61</w:t>
                  </w: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一、一般公共服务支出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33</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44.70</w:t>
                  </w: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44.70</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4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二、政府性基金预算财政拨款</w:t>
                  </w:r>
                </w:p>
              </w:tc>
              <w:tc>
                <w:tcPr>
                  <w:tcW w:w="2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二、外交支出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34</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4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三、国有资本经营财政拨款</w:t>
                  </w:r>
                </w:p>
              </w:tc>
              <w:tc>
                <w:tcPr>
                  <w:tcW w:w="2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三、国防支出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35</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4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四、公共安全支出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36</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4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五、教育支出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37</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4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六、科学技术支出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38</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4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7</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七、文化旅游体育与传媒支出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39</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4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8</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八、社会保障和就业支出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40</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5.13</w:t>
                  </w: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5.13</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4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9</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九、卫生健康支出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41</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2.07</w:t>
                  </w: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2.07</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340" w:hRule="atLeast"/>
              </w:trPr>
              <w:tc>
                <w:tcPr>
                  <w:tcW w:w="24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10</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十、节能环保支出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42</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4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11</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十一、城乡社区支出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43</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4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12</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十二、农林水支出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44</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4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13</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十三、交通运输支出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45</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4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14</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十四、资源勘探工业信息等支出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46</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4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15</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十五、商业服务业等支出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47</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4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16</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十六、金融支出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48</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4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17</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十七、援助其他地区支出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49</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4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18</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十八、自然资源海洋气象等支出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50</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4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19</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十九、住房保障支出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51</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2.72</w:t>
                  </w: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2.72</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4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20</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二十、粮油物资储备支出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52</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rPr>
                <w:trHeight w:val="90" w:hRule="atLeast"/>
              </w:trPr>
              <w:tc>
                <w:tcPr>
                  <w:tcW w:w="24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21</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二十一、国有资本经营预算支出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53</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4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22</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3"/>
                      <w:szCs w:val="13"/>
                    </w:rPr>
                    <w:t>二十二、灾害防治及应急管理支出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54</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4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23</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二十三、其他支出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55</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rPr>
                <w:trHeight w:val="90" w:hRule="atLeast"/>
              </w:trPr>
              <w:tc>
                <w:tcPr>
                  <w:tcW w:w="24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25</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二十五、债务付息支出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57</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4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26</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二十六、抗疫特别国债安排的支出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58</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4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本年收入合计</w:t>
                  </w:r>
                </w:p>
              </w:tc>
              <w:tc>
                <w:tcPr>
                  <w:tcW w:w="2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27</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54.61</w:t>
                  </w: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本年支出合计</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59</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54.61</w:t>
                  </w: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54.61</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4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年初财政拨款结转和结余</w:t>
                  </w:r>
                </w:p>
              </w:tc>
              <w:tc>
                <w:tcPr>
                  <w:tcW w:w="2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28</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年末财政拨款结转和结余</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60</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4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一般公共预算财政拨款</w:t>
                  </w:r>
                </w:p>
              </w:tc>
              <w:tc>
                <w:tcPr>
                  <w:tcW w:w="2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29</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宋体" w:hAnsi="宋体" w:eastAsia="宋体" w:cs="Arial"/>
                      <w:color w:val="000000"/>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61</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4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政府性基金预算财政拨款</w:t>
                  </w:r>
                </w:p>
              </w:tc>
              <w:tc>
                <w:tcPr>
                  <w:tcW w:w="2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30</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62</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4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国有资本经营预算财政拨款</w:t>
                  </w:r>
                </w:p>
              </w:tc>
              <w:tc>
                <w:tcPr>
                  <w:tcW w:w="2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31</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63</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4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总计</w:t>
                  </w:r>
                </w:p>
              </w:tc>
              <w:tc>
                <w:tcPr>
                  <w:tcW w:w="284"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32</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Times New Roman" w:hAnsi="Times New Roman" w:eastAsia="宋体" w:cs="Times New Roman"/>
                      <w:kern w:val="0"/>
                      <w:sz w:val="15"/>
                      <w:szCs w:val="15"/>
                      <w:lang w:val="en-US" w:eastAsia="zh-CN"/>
                    </w:rPr>
                    <w:t>54.61</w:t>
                  </w: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总计</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64</w:t>
                  </w:r>
                </w:p>
              </w:tc>
              <w:tc>
                <w:tcPr>
                  <w:tcW w:w="6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Times New Roman" w:hAnsi="Times New Roman" w:eastAsia="宋体" w:cs="Times New Roman"/>
                      <w:kern w:val="0"/>
                      <w:sz w:val="15"/>
                      <w:szCs w:val="15"/>
                      <w:lang w:val="en-US" w:eastAsia="zh-CN"/>
                    </w:rPr>
                    <w:t>54.61</w:t>
                  </w:r>
                </w:p>
              </w:tc>
              <w:tc>
                <w:tcPr>
                  <w:tcW w:w="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r>
                    <w:rPr>
                      <w:rFonts w:hint="eastAsia" w:ascii="Times New Roman" w:hAnsi="Times New Roman" w:eastAsia="宋体" w:cs="Times New Roman"/>
                      <w:kern w:val="0"/>
                      <w:sz w:val="15"/>
                      <w:szCs w:val="15"/>
                      <w:lang w:val="en-US" w:eastAsia="zh-CN"/>
                    </w:rPr>
                    <w:t>54.61</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9"/>
                  <w:tcBorders>
                    <w:top w:val="nil"/>
                    <w:left w:val="nil"/>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imes New Roman" w:hAnsi="Times New Roman" w:eastAsia="Times New Roman" w:cs="Times New Roman"/>
                      <w:kern w:val="0"/>
                      <w:sz w:val="15"/>
                      <w:szCs w:val="15"/>
                    </w:rPr>
                  </w:pPr>
                  <w:r>
                    <w:rPr>
                      <w:rFonts w:hint="eastAsia" w:ascii="宋体" w:hAnsi="宋体" w:eastAsia="宋体" w:cs="Arial"/>
                      <w:color w:val="000000"/>
                      <w:kern w:val="0"/>
                      <w:sz w:val="15"/>
                      <w:szCs w:val="15"/>
                    </w:rPr>
                    <w:t>注：本表反映部门本年度一般公共预算财政拨款、政府性基金预算财政拨款和国有资本经营预算财政拨款的总收支和年末结转结余情况。</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9"/>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bl>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一般公共预算财政拨款支出决算表</w:t>
            </w:r>
          </w:p>
        </w:tc>
      </w:tr>
      <w:tr>
        <w:tblPrEx>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6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公开05表</w:t>
            </w:r>
          </w:p>
        </w:tc>
      </w:tr>
      <w:tr>
        <w:tblPrEx>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r>
              <w:rPr>
                <w:rFonts w:hint="eastAsia" w:ascii="宋体" w:hAnsi="宋体" w:eastAsia="宋体" w:cs="宋体"/>
                <w:color w:val="000000"/>
                <w:kern w:val="0"/>
                <w:sz w:val="18"/>
                <w:szCs w:val="18"/>
                <w:lang w:val="en-US" w:eastAsia="zh-CN" w:bidi="ar"/>
              </w:rPr>
              <w:t>中国共产主义青年团保定市满城区委员会</w:t>
            </w: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6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08" w:hRule="atLeast"/>
          <w:jc w:val="center"/>
        </w:trPr>
        <w:tc>
          <w:tcPr>
            <w:tcW w:w="300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w:t>
            </w:r>
          </w:p>
        </w:tc>
        <w:tc>
          <w:tcPr>
            <w:tcW w:w="6987"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本年支出</w:t>
            </w:r>
          </w:p>
        </w:tc>
      </w:tr>
      <w:tr>
        <w:tblPrEx>
          <w:tblCellMar>
            <w:top w:w="0" w:type="dxa"/>
            <w:left w:w="0" w:type="dxa"/>
            <w:bottom w:w="0" w:type="dxa"/>
            <w:right w:w="0" w:type="dxa"/>
          </w:tblCellMar>
        </w:tblPrEx>
        <w:trPr>
          <w:trHeight w:val="312" w:hRule="atLeast"/>
          <w:jc w:val="center"/>
        </w:trPr>
        <w:tc>
          <w:tcPr>
            <w:tcW w:w="130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功能分类科目编码</w:t>
            </w:r>
          </w:p>
        </w:tc>
        <w:tc>
          <w:tcPr>
            <w:tcW w:w="169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科目名称</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小计</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基本支出</w:t>
            </w:r>
          </w:p>
        </w:tc>
        <w:tc>
          <w:tcPr>
            <w:tcW w:w="232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项目支出</w:t>
            </w: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r>
      <w:tr>
        <w:tblPrEx>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54.61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54.61</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一般公共服务支出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44.70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44.70</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20129</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群众团体事务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44.70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44.70</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2012901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10.58</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10.58</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2012999</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34.11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34.11</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208</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5.13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5.13</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20805</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5.13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5.13</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2080505</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5.13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5.13</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210</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卫生健康支出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2.07</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2.07</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21011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行政事业单位医疗</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2.07</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2.07</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2101101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2.07</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2.07</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221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住房保障支出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2.72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2.72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22102</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住房改革支出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2.72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2.72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2210201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2.72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2.72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bl>
    <w:p>
      <w:r>
        <w:br w:type="page"/>
      </w:r>
    </w:p>
    <w:p>
      <w:pPr>
        <w:widowControl/>
        <w:jc w:val="center"/>
        <w:textAlignment w:val="center"/>
        <w:rPr>
          <w:rFonts w:ascii="黑体" w:hAnsi="宋体" w:eastAsia="黑体" w:cs="黑体"/>
          <w:color w:val="000000"/>
          <w:kern w:val="0"/>
          <w:sz w:val="28"/>
          <w:szCs w:val="28"/>
          <w:lang w:bidi="ar"/>
        </w:rPr>
        <w:sectPr>
          <w:pgSz w:w="11906" w:h="16838"/>
          <w:pgMar w:top="2098" w:right="1531" w:bottom="1984" w:left="1531" w:header="851" w:footer="992" w:gutter="0"/>
          <w:cols w:space="425" w:num="1"/>
          <w:docGrid w:type="lines" w:linePitch="312" w:charSpace="0"/>
        </w:sectPr>
      </w:pPr>
    </w:p>
    <w:tbl>
      <w:tblPr>
        <w:tblStyle w:val="5"/>
        <w:tblW w:w="14076" w:type="dxa"/>
        <w:jc w:val="center"/>
        <w:tblLayout w:type="fixed"/>
        <w:tblCellMar>
          <w:top w:w="0" w:type="dxa"/>
          <w:left w:w="0" w:type="dxa"/>
          <w:bottom w:w="0" w:type="dxa"/>
          <w:right w:w="0" w:type="dxa"/>
        </w:tblCellMar>
      </w:tblPr>
      <w:tblGrid>
        <w:gridCol w:w="1251"/>
        <w:gridCol w:w="2777"/>
        <w:gridCol w:w="1017"/>
        <w:gridCol w:w="913"/>
        <w:gridCol w:w="2463"/>
        <w:gridCol w:w="966"/>
        <w:gridCol w:w="861"/>
        <w:gridCol w:w="3028"/>
        <w:gridCol w:w="800"/>
      </w:tblGrid>
      <w:tr>
        <w:tblPrEx>
          <w:tblCellMar>
            <w:top w:w="0" w:type="dxa"/>
            <w:left w:w="0" w:type="dxa"/>
            <w:bottom w:w="0" w:type="dxa"/>
            <w:right w:w="0" w:type="dxa"/>
          </w:tblCellMar>
        </w:tblPrEx>
        <w:trPr>
          <w:trHeight w:val="404" w:hRule="atLeast"/>
          <w:jc w:val="center"/>
        </w:trPr>
        <w:tc>
          <w:tcPr>
            <w:tcW w:w="14076" w:type="dxa"/>
            <w:gridSpan w:val="9"/>
            <w:tcBorders>
              <w:top w:val="nil"/>
              <w:left w:val="nil"/>
              <w:bottom w:val="nil"/>
              <w:right w:val="nil"/>
            </w:tcBorders>
            <w:shd w:val="clear" w:color="auto" w:fill="auto"/>
            <w:tcMar>
              <w:top w:w="15" w:type="dxa"/>
              <w:left w:w="15" w:type="dxa"/>
              <w:right w:w="15" w:type="dxa"/>
            </w:tcMar>
            <w:vAlign w:val="center"/>
          </w:tcPr>
          <w:p>
            <w:pPr>
              <w:widowControl/>
              <w:spacing w:line="42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28"/>
                <w:szCs w:val="28"/>
                <w:lang w:bidi="ar"/>
              </w:rPr>
              <w:t>一般公共预算财政拨款基本支出决算表</w:t>
            </w:r>
          </w:p>
        </w:tc>
      </w:tr>
      <w:tr>
        <w:tblPrEx>
          <w:tblCellMar>
            <w:top w:w="0" w:type="dxa"/>
            <w:left w:w="0" w:type="dxa"/>
            <w:bottom w:w="0" w:type="dxa"/>
            <w:right w:w="0" w:type="dxa"/>
          </w:tblCellMar>
        </w:tblPrEx>
        <w:trPr>
          <w:trHeight w:val="66"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7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0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公开06表</w:t>
            </w:r>
          </w:p>
        </w:tc>
      </w:tr>
      <w:tr>
        <w:tblPrEx>
          <w:tblCellMar>
            <w:top w:w="0" w:type="dxa"/>
            <w:left w:w="0" w:type="dxa"/>
            <w:bottom w:w="0" w:type="dxa"/>
            <w:right w:w="0" w:type="dxa"/>
          </w:tblCellMar>
        </w:tblPrEx>
        <w:trPr>
          <w:trHeight w:val="61"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部门：</w:t>
            </w:r>
          </w:p>
        </w:tc>
        <w:tc>
          <w:tcPr>
            <w:tcW w:w="27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r>
              <w:rPr>
                <w:rFonts w:hint="eastAsia" w:ascii="宋体" w:hAnsi="宋体" w:eastAsia="宋体" w:cs="宋体"/>
                <w:color w:val="000000"/>
                <w:kern w:val="0"/>
                <w:sz w:val="15"/>
                <w:szCs w:val="15"/>
                <w:lang w:val="en-US" w:eastAsia="zh-CN" w:bidi="ar"/>
              </w:rPr>
              <w:t>中国共产主义青年团保定市满城区委员会</w:t>
            </w:r>
          </w:p>
        </w:tc>
        <w:tc>
          <w:tcPr>
            <w:tcW w:w="10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金额单位：万元</w:t>
            </w:r>
          </w:p>
        </w:tc>
      </w:tr>
      <w:tr>
        <w:tblPrEx>
          <w:tblCellMar>
            <w:top w:w="0" w:type="dxa"/>
            <w:left w:w="0" w:type="dxa"/>
            <w:bottom w:w="0" w:type="dxa"/>
            <w:right w:w="0" w:type="dxa"/>
          </w:tblCellMar>
        </w:tblPrEx>
        <w:trPr>
          <w:trHeight w:val="242" w:hRule="atLeast"/>
          <w:jc w:val="center"/>
        </w:trPr>
        <w:tc>
          <w:tcPr>
            <w:tcW w:w="50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人员经费</w:t>
            </w:r>
          </w:p>
        </w:tc>
        <w:tc>
          <w:tcPr>
            <w:tcW w:w="9031"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公用经费</w:t>
            </w:r>
          </w:p>
        </w:tc>
      </w:tr>
      <w:tr>
        <w:tblPrEx>
          <w:tblCellMar>
            <w:top w:w="0" w:type="dxa"/>
            <w:left w:w="0" w:type="dxa"/>
            <w:bottom w:w="0" w:type="dxa"/>
            <w:right w:w="0" w:type="dxa"/>
          </w:tblCellMar>
        </w:tblPrEx>
        <w:trPr>
          <w:trHeight w:val="240" w:hRule="atLeast"/>
          <w:jc w:val="center"/>
        </w:trPr>
        <w:tc>
          <w:tcPr>
            <w:tcW w:w="125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27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101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c>
          <w:tcPr>
            <w:tcW w:w="91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24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96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c>
          <w:tcPr>
            <w:tcW w:w="86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302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8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r>
      <w:tr>
        <w:tblPrEx>
          <w:tblCellMar>
            <w:top w:w="0" w:type="dxa"/>
            <w:left w:w="0" w:type="dxa"/>
            <w:bottom w:w="0" w:type="dxa"/>
            <w:right w:w="0" w:type="dxa"/>
          </w:tblCellMar>
        </w:tblPrEx>
        <w:trPr>
          <w:trHeight w:val="337" w:hRule="atLeast"/>
          <w:jc w:val="center"/>
        </w:trPr>
        <w:tc>
          <w:tcPr>
            <w:tcW w:w="125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7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0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1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6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6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302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w:t>
            </w:r>
          </w:p>
        </w:tc>
        <w:tc>
          <w:tcPr>
            <w:tcW w:w="27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工资福利支出</w:t>
            </w:r>
          </w:p>
        </w:tc>
        <w:tc>
          <w:tcPr>
            <w:tcW w:w="10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48.95</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5.66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债务利息及费用支出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30101</w:t>
            </w:r>
          </w:p>
        </w:tc>
        <w:tc>
          <w:tcPr>
            <w:tcW w:w="27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基本工资</w:t>
            </w:r>
          </w:p>
        </w:tc>
        <w:tc>
          <w:tcPr>
            <w:tcW w:w="10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30.94</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办公费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2.70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国内债务付息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30102</w:t>
            </w:r>
          </w:p>
        </w:tc>
        <w:tc>
          <w:tcPr>
            <w:tcW w:w="27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津贴补贴</w:t>
            </w:r>
          </w:p>
        </w:tc>
        <w:tc>
          <w:tcPr>
            <w:tcW w:w="10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6.77</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印刷费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0.90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国外债务付息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30103</w:t>
            </w:r>
          </w:p>
        </w:tc>
        <w:tc>
          <w:tcPr>
            <w:tcW w:w="27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奖金</w:t>
            </w:r>
          </w:p>
        </w:tc>
        <w:tc>
          <w:tcPr>
            <w:tcW w:w="10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1.33</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咨询费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30106</w:t>
            </w:r>
          </w:p>
        </w:tc>
        <w:tc>
          <w:tcPr>
            <w:tcW w:w="27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伙食补助费</w:t>
            </w:r>
          </w:p>
        </w:tc>
        <w:tc>
          <w:tcPr>
            <w:tcW w:w="10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手续费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房屋建筑物购建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30107</w:t>
            </w:r>
          </w:p>
        </w:tc>
        <w:tc>
          <w:tcPr>
            <w:tcW w:w="27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绩效工资</w:t>
            </w:r>
          </w:p>
        </w:tc>
        <w:tc>
          <w:tcPr>
            <w:tcW w:w="10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水费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办公设备购置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30108</w:t>
            </w:r>
          </w:p>
        </w:tc>
        <w:tc>
          <w:tcPr>
            <w:tcW w:w="27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机关事业单位基本养老保险缴费</w:t>
            </w:r>
          </w:p>
        </w:tc>
        <w:tc>
          <w:tcPr>
            <w:tcW w:w="10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5.13</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30109</w:t>
            </w:r>
          </w:p>
        </w:tc>
        <w:tc>
          <w:tcPr>
            <w:tcW w:w="27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职业年金缴费</w:t>
            </w:r>
          </w:p>
        </w:tc>
        <w:tc>
          <w:tcPr>
            <w:tcW w:w="10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邮电费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0.36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31005</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基础设施建设</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30110</w:t>
            </w:r>
          </w:p>
        </w:tc>
        <w:tc>
          <w:tcPr>
            <w:tcW w:w="27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职工基本医疗保险缴费</w:t>
            </w:r>
          </w:p>
        </w:tc>
        <w:tc>
          <w:tcPr>
            <w:tcW w:w="10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2.07</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取暖费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大型修缮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30111</w:t>
            </w:r>
          </w:p>
        </w:tc>
        <w:tc>
          <w:tcPr>
            <w:tcW w:w="27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公务员医疗补助缴费</w:t>
            </w:r>
          </w:p>
        </w:tc>
        <w:tc>
          <w:tcPr>
            <w:tcW w:w="10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物业管理费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信息网络及软件购置更新</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30112</w:t>
            </w:r>
          </w:p>
        </w:tc>
        <w:tc>
          <w:tcPr>
            <w:tcW w:w="27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其他社会保障缴费</w:t>
            </w:r>
          </w:p>
        </w:tc>
        <w:tc>
          <w:tcPr>
            <w:tcW w:w="10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差旅费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物资储备</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30113</w:t>
            </w:r>
          </w:p>
        </w:tc>
        <w:tc>
          <w:tcPr>
            <w:tcW w:w="27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住房公积金</w:t>
            </w:r>
          </w:p>
        </w:tc>
        <w:tc>
          <w:tcPr>
            <w:tcW w:w="10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2.72</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因公出国（境）费用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土地补偿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30114</w:t>
            </w:r>
          </w:p>
        </w:tc>
        <w:tc>
          <w:tcPr>
            <w:tcW w:w="27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医疗费</w:t>
            </w:r>
          </w:p>
        </w:tc>
        <w:tc>
          <w:tcPr>
            <w:tcW w:w="10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维修（护）费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安置补助</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30199</w:t>
            </w:r>
          </w:p>
        </w:tc>
        <w:tc>
          <w:tcPr>
            <w:tcW w:w="27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其他工资福利支出</w:t>
            </w:r>
          </w:p>
        </w:tc>
        <w:tc>
          <w:tcPr>
            <w:tcW w:w="10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租赁费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地上附着物和青苗补偿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w:t>
            </w:r>
          </w:p>
        </w:tc>
        <w:tc>
          <w:tcPr>
            <w:tcW w:w="27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对个人和家庭的补助</w:t>
            </w:r>
          </w:p>
        </w:tc>
        <w:tc>
          <w:tcPr>
            <w:tcW w:w="10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会议费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拆迁补偿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30301</w:t>
            </w:r>
          </w:p>
        </w:tc>
        <w:tc>
          <w:tcPr>
            <w:tcW w:w="27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离休费</w:t>
            </w:r>
          </w:p>
        </w:tc>
        <w:tc>
          <w:tcPr>
            <w:tcW w:w="10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培训费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公务用车购置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30302</w:t>
            </w:r>
          </w:p>
        </w:tc>
        <w:tc>
          <w:tcPr>
            <w:tcW w:w="27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退休费</w:t>
            </w:r>
          </w:p>
        </w:tc>
        <w:tc>
          <w:tcPr>
            <w:tcW w:w="10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公务接待费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其他交通工具购置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30303</w:t>
            </w:r>
          </w:p>
        </w:tc>
        <w:tc>
          <w:tcPr>
            <w:tcW w:w="27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退职（役）费</w:t>
            </w:r>
          </w:p>
        </w:tc>
        <w:tc>
          <w:tcPr>
            <w:tcW w:w="10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专用材料费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31021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文物和陈列品购置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30304</w:t>
            </w:r>
          </w:p>
        </w:tc>
        <w:tc>
          <w:tcPr>
            <w:tcW w:w="27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抚恤金</w:t>
            </w:r>
          </w:p>
        </w:tc>
        <w:tc>
          <w:tcPr>
            <w:tcW w:w="10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被装购置费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31022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无形资产购置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30305</w:t>
            </w:r>
          </w:p>
        </w:tc>
        <w:tc>
          <w:tcPr>
            <w:tcW w:w="27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生活补助</w:t>
            </w:r>
          </w:p>
        </w:tc>
        <w:tc>
          <w:tcPr>
            <w:tcW w:w="10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专用燃料费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30306</w:t>
            </w:r>
          </w:p>
        </w:tc>
        <w:tc>
          <w:tcPr>
            <w:tcW w:w="27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救济费</w:t>
            </w:r>
          </w:p>
        </w:tc>
        <w:tc>
          <w:tcPr>
            <w:tcW w:w="10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劳务费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30307</w:t>
            </w:r>
          </w:p>
        </w:tc>
        <w:tc>
          <w:tcPr>
            <w:tcW w:w="27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医疗费补助</w:t>
            </w:r>
          </w:p>
        </w:tc>
        <w:tc>
          <w:tcPr>
            <w:tcW w:w="10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委托业务费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赠与</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30308</w:t>
            </w:r>
          </w:p>
        </w:tc>
        <w:tc>
          <w:tcPr>
            <w:tcW w:w="27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助学金</w:t>
            </w:r>
          </w:p>
        </w:tc>
        <w:tc>
          <w:tcPr>
            <w:tcW w:w="10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工会经费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国家赔偿费用支出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30309</w:t>
            </w:r>
          </w:p>
        </w:tc>
        <w:tc>
          <w:tcPr>
            <w:tcW w:w="27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奖励金</w:t>
            </w:r>
          </w:p>
        </w:tc>
        <w:tc>
          <w:tcPr>
            <w:tcW w:w="10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16"/>
                <w:szCs w:val="16"/>
                <w:lang w:val="en-US" w:eastAsia="zh-CN"/>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福利费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w:t>
            </w:r>
            <w:r>
              <w:rPr>
                <w:rFonts w:hint="eastAsia" w:ascii="宋体" w:hAnsi="宋体" w:eastAsia="宋体" w:cs="宋体"/>
                <w:color w:val="000000"/>
                <w:kern w:val="0"/>
                <w:sz w:val="15"/>
                <w:szCs w:val="15"/>
                <w:lang w:bidi="ar"/>
              </w:rPr>
              <w:t>对民间非营利组织和群众性自治组织补贴</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30310</w:t>
            </w:r>
          </w:p>
        </w:tc>
        <w:tc>
          <w:tcPr>
            <w:tcW w:w="27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个人农业生产补贴</w:t>
            </w:r>
          </w:p>
        </w:tc>
        <w:tc>
          <w:tcPr>
            <w:tcW w:w="10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30231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公务用车运行维护费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1.70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30399</w:t>
            </w:r>
          </w:p>
        </w:tc>
        <w:tc>
          <w:tcPr>
            <w:tcW w:w="27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其他对个人和家庭的补助</w:t>
            </w:r>
          </w:p>
        </w:tc>
        <w:tc>
          <w:tcPr>
            <w:tcW w:w="10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30239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其他交通费用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7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0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30240</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税金及附加费用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7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0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30299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40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人员经费合计</w:t>
            </w:r>
          </w:p>
        </w:tc>
        <w:tc>
          <w:tcPr>
            <w:tcW w:w="10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48.95</w:t>
            </w:r>
          </w:p>
        </w:tc>
        <w:tc>
          <w:tcPr>
            <w:tcW w:w="823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公用经费合计</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5.66</w:t>
            </w:r>
          </w:p>
        </w:tc>
      </w:tr>
    </w:tbl>
    <w:p>
      <w:pPr>
        <w:widowControl/>
        <w:jc w:val="center"/>
        <w:textAlignment w:val="center"/>
        <w:sectPr>
          <w:pgSz w:w="16838" w:h="11906" w:orient="landscape"/>
          <w:pgMar w:top="1531" w:right="2098" w:bottom="1531" w:left="1984" w:header="851" w:footer="992" w:gutter="0"/>
          <w:cols w:space="425" w:num="1"/>
          <w:docGrid w:type="lines" w:linePitch="312" w:charSpace="0"/>
        </w:sectPr>
      </w:pPr>
    </w:p>
    <w:tbl>
      <w:tblPr>
        <w:tblStyle w:val="5"/>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sz w:val="28"/>
                <w:szCs w:val="28"/>
              </w:rPr>
              <w:br w:type="page"/>
            </w:r>
            <w:r>
              <w:rPr>
                <w:rFonts w:hint="eastAsia" w:ascii="黑体" w:hAnsi="宋体" w:eastAsia="黑体" w:cs="黑体"/>
                <w:color w:val="000000"/>
                <w:kern w:val="0"/>
                <w:sz w:val="28"/>
                <w:szCs w:val="28"/>
                <w:lang w:bidi="ar"/>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公开07表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r>
              <w:rPr>
                <w:rFonts w:hint="eastAsia" w:ascii="宋体" w:hAnsi="宋体" w:eastAsia="宋体" w:cs="宋体"/>
                <w:color w:val="000000"/>
                <w:kern w:val="0"/>
                <w:sz w:val="18"/>
                <w:szCs w:val="18"/>
                <w:lang w:val="en-US" w:eastAsia="zh-CN" w:bidi="ar"/>
              </w:rPr>
              <w:t>中国共产主义青年团保定市满城区委员会</w:t>
            </w: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 w:val="20"/>
                <w:szCs w:val="21"/>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2.66</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2.50</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2.50</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0.16</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1.70</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1.70</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1.70</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r>
        <w:rPr>
          <w:rFonts w:hint="eastAsia" w:ascii="宋体" w:hAnsi="宋体" w:eastAsia="宋体" w:cs="宋体"/>
          <w:sz w:val="20"/>
          <w:szCs w:val="22"/>
        </w:rPr>
        <w:t>注：本表反映部门本年度“三公”经费支出预决算情况。其中：预算数为“三公”经费</w:t>
      </w:r>
      <w:r>
        <w:rPr>
          <w:rFonts w:hint="eastAsia" w:ascii="宋体" w:hAnsi="宋体" w:eastAsia="宋体" w:cs="宋体"/>
          <w:b/>
          <w:sz w:val="20"/>
          <w:szCs w:val="22"/>
        </w:rPr>
        <w:t>全年预算数</w:t>
      </w:r>
      <w:r>
        <w:rPr>
          <w:rFonts w:hint="eastAsia" w:ascii="宋体" w:hAnsi="宋体" w:eastAsia="宋体" w:cs="宋体"/>
          <w:sz w:val="20"/>
          <w:szCs w:val="22"/>
        </w:rPr>
        <w:t>，反映按规定程序调整后的预算数；决算数是包括当年一般公共预算财政拨款和以前年度结转资金安排的实际支出。</w:t>
      </w:r>
      <w:r>
        <w:rPr>
          <w:rFonts w:hint="eastAsia" w:ascii="仿宋_GB2312" w:hAnsi="仿宋_GB2312" w:eastAsia="仿宋_GB2312" w:cs="仿宋_GB2312"/>
          <w:sz w:val="20"/>
          <w:szCs w:val="22"/>
        </w:rPr>
        <w:tab/>
      </w:r>
      <w:r>
        <w:rPr>
          <w:sz w:val="20"/>
          <w:szCs w:val="22"/>
        </w:rPr>
        <w:tab/>
      </w:r>
      <w:r>
        <w:tab/>
      </w:r>
      <w:r>
        <w:tab/>
      </w:r>
      <w:r>
        <w:tab/>
      </w:r>
      <w:r>
        <w:tab/>
      </w:r>
      <w:r>
        <w:tab/>
      </w:r>
      <w:r>
        <w:tab/>
      </w:r>
      <w:r>
        <w:tab/>
      </w:r>
      <w:r>
        <w:tab/>
      </w:r>
      <w:r>
        <w:tab/>
      </w:r>
      <w:r>
        <w:br w:type="page"/>
      </w:r>
    </w:p>
    <w:tbl>
      <w:tblPr>
        <w:tblStyle w:val="5"/>
        <w:tblW w:w="9510" w:type="dxa"/>
        <w:jc w:val="center"/>
        <w:tblLayout w:type="autofit"/>
        <w:tblCellMar>
          <w:top w:w="0" w:type="dxa"/>
          <w:left w:w="0" w:type="dxa"/>
          <w:bottom w:w="0" w:type="dxa"/>
          <w:right w:w="0" w:type="dxa"/>
        </w:tblCellMar>
      </w:tblPr>
      <w:tblGrid>
        <w:gridCol w:w="570"/>
        <w:gridCol w:w="36"/>
        <w:gridCol w:w="36"/>
        <w:gridCol w:w="3270"/>
        <w:gridCol w:w="933"/>
        <w:gridCol w:w="933"/>
        <w:gridCol w:w="933"/>
        <w:gridCol w:w="933"/>
        <w:gridCol w:w="933"/>
        <w:gridCol w:w="933"/>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公开08表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r>
              <w:rPr>
                <w:rFonts w:hint="eastAsia" w:ascii="宋体" w:hAnsi="宋体" w:eastAsia="宋体" w:cs="宋体"/>
                <w:color w:val="000000"/>
                <w:kern w:val="0"/>
                <w:sz w:val="18"/>
                <w:szCs w:val="18"/>
                <w:lang w:val="en-US" w:eastAsia="zh-CN" w:bidi="ar"/>
              </w:rPr>
              <w:t>中国共产主义青年团保定市满城区委员会</w:t>
            </w: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年末结转和结余</w:t>
            </w:r>
          </w:p>
        </w:tc>
      </w:tr>
      <w:tr>
        <w:tblPrEx>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pPr>
        <w:rPr>
          <w:rFonts w:hint="eastAsia" w:ascii="宋体" w:hAnsi="宋体" w:eastAsia="宋体" w:cs="宋体"/>
          <w:sz w:val="20"/>
          <w:szCs w:val="22"/>
        </w:rPr>
      </w:pPr>
      <w:r>
        <w:rPr>
          <w:rFonts w:hint="eastAsia" w:ascii="宋体" w:hAnsi="宋体" w:eastAsia="宋体" w:cs="宋体"/>
          <w:sz w:val="20"/>
          <w:szCs w:val="22"/>
        </w:rPr>
        <w:t>注：本表反映部门本年度政府性基金预算财政拨款收入、支出及结转结余情况。</w:t>
      </w:r>
    </w:p>
    <w:p>
      <w:pPr>
        <w:rPr>
          <w:rFonts w:hint="eastAsia" w:ascii="宋体" w:hAnsi="宋体" w:eastAsia="宋体" w:cs="宋体"/>
        </w:rPr>
      </w:pPr>
      <w:r>
        <w:rPr>
          <w:rFonts w:hint="eastAsia"/>
          <w:b w:val="0"/>
          <w:bCs/>
          <w:color w:val="auto"/>
          <w:sz w:val="20"/>
          <w:szCs w:val="22"/>
          <w:highlight w:val="none"/>
        </w:rPr>
        <w:t>本部门本年度无相关收入（或支出、收支及结转结余等）情况，按要求空表列示。</w:t>
      </w:r>
    </w:p>
    <w:p>
      <w:pPr>
        <w:rPr>
          <w:rFonts w:hint="eastAsia" w:ascii="宋体" w:hAnsi="宋体" w:eastAsia="宋体" w:cs="宋体"/>
          <w:sz w:val="20"/>
          <w:szCs w:val="22"/>
        </w:rPr>
      </w:pPr>
    </w:p>
    <w:tbl>
      <w:tblPr>
        <w:tblStyle w:val="5"/>
        <w:tblW w:w="9064" w:type="dxa"/>
        <w:tblInd w:w="0" w:type="dxa"/>
        <w:tblLayout w:type="autofit"/>
        <w:tblCellMar>
          <w:top w:w="0" w:type="dxa"/>
          <w:left w:w="0" w:type="dxa"/>
          <w:bottom w:w="0" w:type="dxa"/>
          <w:right w:w="0" w:type="dxa"/>
        </w:tblCellMar>
      </w:tblPr>
      <w:tblGrid>
        <w:gridCol w:w="630"/>
        <w:gridCol w:w="661"/>
        <w:gridCol w:w="177"/>
        <w:gridCol w:w="2780"/>
        <w:gridCol w:w="1138"/>
        <w:gridCol w:w="296"/>
        <w:gridCol w:w="1421"/>
        <w:gridCol w:w="1417"/>
        <w:gridCol w:w="544"/>
      </w:tblGrid>
      <w:tr>
        <w:tblPrEx>
          <w:tblCellMar>
            <w:top w:w="0" w:type="dxa"/>
            <w:left w:w="0" w:type="dxa"/>
            <w:bottom w:w="0" w:type="dxa"/>
            <w:right w:w="0" w:type="dxa"/>
          </w:tblCellMar>
        </w:tblPrEx>
        <w:trPr>
          <w:gridAfter w:val="1"/>
          <w:wAfter w:w="544" w:type="dxa"/>
          <w:trHeight w:val="824" w:hRule="atLeast"/>
        </w:trPr>
        <w:tc>
          <w:tcPr>
            <w:tcW w:w="8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国有资本经营预算财政拨款支出决算表</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4"/>
            <w:vMerge w:val="restart"/>
            <w:tcBorders>
              <w:top w:val="nil"/>
              <w:left w:val="nil"/>
              <w:right w:val="nil"/>
            </w:tcBorders>
            <w:shd w:val="clear" w:color="auto" w:fill="auto"/>
            <w:noWrap/>
            <w:tcMar>
              <w:top w:w="15" w:type="dxa"/>
              <w:left w:w="15" w:type="dxa"/>
              <w:right w:w="15" w:type="dxa"/>
            </w:tcMar>
            <w:vAlign w:val="bottom"/>
          </w:tcPr>
          <w:p>
            <w:pPr>
              <w:widowControl/>
              <w:ind w:firstLine="1800" w:firstLineChars="900"/>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p>
            <w:pPr>
              <w:ind w:right="400" w:firstLine="1300" w:firstLineChars="650"/>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18"/>
                <w:szCs w:val="18"/>
                <w:lang w:val="en-US" w:eastAsia="zh-CN" w:bidi="ar"/>
              </w:rPr>
              <w:t>中国共产主义青年团保定市满城区委员会</w:t>
            </w:r>
          </w:p>
        </w:tc>
        <w:tc>
          <w:tcPr>
            <w:tcW w:w="3678" w:type="dxa"/>
            <w:gridSpan w:val="4"/>
            <w:vMerge w:val="continue"/>
            <w:tcBorders>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w:t>
            </w:r>
          </w:p>
        </w:tc>
        <w:tc>
          <w:tcPr>
            <w:tcW w:w="4272" w:type="dxa"/>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本年支出</w:t>
            </w:r>
          </w:p>
        </w:tc>
      </w:tr>
      <w:tr>
        <w:tblPrEx>
          <w:tblCellMar>
            <w:top w:w="0" w:type="dxa"/>
            <w:left w:w="0" w:type="dxa"/>
            <w:bottom w:w="0" w:type="dxa"/>
            <w:right w:w="0" w:type="dxa"/>
          </w:tblCellMar>
        </w:tblPrEx>
        <w:trPr>
          <w:gridAfter w:val="1"/>
          <w:wAfter w:w="544" w:type="dxa"/>
          <w:trHeight w:val="604" w:hRule="atLeast"/>
        </w:trPr>
        <w:tc>
          <w:tcPr>
            <w:tcW w:w="129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2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基本支出</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项目支出</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rFonts w:hint="eastAsia" w:ascii="宋体" w:hAnsi="宋体" w:eastAsia="宋体" w:cs="宋体"/>
        </w:rPr>
      </w:pPr>
      <w:r>
        <w:rPr>
          <w:rFonts w:hint="eastAsia" w:ascii="宋体" w:hAnsi="宋体" w:eastAsia="宋体" w:cs="宋体"/>
        </w:rPr>
        <w:t>注：本表反映部门本年度国有资本经营预算财政拨款收入、支出及结转结余情况。</w:t>
      </w:r>
    </w:p>
    <w:p>
      <w:pPr>
        <w:rPr>
          <w:rFonts w:hint="eastAsia" w:ascii="宋体" w:hAnsi="宋体" w:eastAsia="宋体" w:cs="宋体"/>
        </w:rPr>
      </w:pPr>
      <w:r>
        <w:rPr>
          <w:rFonts w:hint="eastAsia"/>
          <w:b w:val="0"/>
          <w:bCs/>
          <w:color w:val="auto"/>
          <w:sz w:val="20"/>
          <w:szCs w:val="22"/>
          <w:highlight w:val="none"/>
        </w:rPr>
        <w:t>本部门本年度无相关收入（或支出、收支及结转结余等）情况，按要求空表列示。</w:t>
      </w:r>
    </w:p>
    <w:p>
      <w:pPr>
        <w:rPr>
          <w:rFonts w:hint="eastAsia" w:ascii="宋体" w:hAnsi="宋体" w:eastAsia="宋体" w:cs="宋体"/>
        </w:rPr>
      </w:pPr>
    </w:p>
    <w:p>
      <w:pPr>
        <w:rPr>
          <w:rFonts w:ascii="黑体" w:hAnsi="黑体" w:eastAsia="黑体" w:cs="黑体"/>
          <w:sz w:val="56"/>
          <w:szCs w:val="72"/>
        </w:rPr>
      </w:pPr>
    </w:p>
    <w:p>
      <w:pPr>
        <w:tabs>
          <w:tab w:val="left" w:pos="235"/>
        </w:tabs>
        <w:spacing w:line="600" w:lineRule="exact"/>
        <w:ind w:firstLine="640" w:firstLineChars="200"/>
        <w:jc w:val="left"/>
        <w:rPr>
          <w:rFonts w:hint="eastAsia" w:ascii="仿宋_GB2312" w:hAnsi="Cambria" w:eastAsia="仿宋_GB2312" w:cs="Arial Black"/>
          <w:kern w:val="0"/>
          <w:sz w:val="32"/>
          <w:szCs w:val="32"/>
        </w:rPr>
        <w:sectPr>
          <w:pgSz w:w="11906" w:h="16838"/>
          <w:pgMar w:top="1984" w:right="1531" w:bottom="2098" w:left="1531" w:header="851" w:footer="992" w:gutter="0"/>
          <w:cols w:space="425" w:num="1"/>
          <w:docGrid w:type="lines" w:linePitch="312" w:charSpace="0"/>
        </w:sectPr>
      </w:pPr>
    </w:p>
    <w:p>
      <w:pPr>
        <w:tabs>
          <w:tab w:val="left" w:pos="235"/>
        </w:tabs>
        <w:spacing w:line="600" w:lineRule="exact"/>
        <w:ind w:firstLine="640" w:firstLineChars="200"/>
        <w:jc w:val="left"/>
        <w:rPr>
          <w:rFonts w:ascii="仿宋_GB2312" w:hAnsi="Cambria" w:eastAsia="仿宋_GB2312" w:cs="Arial Black"/>
          <w:kern w:val="0"/>
          <w:sz w:val="32"/>
          <w:szCs w:val="32"/>
        </w:rPr>
      </w:pPr>
      <w:r>
        <w:rPr>
          <w:sz w:val="32"/>
        </w:rPr>
        <mc:AlternateContent>
          <mc:Choice Requires="wps">
            <w:drawing>
              <wp:anchor distT="0" distB="0" distL="114300" distR="114300" simplePos="0" relativeHeight="251664384" behindDoc="0" locked="0" layoutInCell="1" allowOverlap="1">
                <wp:simplePos x="0" y="0"/>
                <wp:positionH relativeFrom="column">
                  <wp:posOffset>-993140</wp:posOffset>
                </wp:positionH>
                <wp:positionV relativeFrom="paragraph">
                  <wp:posOffset>-1353820</wp:posOffset>
                </wp:positionV>
                <wp:extent cx="7632700" cy="10695940"/>
                <wp:effectExtent l="0" t="0" r="2540" b="2540"/>
                <wp:wrapNone/>
                <wp:docPr id="3" name="矩形 3"/>
                <wp:cNvGraphicFramePr/>
                <a:graphic xmlns:a="http://schemas.openxmlformats.org/drawingml/2006/main">
                  <a:graphicData uri="http://schemas.microsoft.com/office/word/2010/wordprocessingShape">
                    <wps:wsp>
                      <wps:cNvSpPr/>
                      <wps:spPr>
                        <a:xfrm>
                          <a:off x="697865" y="1375410"/>
                          <a:ext cx="7632700" cy="106959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8.2pt;margin-top:-106.6pt;height:842.2pt;width:601pt;z-index:251664384;v-text-anchor:middle;mso-width-relative:page;mso-height-relative:page;" fillcolor="#BDD7EE [1300]" filled="t" stroked="f" coordsize="21600,21600" o:gfxdata="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AaR&#10;7+fcAAAADwEAAA8AAAAAAAAAAQAgAAAAIgAAAGRycy9kb3ducmV2LnhtbFBLAQIUABQAAAAIAIdO&#10;4kBIxKP9kQIAABEFAAAOAAAAAAAAAAEAIAAAACsBAABkcnMvZTJvRG9jLnhtbFBLBQYAAAAABgAG&#10;AFkBAAAuBgAAAAA=&#10;">
                <v:fill on="t" focussize="0,0"/>
                <v:stroke on="f" weight="1pt" miterlimit="8" joinstyle="miter"/>
                <v:imagedata o:title=""/>
                <o:lock v:ext="edit" aspectratio="f"/>
              </v:rect>
            </w:pict>
          </mc:Fallback>
        </mc:AlternateConten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font>
  <w:font w:name="Cambria">
    <w:panose1 w:val="02040503050406030204"/>
    <w:charset w:val="00"/>
    <w:family w:val="roman"/>
    <w:pitch w:val="default"/>
    <w:sig w:usb0="E00006FF" w:usb1="420024FF" w:usb2="02000000" w:usb3="00000000" w:csb0="2000019F" w:csb1="00000000"/>
  </w:font>
  <w:font w:name="Mongolian Baiti">
    <w:panose1 w:val="03000500000000000000"/>
    <w:charset w:val="00"/>
    <w:family w:val="script"/>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94CCBEE"/>
    <w:multiLevelType w:val="singleLevel"/>
    <w:tmpl w:val="594CCBEE"/>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lNjQzZjczZjUwMzNlZmRmYmRhMGE1OTkwZTI0YmYifQ=="/>
  </w:docVars>
  <w:rsids>
    <w:rsidRoot w:val="00172A27"/>
    <w:rsid w:val="00061A05"/>
    <w:rsid w:val="0018668E"/>
    <w:rsid w:val="001B73D2"/>
    <w:rsid w:val="001E62BF"/>
    <w:rsid w:val="00293E7B"/>
    <w:rsid w:val="002D1F4F"/>
    <w:rsid w:val="00366D90"/>
    <w:rsid w:val="003D678E"/>
    <w:rsid w:val="00801F66"/>
    <w:rsid w:val="009334BF"/>
    <w:rsid w:val="0100191C"/>
    <w:rsid w:val="058B71E0"/>
    <w:rsid w:val="08056F9A"/>
    <w:rsid w:val="09E52919"/>
    <w:rsid w:val="0AE032DF"/>
    <w:rsid w:val="0BB7042D"/>
    <w:rsid w:val="0EA325C9"/>
    <w:rsid w:val="1084375C"/>
    <w:rsid w:val="1319171F"/>
    <w:rsid w:val="132F67BD"/>
    <w:rsid w:val="140C26FA"/>
    <w:rsid w:val="172B4D4C"/>
    <w:rsid w:val="19BF2A57"/>
    <w:rsid w:val="19F030F4"/>
    <w:rsid w:val="1C341095"/>
    <w:rsid w:val="20034CE6"/>
    <w:rsid w:val="25DA0948"/>
    <w:rsid w:val="28DF4A51"/>
    <w:rsid w:val="2B9E24AE"/>
    <w:rsid w:val="2C050491"/>
    <w:rsid w:val="2C5018D9"/>
    <w:rsid w:val="2CAA2890"/>
    <w:rsid w:val="2CE1422D"/>
    <w:rsid w:val="2F8730CE"/>
    <w:rsid w:val="2FB96948"/>
    <w:rsid w:val="2FD12F8B"/>
    <w:rsid w:val="32A149D2"/>
    <w:rsid w:val="32AA710C"/>
    <w:rsid w:val="3327616A"/>
    <w:rsid w:val="34C45458"/>
    <w:rsid w:val="35C83C42"/>
    <w:rsid w:val="35CC162B"/>
    <w:rsid w:val="38C918F5"/>
    <w:rsid w:val="3937609A"/>
    <w:rsid w:val="3F0D6438"/>
    <w:rsid w:val="434F7BC5"/>
    <w:rsid w:val="43AA7515"/>
    <w:rsid w:val="55C04E24"/>
    <w:rsid w:val="59102E41"/>
    <w:rsid w:val="5C7910FA"/>
    <w:rsid w:val="5C824A6E"/>
    <w:rsid w:val="5D0C63C4"/>
    <w:rsid w:val="5F706EA3"/>
    <w:rsid w:val="62F04508"/>
    <w:rsid w:val="65AC102B"/>
    <w:rsid w:val="67A54F41"/>
    <w:rsid w:val="6BCA51B6"/>
    <w:rsid w:val="700C0C76"/>
    <w:rsid w:val="719B77AA"/>
    <w:rsid w:val="71C805F9"/>
    <w:rsid w:val="72CC51CA"/>
    <w:rsid w:val="7368089E"/>
    <w:rsid w:val="73D824BD"/>
    <w:rsid w:val="7415200F"/>
    <w:rsid w:val="77EA1B2F"/>
    <w:rsid w:val="7AC13BD0"/>
    <w:rsid w:val="7B29090A"/>
    <w:rsid w:val="7D8D1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1"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6">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8">
    <w:name w:val="[Normal]"/>
    <w:qFormat/>
    <w:uiPriority w:val="99"/>
    <w:pPr>
      <w:widowControl w:val="0"/>
      <w:autoSpaceDE w:val="0"/>
      <w:autoSpaceDN w:val="0"/>
      <w:adjustRightInd w:val="0"/>
    </w:pPr>
    <w:rPr>
      <w:rFonts w:ascii="宋体" w:hAnsi="Times New Roman"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chart" Target="charts/chart2.xml"/><Relationship Id="rId16" Type="http://schemas.openxmlformats.org/officeDocument/2006/relationships/chart" Target="charts/chart1.xml"/><Relationship Id="rId15" Type="http://schemas.openxmlformats.org/officeDocument/2006/relationships/image" Target="media/image2.bmp"/><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r>
              <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2019-2020</a:t>
            </a:r>
            <a:r>
              <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年收支总计对比情况（图</a:t>
            </a:r>
            <a:r>
              <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1</a:t>
            </a:r>
            <a:r>
              <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a:t>
            </a:r>
            <a:endPar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endParaRPr>
          </a:p>
        </c:rich>
      </c:tx>
      <c:layout>
        <c:manualLayout>
          <c:xMode val="edge"/>
          <c:yMode val="edge"/>
          <c:x val="0.209718361608105"/>
          <c:y val="0.846648044692737"/>
        </c:manualLayout>
      </c:layout>
      <c:overlay val="0"/>
      <c:spPr>
        <a:noFill/>
        <a:ln>
          <a:noFill/>
        </a:ln>
        <a:effectLst/>
      </c:spPr>
    </c:title>
    <c:autoTitleDeleted val="0"/>
    <c:plotArea>
      <c:layout>
        <c:manualLayout>
          <c:layoutTarget val="inner"/>
          <c:xMode val="edge"/>
          <c:yMode val="edge"/>
          <c:x val="0.123946243127673"/>
          <c:y val="0.0879888268156425"/>
          <c:w val="0.778772144166158"/>
          <c:h val="0.619106145251397"/>
        </c:manualLayout>
      </c:layout>
      <c:barChart>
        <c:barDir val="col"/>
        <c:grouping val="clustered"/>
        <c:varyColors val="0"/>
        <c:ser>
          <c:idx val="0"/>
          <c:order val="0"/>
          <c:tx>
            <c:strRef>
              <c:f>Sheet1!$B$1</c:f>
              <c:strCache>
                <c:ptCount val="1"/>
                <c:pt idx="0">
                  <c:v>收支总计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42.37</c:v>
                </c:pt>
                <c:pt idx="1">
                  <c:v>54.61</c:v>
                </c:pt>
              </c:numCache>
            </c:numRef>
          </c:val>
        </c:ser>
        <c:dLbls>
          <c:showLegendKey val="0"/>
          <c:showVal val="1"/>
          <c:showCatName val="0"/>
          <c:showSerName val="0"/>
          <c:showPercent val="0"/>
          <c:showBubbleSize val="0"/>
        </c:dLbls>
        <c:gapWidth val="219"/>
        <c:overlap val="-27"/>
        <c:axId val="462451782"/>
        <c:axId val="737457775"/>
      </c:barChart>
      <c:catAx>
        <c:axId val="46245178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crossAx val="737457775"/>
        <c:crosses val="autoZero"/>
        <c:auto val="1"/>
        <c:lblAlgn val="ctr"/>
        <c:lblOffset val="100"/>
        <c:noMultiLvlLbl val="0"/>
      </c:catAx>
      <c:valAx>
        <c:axId val="737457775"/>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crossAx val="462451782"/>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legendEntry>
      <c:layout>
        <c:manualLayout>
          <c:xMode val="edge"/>
          <c:yMode val="edge"/>
          <c:x val="0.830312807730552"/>
          <c:y val="0.36317316982804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legend>
    <c:plotVisOnly val="1"/>
    <c:dispBlanksAs val="gap"/>
    <c:showDLblsOverMax val="0"/>
  </c:chart>
  <c:spPr>
    <a:solidFill>
      <a:schemeClr val="bg1"/>
    </a:solidFill>
    <a:ln w="9525" cap="flat" cmpd="sng" algn="ctr">
      <a:noFill/>
      <a:round/>
    </a:ln>
    <a:effectLst/>
  </c:spPr>
  <c:txPr>
    <a:bodyPr/>
    <a:lstStyle/>
    <a:p>
      <a:pPr>
        <a:defRPr 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财政拨款支出决算结构（按功能分类）</a:t>
            </a:r>
          </a:p>
        </c:rich>
      </c:tx>
      <c:layout/>
      <c:overlay val="0"/>
      <c:spPr>
        <a:noFill/>
        <a:ln>
          <a:noFill/>
        </a:ln>
        <a:effectLst/>
      </c:spPr>
    </c:title>
    <c:autoTitleDeleted val="0"/>
    <c:plotArea>
      <c:layout>
        <c:manualLayout>
          <c:layoutTarget val="inner"/>
          <c:xMode val="edge"/>
          <c:yMode val="edge"/>
          <c:x val="0.027875"/>
          <c:y val="0.174666666666667"/>
          <c:w val="0.61525"/>
          <c:h val="0.820333333333333"/>
        </c:manualLayout>
      </c:layout>
      <c:pieChart>
        <c:varyColors val="1"/>
        <c:ser>
          <c:idx val="0"/>
          <c:order val="0"/>
          <c:tx>
            <c:strRef>
              <c:f>Sheet1!$B$1</c:f>
              <c:strCache>
                <c:ptCount val="1"/>
                <c:pt idx="0">
                  <c:v>销售额</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一般公共类服务（类）支出</c:v>
                </c:pt>
                <c:pt idx="1">
                  <c:v>社会保障和就业（类）支出</c:v>
                </c:pt>
                <c:pt idx="2">
                  <c:v>卫生健康（类）支出</c:v>
                </c:pt>
                <c:pt idx="3">
                  <c:v>住房保障（类）支出</c:v>
                </c:pt>
              </c:strCache>
            </c:strRef>
          </c:cat>
          <c:val>
            <c:numRef>
              <c:f>Sheet1!$B$2:$B$5</c:f>
              <c:numCache>
                <c:formatCode>0.00%</c:formatCode>
                <c:ptCount val="4"/>
                <c:pt idx="0">
                  <c:v>0.8185</c:v>
                </c:pt>
                <c:pt idx="1">
                  <c:v>0.0939</c:v>
                </c:pt>
                <c:pt idx="2">
                  <c:v>0.0379</c:v>
                </c:pt>
                <c:pt idx="3">
                  <c:v>0.0497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7688</Words>
  <Characters>9114</Characters>
  <Lines>82</Lines>
  <Paragraphs>23</Paragraphs>
  <TotalTime>4</TotalTime>
  <ScaleCrop>false</ScaleCrop>
  <LinksUpToDate>false</LinksUpToDate>
  <CharactersWithSpaces>9349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2021-07-27T05:10:00Z</dcterms:created>
  <dc:creator>王明新TIAD</dc:creator>
  <cp:lastModifiedBy>泠泠泠泠泠</cp:lastModifiedBy>
  <dcterms:modified xsi:type="dcterms:W3CDTF">2023-11-07T08:57:10Z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BA2A3662DD3A486FA326B04E5947906A</vt:lpwstr>
  </property>
</Properties>
</file>