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pict>
          <v:shape id="_x0000_s1053" o:spid="_x0000_s1053" o:spt="202" type="#_x0000_t202" style="position:absolute;left:0pt;margin-left:-93.2pt;margin-top:1.6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hint="eastAsia"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p>
    <w:p>
      <w:pPr>
        <w:bidi w:val="0"/>
        <w:rPr>
          <w:lang w:val="en-US" w:eastAsia="zh-CN"/>
        </w:rPr>
      </w:pPr>
    </w:p>
    <w:p>
      <w:pPr>
        <w:tabs>
          <w:tab w:val="left" w:pos="6485"/>
        </w:tabs>
        <w:bidi w:val="0"/>
        <w:jc w:val="left"/>
        <w:rPr>
          <w:rFonts w:eastAsia="黑体"/>
          <w:sz w:val="32"/>
          <w:szCs w:val="32"/>
        </w:rPr>
      </w:pPr>
      <w:r>
        <w:rPr>
          <w:rFonts w:hint="eastAsia"/>
          <w:lang w:val="en-US" w:eastAsia="zh-CN"/>
        </w:rPr>
        <w:tab/>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满城区刘家台乡人民政府由行政编制和事业编制组成。满城区刘家台乡人民政府内设人大监督、人大代表活动、司法工作、计划生育、统计工作、财政工作、民政事务管理、信访活动、安保工作等各部门。主要职责是：</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1、人大监督，围绕政府工作报告监督组织实施。</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2、人大代表活动，对法律实施情况进行检查，开展代表建议督办活动。</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3、会议召开，人大会议。保证会议顺利召开，完成会议议程。</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4、办案问责，受理信访、举报等案件，组织协调案件的查办，调查、审查违纪违法案件，对案件审理提出处理意见</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5、党风廉政建设及监督检查，加强党风廉政建设，营造风清气正、干事创业的工作氛围，加大问责力度，促进“两个责任”有效落实。</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6、司法工作，开展公民普法教育，调节群众矛盾纠纷，提高群众的法律意识。</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7、计划生育，提供各类计划生育技术服务，建立利益导向机制，开展出生人口性别比的治理及流动人口计划生育管理等各项工作。提高妇女生殖健康水平，降低出生缺陷的发生。</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8、统计工作 ，组织人口、农业等部门专项统计调查检测。发布普查的主要数据公报，完成普查工作。</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9、财政工作 加强财务会计管理工作，依法按照财经制度管理会计事务，做到量入为出。维护财经制度，办理好各项财经事项。</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10、民政事务管理，做好对五保户、低保户、贫困户、大病医疗救助、防灾、减灾、救灾工作。做好对五保户、低保户贫困户、大病医疗救助、防灾、减灾、救灾款项的及时发放。</w:t>
      </w:r>
    </w:p>
    <w:p>
      <w:pPr>
        <w:widowControl/>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11、信访活动安保工作  接待和处理人民群众反映的情况和问题。确保乡镇治安防控工作到位，社会稳定、政治稳定、治安秩序良好。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W w:w="0" w:type="auto"/>
        <w:tblInd w:w="108" w:type="dxa"/>
        <w:tblLayout w:type="fixed"/>
        <w:tblCellMar>
          <w:top w:w="0" w:type="dxa"/>
          <w:left w:w="0" w:type="dxa"/>
          <w:bottom w:w="0" w:type="dxa"/>
          <w:right w:w="0" w:type="dxa"/>
        </w:tblCellMar>
      </w:tblPr>
      <w:tblGrid>
        <w:gridCol w:w="1080"/>
        <w:gridCol w:w="2583"/>
        <w:gridCol w:w="1857"/>
        <w:gridCol w:w="1900"/>
        <w:gridCol w:w="2376"/>
      </w:tblGrid>
      <w:tr>
        <w:tblPrEx>
          <w:tblCellMar>
            <w:top w:w="0" w:type="dxa"/>
            <w:left w:w="0" w:type="dxa"/>
            <w:bottom w:w="0" w:type="dxa"/>
            <w:right w:w="0" w:type="dxa"/>
          </w:tblCellMar>
        </w:tblPrEx>
        <w:trPr>
          <w:trHeight w:val="810" w:hRule="atLeast"/>
        </w:trPr>
        <w:tc>
          <w:tcPr>
            <w:tcW w:w="9796" w:type="dxa"/>
            <w:gridSpan w:val="5"/>
            <w:tcBorders>
              <w:bottom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部门机构设置情况</w:t>
            </w:r>
          </w:p>
        </w:tc>
      </w:tr>
      <w:tr>
        <w:tblPrEx>
          <w:tblCellMar>
            <w:top w:w="0" w:type="dxa"/>
            <w:left w:w="108" w:type="dxa"/>
            <w:bottom w:w="0" w:type="dxa"/>
            <w:right w:w="108" w:type="dxa"/>
          </w:tblCellMar>
        </w:tblPrEx>
        <w:trPr>
          <w:trHeight w:val="720" w:hRule="atLeast"/>
        </w:trPr>
        <w:tc>
          <w:tcPr>
            <w:tcW w:w="108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序号</w:t>
            </w:r>
          </w:p>
        </w:tc>
        <w:tc>
          <w:tcPr>
            <w:tcW w:w="2583"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单位名称</w:t>
            </w:r>
          </w:p>
        </w:tc>
        <w:tc>
          <w:tcPr>
            <w:tcW w:w="185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单位性质</w:t>
            </w:r>
          </w:p>
        </w:tc>
        <w:tc>
          <w:tcPr>
            <w:tcW w:w="190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单位规格</w:t>
            </w:r>
          </w:p>
        </w:tc>
        <w:tc>
          <w:tcPr>
            <w:tcW w:w="2376"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经费保障形式</w:t>
            </w:r>
          </w:p>
        </w:tc>
      </w:tr>
      <w:tr>
        <w:tblPrEx>
          <w:tblCellMar>
            <w:top w:w="0" w:type="dxa"/>
            <w:left w:w="108" w:type="dxa"/>
            <w:bottom w:w="0" w:type="dxa"/>
            <w:right w:w="108" w:type="dxa"/>
          </w:tblCellMar>
        </w:tblPrEx>
        <w:trPr>
          <w:trHeight w:val="720" w:hRule="atLeast"/>
        </w:trPr>
        <w:tc>
          <w:tcPr>
            <w:tcW w:w="108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1</w:t>
            </w:r>
          </w:p>
        </w:tc>
        <w:tc>
          <w:tcPr>
            <w:tcW w:w="2583"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保定市满城区</w:t>
            </w:r>
          </w:p>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28"/>
                <w:szCs w:val="28"/>
              </w:rPr>
              <w:t>刘家台乡人民政府</w:t>
            </w:r>
          </w:p>
        </w:tc>
        <w:tc>
          <w:tcPr>
            <w:tcW w:w="1857"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行政</w:t>
            </w:r>
          </w:p>
        </w:tc>
        <w:tc>
          <w:tcPr>
            <w:tcW w:w="1900"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正科级</w:t>
            </w:r>
          </w:p>
        </w:tc>
        <w:tc>
          <w:tcPr>
            <w:tcW w:w="2376" w:type="dxa"/>
            <w:tcBorders>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仿宋_GB2312" w:eastAsia="仿宋_GB2312" w:cs="仿宋_GB2312"/>
                <w:b/>
                <w:color w:val="000000"/>
                <w:sz w:val="32"/>
              </w:rPr>
            </w:pPr>
            <w:r>
              <w:rPr>
                <w:rFonts w:hint="eastAsia" w:ascii="仿宋_GB2312" w:hAnsi="仿宋_GB2312" w:eastAsia="仿宋_GB2312" w:cs="仿宋_GB2312"/>
                <w:b/>
                <w:color w:val="000000"/>
                <w:sz w:val="32"/>
              </w:rPr>
              <w:t>财政拨款</w:t>
            </w:r>
          </w:p>
        </w:tc>
      </w:tr>
    </w:tbl>
    <w:p>
      <w:pPr>
        <w:spacing w:line="580" w:lineRule="exact"/>
        <w:ind w:firstLine="640" w:firstLineChars="200"/>
        <w:rPr>
          <w:rFonts w:hint="eastAsia" w:ascii="仿宋_GB2312" w:hAnsi="Calibri" w:eastAsia="仿宋_GB2312" w:cs="ArialUnicodeMS"/>
          <w:kern w:val="0"/>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052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numPr>
          <w:ilvl w:val="0"/>
          <w:numId w:val="1"/>
        </w:numPr>
        <w:snapToGrid w:val="0"/>
        <w:spacing w:line="580" w:lineRule="exact"/>
        <w:ind w:firstLine="640" w:firstLineChars="200"/>
        <w:outlineLvl w:val="1"/>
        <w:rPr>
          <w:rFonts w:hint="eastAsia" w:ascii="黑体" w:hAnsi="Calibri" w:eastAsia="黑体"/>
          <w:sz w:val="32"/>
          <w:szCs w:val="32"/>
        </w:rPr>
      </w:pPr>
      <w:r>
        <w:rPr>
          <w:rFonts w:hint="eastAsia" w:ascii="黑体" w:hAnsi="Calibri" w:eastAsia="黑体"/>
          <w:sz w:val="32"/>
          <w:szCs w:val="32"/>
        </w:rPr>
        <w:t>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widowControl/>
        <w:shd w:val="clear" w:color="000000" w:fill="FFFFFF"/>
        <w:spacing w:line="560" w:lineRule="atLeast"/>
        <w:ind w:firstLine="320" w:firstLineChars="1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仿宋_GB2312" w:eastAsia="仿宋_GB2312" w:cs="仿宋_GB2312"/>
          <w:b/>
          <w:color w:val="000000"/>
          <w:sz w:val="32"/>
        </w:rPr>
        <w:t>585.1</w:t>
      </w:r>
      <w:r>
        <w:rPr>
          <w:rFonts w:hint="eastAsia" w:ascii="仿宋_GB2312" w:hAnsi="仿宋_GB2312" w:eastAsia="仿宋_GB2312" w:cs="仿宋_GB2312"/>
          <w:b/>
          <w:color w:val="000000"/>
          <w:sz w:val="32"/>
          <w:lang w:val="en-US" w:eastAsia="zh-CN"/>
        </w:rPr>
        <w:t>1</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Times New Roman" w:eastAsia="仿宋_GB2312" w:cs="DengXian-Regular"/>
          <w:sz w:val="32"/>
          <w:szCs w:val="32"/>
          <w:lang w:val="en-US" w:eastAsia="zh-CN"/>
        </w:rPr>
        <w:t>112.76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降低16.16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，主要原因是：1.减少项目预算；2.人员调整，人员经费变动预算。支出总计（含结转和结余）</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万元。与2018年度决算相比，支出减少</w:t>
      </w:r>
      <w:r>
        <w:rPr>
          <w:rFonts w:hint="eastAsia" w:ascii="仿宋_GB2312" w:hAnsi="Times New Roman" w:eastAsia="仿宋_GB2312" w:cs="DengXian-Regular"/>
          <w:sz w:val="32"/>
          <w:szCs w:val="32"/>
          <w:lang w:val="en-US" w:eastAsia="zh-CN"/>
        </w:rPr>
        <w:t>112.76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降低16.16</w:t>
      </w:r>
      <w:r>
        <w:rPr>
          <w:rFonts w:hint="eastAsia" w:ascii="仿宋_GB2312" w:hAnsi="Times New Roman" w:eastAsia="仿宋_GB2312" w:cs="DengXian-Regular"/>
          <w:sz w:val="32"/>
          <w:szCs w:val="32"/>
        </w:rPr>
        <w:t>%，主要原因是1.减少项目预算；2.人员调整，人员经费变动预算。</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keepNext/>
        <w:keepLines/>
        <w:snapToGrid w:val="0"/>
        <w:spacing w:line="580" w:lineRule="exact"/>
        <w:ind w:firstLine="640" w:firstLineChars="200"/>
        <w:outlineLvl w:val="1"/>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430.94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73.65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154.17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26.35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1"/>
        <w:rPr>
          <w:rFonts w:ascii="黑体" w:hAnsi="Calibri" w:eastAsia="黑体"/>
          <w:b/>
          <w:bCs/>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112.76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16.16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，主要是1.减少项目预算；2.人员调整，人员经费变动预算；本年支出</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112.76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16.16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，主要是1.减少项目预算；2.人员调整，人员经费变动预算。</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99.31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4.06</w:t>
      </w:r>
      <w:r>
        <w:rPr>
          <w:rFonts w:hint="eastAsia" w:ascii="仿宋_GB2312" w:hAnsi="Times New Roman" w:eastAsia="仿宋_GB2312" w:cs="DengXian-Regular"/>
          <w:sz w:val="32"/>
          <w:szCs w:val="32"/>
        </w:rPr>
        <w:t>万元，决算数小于预算数主要原因是人员调整，人员经费变动预算；本年支出</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99.31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4.06</w:t>
      </w:r>
      <w:r>
        <w:rPr>
          <w:rFonts w:hint="eastAsia" w:ascii="仿宋_GB2312" w:hAnsi="Times New Roman" w:eastAsia="仿宋_GB2312" w:cs="DengXian-Regular"/>
          <w:sz w:val="32"/>
          <w:szCs w:val="32"/>
        </w:rPr>
        <w:t>万元，决算数小于预算数主要原因是主要是人员调整，人员经费变动。</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585.11</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391.22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66.86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w:t>
      </w:r>
      <w:r>
        <w:rPr>
          <w:rFonts w:hint="eastAsia" w:ascii="仿宋_GB2312" w:hAnsi="Times New Roman" w:eastAsia="仿宋_GB2312" w:cs="DengXian-Regular"/>
          <w:sz w:val="32"/>
          <w:szCs w:val="32"/>
          <w:lang w:val="en-US" w:eastAsia="zh-CN"/>
        </w:rPr>
        <w:t>12.17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；农林水支出</w:t>
      </w:r>
      <w:r>
        <w:rPr>
          <w:rFonts w:hint="eastAsia" w:ascii="仿宋_GB2312" w:hAnsi="Times New Roman" w:eastAsia="仿宋_GB2312" w:cs="DengXian-Regular"/>
          <w:sz w:val="32"/>
          <w:szCs w:val="32"/>
          <w:lang w:val="en-US" w:eastAsia="zh-CN"/>
        </w:rPr>
        <w:t>117.49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20.08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44.81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7.66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19.42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3.32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pict>
          <v:group id="_x0000_s1069" o:spid="_x0000_s1069" o:spt="203" style="position:absolute;left:0pt;margin-left:77.25pt;margin-top:16.6pt;height:173.95pt;width:281.6pt;z-index:-251646976;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4"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430.95</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390.33</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40.62</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7.20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89.33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0.86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降低10.67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b/>
          <w:sz w:val="32"/>
        </w:rPr>
        <w:t>节约开支</w:t>
      </w:r>
      <w:r>
        <w:rPr>
          <w:rFonts w:hint="eastAsia" w:ascii="仿宋_GB2312" w:hAnsi="Times New Roman" w:eastAsia="仿宋_GB2312" w:cs="DengXian-Regular"/>
          <w:sz w:val="32"/>
          <w:szCs w:val="32"/>
        </w:rPr>
        <w:t>。具体情况如下：</w:t>
      </w:r>
      <w:r>
        <w:rPr>
          <w:rFonts w:hint="eastAsia" w:ascii="仿宋_GB2312" w:hAnsi="Times New Roman" w:eastAsia="仿宋_GB2312" w:cs="DengXian-Regular"/>
          <w:sz w:val="32"/>
          <w:szCs w:val="32"/>
          <w:lang w:val="en-US" w:eastAsia="zh-CN"/>
        </w:rPr>
        <w:t xml:space="preserve">          </w:t>
      </w: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7.20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0.26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3.75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车辆老化，维修费上涨</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公务用车购置费：本部门2019年度“未发生“公务用车购置”经费支出”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公务用车运行维护费：本部门2019年度单位公务用车保有量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车辆老化，维修费上涨</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0.86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1.07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个，二级项目0个，共涉及资金</w:t>
      </w:r>
      <w:r>
        <w:rPr>
          <w:rFonts w:hint="eastAsia" w:ascii="仿宋_GB2312" w:hAnsi="仿宋_GB2312" w:eastAsia="仿宋_GB2312" w:cs="仿宋_GB2312"/>
          <w:sz w:val="32"/>
          <w:szCs w:val="32"/>
          <w:lang w:val="en-US" w:eastAsia="zh-CN"/>
        </w:rPr>
        <w:t>154.17</w:t>
      </w:r>
      <w:r>
        <w:rPr>
          <w:rFonts w:hint="eastAsia" w:ascii="仿宋_GB2312" w:hAnsi="仿宋_GB2312" w:eastAsia="仿宋_GB2312" w:cs="仿宋_GB2312"/>
          <w:sz w:val="32"/>
          <w:szCs w:val="32"/>
        </w:rPr>
        <w:t>万元，占一般公共预算项目支出总额的100%。组织对“维稳经费”“防火经费”等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154.17</w:t>
      </w:r>
      <w:r>
        <w:rPr>
          <w:rFonts w:hint="eastAsia" w:ascii="仿宋_GB2312" w:hAnsi="仿宋_GB2312" w:eastAsia="仿宋_GB2312" w:cs="仿宋_GB2312"/>
          <w:sz w:val="32"/>
          <w:szCs w:val="32"/>
        </w:rPr>
        <w:t>万元，从评价情况来看，本部门对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个项目均能按时、按质、按量对资金予以作用及发放到位。</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本部门在今年部门决算公开中反映维稳经费项目及防火经费项目等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（1）“防火经费”项目自评综述：根据年初设定的绩效目标，“防火经费”项目绩效自评得分为100分（绩效自评表附后）。全年预算数为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万元，完成预算的100%。项目绩效目标完成情况：一是推动森林防火工作，</w:t>
      </w:r>
      <w:r>
        <w:rPr>
          <w:rFonts w:hint="eastAsia" w:ascii="仿宋_GB2312" w:hAnsi="仿宋_GB2312" w:eastAsia="仿宋_GB2312" w:cs="仿宋_GB2312"/>
          <w:sz w:val="32"/>
          <w:szCs w:val="32"/>
          <w:lang w:eastAsia="zh-CN"/>
        </w:rPr>
        <w:t>防</w:t>
      </w:r>
      <w:r>
        <w:rPr>
          <w:rFonts w:hint="eastAsia" w:ascii="仿宋_GB2312" w:hAnsi="仿宋_GB2312" w:eastAsia="仿宋_GB2312" w:cs="仿宋_GB2312"/>
          <w:sz w:val="32"/>
          <w:szCs w:val="32"/>
        </w:rPr>
        <w:t>止火</w:t>
      </w:r>
      <w:r>
        <w:rPr>
          <w:rFonts w:hint="eastAsia" w:ascii="仿宋_GB2312" w:hAnsi="仿宋_GB2312" w:eastAsia="仿宋_GB2312" w:cs="仿宋_GB2312"/>
          <w:sz w:val="32"/>
          <w:szCs w:val="32"/>
          <w:lang w:eastAsia="zh-CN"/>
        </w:rPr>
        <w:t>灾的发生</w:t>
      </w:r>
      <w:r>
        <w:rPr>
          <w:rFonts w:hint="eastAsia" w:ascii="仿宋_GB2312" w:hAnsi="仿宋_GB2312" w:eastAsia="仿宋_GB2312" w:cs="仿宋_GB2312"/>
          <w:sz w:val="32"/>
          <w:szCs w:val="32"/>
        </w:rPr>
        <w:t>，保障群众生命财产安全；二是更好的保护国家森林资源和自然环境。发现的主要问题及原因：无。下一步改进措施：无。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大事实事如期完成事项经费奖励</w:t>
      </w:r>
      <w:r>
        <w:rPr>
          <w:rFonts w:hint="eastAsia" w:ascii="仿宋_GB2312" w:hAnsi="仿宋_GB2312" w:eastAsia="仿宋_GB2312" w:cs="仿宋_GB2312"/>
          <w:sz w:val="32"/>
          <w:szCs w:val="32"/>
        </w:rPr>
        <w:t>”项目自评综述： “</w:t>
      </w:r>
      <w:r>
        <w:rPr>
          <w:rFonts w:ascii="仿宋_GB2312" w:hAnsi="仿宋_GB2312" w:eastAsia="仿宋_GB2312" w:cs="仿宋_GB2312"/>
          <w:sz w:val="32"/>
          <w:szCs w:val="32"/>
        </w:rPr>
        <w:t>大事实事如期完成事项经费奖励</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万元，完成预算的100%。项目绩效目标完成情况：一是促使乡党委领导班子提高自主意识，提升干劲；二是保障乡镇干部更好的服务群众。发现的主要问题及原因：无。下一步改进措施：无。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监控系统安装</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监控系统安装</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万元，完成预算的100%。项目绩效目标完成情况：一是保障了群众合法权益</w:t>
      </w:r>
      <w:r>
        <w:rPr>
          <w:rFonts w:hint="eastAsia" w:ascii="仿宋_GB2312" w:hAnsi="仿宋_GB2312" w:eastAsia="仿宋_GB2312" w:cs="仿宋_GB2312"/>
          <w:sz w:val="32"/>
          <w:szCs w:val="32"/>
          <w:lang w:eastAsia="zh-CN"/>
        </w:rPr>
        <w:t>，更好</w:t>
      </w:r>
      <w:r>
        <w:rPr>
          <w:rFonts w:hint="eastAsia" w:ascii="仿宋_GB2312" w:hAnsi="仿宋_GB2312" w:eastAsia="仿宋_GB2312" w:cs="仿宋_GB2312"/>
          <w:sz w:val="32"/>
          <w:szCs w:val="32"/>
          <w:lang w:val="en-US" w:eastAsia="zh-CN"/>
        </w:rPr>
        <w:t>地</w:t>
      </w:r>
      <w:bookmarkStart w:id="0" w:name="_GoBack"/>
      <w:bookmarkEnd w:id="0"/>
      <w:r>
        <w:rPr>
          <w:rFonts w:hint="eastAsia" w:ascii="仿宋_GB2312" w:hAnsi="仿宋_GB2312" w:eastAsia="仿宋_GB2312" w:cs="仿宋_GB2312"/>
          <w:sz w:val="32"/>
          <w:szCs w:val="32"/>
          <w:lang w:eastAsia="zh-CN"/>
        </w:rPr>
        <w:t>服务于群众</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（4）“九年一贯制教育中学租地款”项目自评综述：根据年初设定的绩效目标，“九年一贯制教育中学租地款”项目绩效自评得分为100分（绩效自评表附后）。全年预算数为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万元，完成预算的100%。项目绩效目标完成情况：一是</w:t>
      </w:r>
      <w:r>
        <w:rPr>
          <w:rFonts w:hint="eastAsia" w:ascii="仿宋_GB2312" w:hAnsi="仿宋_GB2312" w:eastAsia="仿宋_GB2312" w:cs="仿宋_GB2312"/>
          <w:sz w:val="32"/>
          <w:szCs w:val="32"/>
          <w:lang w:eastAsia="zh-CN"/>
        </w:rPr>
        <w:t>及进将租地款发放到位，</w:t>
      </w:r>
      <w:r>
        <w:rPr>
          <w:rFonts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教学</w:t>
      </w:r>
      <w:r>
        <w:rPr>
          <w:rFonts w:ascii="仿宋_GB2312" w:hAnsi="仿宋_GB2312" w:eastAsia="仿宋_GB2312" w:cs="仿宋_GB2312"/>
          <w:sz w:val="32"/>
          <w:szCs w:val="32"/>
        </w:rPr>
        <w:t>工</w:t>
      </w:r>
      <w:r>
        <w:rPr>
          <w:rFonts w:hint="eastAsia" w:ascii="仿宋_GB2312" w:hAnsi="仿宋_GB2312" w:eastAsia="仿宋_GB2312" w:cs="仿宋_GB2312"/>
          <w:sz w:val="32"/>
          <w:szCs w:val="32"/>
        </w:rPr>
        <w:t>作</w:t>
      </w:r>
      <w:r>
        <w:rPr>
          <w:rFonts w:ascii="仿宋_GB2312" w:hAnsi="仿宋_GB2312" w:eastAsia="仿宋_GB2312" w:cs="仿宋_GB2312"/>
          <w:sz w:val="32"/>
          <w:szCs w:val="32"/>
        </w:rPr>
        <w:t>正常开展</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）“维稳经费”项目自评综述：根据年初设定的绩效目标，“维稳经费”项目绩效自评得分为100分（绩效自评表附后）。全年预算数为</w:t>
      </w:r>
      <w:r>
        <w:rPr>
          <w:rFonts w:hint="eastAsia" w:ascii="仿宋_GB2312" w:hAnsi="仿宋_GB2312" w:eastAsia="仿宋_GB2312" w:cs="仿宋_GB2312"/>
          <w:sz w:val="32"/>
          <w:szCs w:val="32"/>
          <w:lang w:val="en-US" w:eastAsia="zh-CN"/>
        </w:rPr>
        <w:t>15.95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15.95</w:t>
      </w:r>
      <w:r>
        <w:rPr>
          <w:rFonts w:hint="eastAsia" w:ascii="仿宋_GB2312" w:hAnsi="仿宋_GB2312" w:eastAsia="仿宋_GB2312" w:cs="仿宋_GB2312"/>
          <w:sz w:val="32"/>
          <w:szCs w:val="32"/>
        </w:rPr>
        <w:t>万元，完成预算的100%。项目绩效目标完成情况：一是保障了全乡信访稳定工作的正常开展，维护了社会安定；二是有力的配合了区委、区政府的信访稳定工作。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果品收购期保畅</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果品收购期保畅</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万元，完成预算的100%。项目绩效目标完成情况：一是及时支付</w:t>
      </w:r>
      <w:r>
        <w:rPr>
          <w:rFonts w:hint="eastAsia" w:ascii="仿宋_GB2312" w:hAnsi="仿宋_GB2312" w:eastAsia="仿宋_GB2312" w:cs="仿宋_GB2312"/>
          <w:sz w:val="32"/>
          <w:szCs w:val="32"/>
          <w:lang w:eastAsia="zh-CN"/>
        </w:rPr>
        <w:t>果品收购期保畅</w:t>
      </w:r>
      <w:r>
        <w:rPr>
          <w:rFonts w:ascii="仿宋_GB2312" w:hAnsi="仿宋_GB2312" w:eastAsia="仿宋_GB2312" w:cs="仿宋_GB2312"/>
          <w:sz w:val="32"/>
          <w:szCs w:val="32"/>
        </w:rPr>
        <w:t>相关费用。</w:t>
      </w:r>
      <w:r>
        <w:rPr>
          <w:rFonts w:hint="eastAsia" w:ascii="仿宋_GB2312" w:hAnsi="仿宋_GB2312" w:eastAsia="仿宋_GB2312" w:cs="仿宋_GB2312"/>
          <w:sz w:val="32"/>
          <w:szCs w:val="32"/>
          <w:lang w:eastAsia="zh-CN"/>
        </w:rPr>
        <w:t>二、及到引导车辆通行，保障群众人身财产安全。</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）“基层组织运转和党建提升经费”项目自评综述：根据年初设定的绩效目标，“基层组织运转和党建提升经费”项目绩效自评得分为100分（绩效自评表附后）。全年预算数为</w:t>
      </w:r>
      <w:r>
        <w:rPr>
          <w:rFonts w:hint="eastAsia" w:ascii="仿宋_GB2312" w:hAnsi="仿宋_GB2312" w:eastAsia="仿宋_GB2312" w:cs="仿宋_GB2312"/>
          <w:sz w:val="32"/>
          <w:szCs w:val="32"/>
          <w:lang w:val="en-US" w:eastAsia="zh-CN"/>
        </w:rPr>
        <w:t>14.11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14.11</w:t>
      </w:r>
      <w:r>
        <w:rPr>
          <w:rFonts w:hint="eastAsia" w:ascii="仿宋_GB2312" w:hAnsi="仿宋_GB2312" w:eastAsia="仿宋_GB2312" w:cs="仿宋_GB2312"/>
          <w:sz w:val="32"/>
          <w:szCs w:val="32"/>
        </w:rPr>
        <w:t>万元，完成预算的100%。项目绩效目标完成情况：一是保障了村级组织正常运转和党建提升；二是保障了村级工作顺利开展和正常运行。发现的主要问题及原因：无。下一步改进措施：无。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“村干部工资”项目自评综述：根据年初设定的绩效目标， “村干部工资”项目绩效自评得分为100分（绩效自评表附后）。全年预算数为</w:t>
      </w:r>
      <w:r>
        <w:rPr>
          <w:rFonts w:hint="eastAsia" w:ascii="仿宋_GB2312" w:hAnsi="仿宋_GB2312" w:eastAsia="仿宋_GB2312" w:cs="仿宋_GB2312"/>
          <w:sz w:val="32"/>
          <w:szCs w:val="32"/>
          <w:lang w:val="en-US" w:eastAsia="zh-CN"/>
        </w:rPr>
        <w:t>103.10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103.10</w:t>
      </w:r>
      <w:r>
        <w:rPr>
          <w:rFonts w:hint="eastAsia" w:ascii="仿宋_GB2312" w:hAnsi="仿宋_GB2312" w:eastAsia="仿宋_GB2312" w:cs="仿宋_GB2312"/>
          <w:sz w:val="32"/>
          <w:szCs w:val="32"/>
        </w:rPr>
        <w:t>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keepNext/>
        <w:keepLines/>
        <w:snapToGrid w:val="0"/>
        <w:spacing w:line="58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发现的主要问题及原因：无。下一步改进措施：无。</w:t>
      </w:r>
    </w:p>
    <w:p>
      <w:pPr>
        <w:keepNext/>
        <w:keepLines/>
        <w:numPr>
          <w:ilvl w:val="0"/>
          <w:numId w:val="0"/>
        </w:numPr>
        <w:snapToGrid w:val="0"/>
        <w:spacing w:line="580" w:lineRule="exac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outlineLvl w:val="1"/>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40.62</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100.96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71.31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40.62</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）辆。其中，主要领导干部用车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9年度政府性基金预算财政拨款收入支出决算表</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国有资本经营预算财政拨款支出决算表无收支及结转结余情况，故政府性基金预算财政拨款收入支出决算表</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585.11</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391.22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44.81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12.17</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117.49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19.42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585.11</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585.11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585.11</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585.11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709" w:type="dxa"/>
        <w:jc w:val="center"/>
        <w:tblLayout w:type="autofit"/>
        <w:tblCellMar>
          <w:top w:w="0" w:type="dxa"/>
          <w:left w:w="0" w:type="dxa"/>
          <w:bottom w:w="0" w:type="dxa"/>
          <w:right w:w="0" w:type="dxa"/>
        </w:tblCellMar>
      </w:tblPr>
      <w:tblGrid>
        <w:gridCol w:w="1009"/>
        <w:gridCol w:w="58"/>
        <w:gridCol w:w="57"/>
        <w:gridCol w:w="2712"/>
        <w:gridCol w:w="1247"/>
        <w:gridCol w:w="1091"/>
        <w:gridCol w:w="747"/>
        <w:gridCol w:w="747"/>
        <w:gridCol w:w="747"/>
        <w:gridCol w:w="747"/>
        <w:gridCol w:w="749"/>
      </w:tblGrid>
      <w:tr>
        <w:trPr>
          <w:trHeight w:val="670" w:hRule="atLeast"/>
          <w:jc w:val="center"/>
        </w:trPr>
        <w:tc>
          <w:tcPr>
            <w:tcW w:w="9709"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0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8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8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8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8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8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89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0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0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0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9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0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585.11</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585.11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391.22</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391.22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391.22</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391.22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236.33</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2010302</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15.95</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129.93</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129.93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2010399</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44.81</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44.81</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36.90</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36.90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3.53</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06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77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585.11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430.94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154.17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354.27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354.27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224.33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129.93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129.93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36.90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3.52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783"/>
        <w:gridCol w:w="2825"/>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9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8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8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585.11</w:t>
            </w: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391.22</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44.81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12.17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117.49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19.42</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585.11</w:t>
            </w: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585.11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585.11</w:t>
            </w:r>
          </w:p>
        </w:tc>
        <w:tc>
          <w:tcPr>
            <w:tcW w:w="28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585.11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1210"/>
        <w:gridCol w:w="68"/>
        <w:gridCol w:w="68"/>
        <w:gridCol w:w="2014"/>
        <w:gridCol w:w="2489"/>
        <w:gridCol w:w="2489"/>
        <w:gridCol w:w="2492"/>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585.11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430.94</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154.17</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391.22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354.27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36.95</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391.22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354.27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36.95</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236.33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224.33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12.00</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2010302</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6.00</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6.00</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15.95</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15.95</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129.93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129.93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2010399</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3.00</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3.00</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44.81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2.34</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2.34</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2.04</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2.04</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36.90</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36.90</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3.52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12.17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117.49</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117.22</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117.49</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0.27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117.22</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117.49</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0.27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117.22</w:t>
            </w: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4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165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19.42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356.49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40.62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181.00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15.90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21.86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39.50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9.81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19.81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33.84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33.84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7.20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11.76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390.33</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40.62</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0.86</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本部门本年度无相关收入（或支出、收支及结转结余等）情况，按要求空表列示。</w:t>
      </w:r>
      <w:r>
        <w:br w:type="page"/>
      </w:r>
    </w:p>
    <w:p>
      <w:r>
        <w:pict>
          <v:rect id="_x0000_s1105" o:spid="_x0000_s1105" o:spt="1" style="position:absolute;left:0pt;margin-left:-70.5pt;margin-top:-85.25pt;height:841.15pt;width:595.1pt;z-index:251672576;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D12AF"/>
    <w:multiLevelType w:val="singleLevel"/>
    <w:tmpl w:val="0A9D12AF"/>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A7F3D1F"/>
    <w:rsid w:val="0E7F573A"/>
    <w:rsid w:val="1136056F"/>
    <w:rsid w:val="151D3966"/>
    <w:rsid w:val="1C4A0251"/>
    <w:rsid w:val="1D38400E"/>
    <w:rsid w:val="1FF1252C"/>
    <w:rsid w:val="250536FD"/>
    <w:rsid w:val="31C2036A"/>
    <w:rsid w:val="320D02A5"/>
    <w:rsid w:val="348E566F"/>
    <w:rsid w:val="377025FD"/>
    <w:rsid w:val="3A226944"/>
    <w:rsid w:val="3AEE6A48"/>
    <w:rsid w:val="3C1620AA"/>
    <w:rsid w:val="3D8F080F"/>
    <w:rsid w:val="445375ED"/>
    <w:rsid w:val="44CE1FA4"/>
    <w:rsid w:val="487F73ED"/>
    <w:rsid w:val="4A347EAE"/>
    <w:rsid w:val="4D594D49"/>
    <w:rsid w:val="4D8623F6"/>
    <w:rsid w:val="524A5C50"/>
    <w:rsid w:val="52600405"/>
    <w:rsid w:val="529B4319"/>
    <w:rsid w:val="52AA0E3B"/>
    <w:rsid w:val="57773DD6"/>
    <w:rsid w:val="578B79AB"/>
    <w:rsid w:val="5BDD1D04"/>
    <w:rsid w:val="5CCD3FD5"/>
    <w:rsid w:val="5F3945BC"/>
    <w:rsid w:val="61FA5F9D"/>
    <w:rsid w:val="635F00E9"/>
    <w:rsid w:val="64CD6910"/>
    <w:rsid w:val="6789158D"/>
    <w:rsid w:val="67D81BA4"/>
    <w:rsid w:val="6AAF1C96"/>
    <w:rsid w:val="6D1D50B8"/>
    <w:rsid w:val="6E4762C2"/>
    <w:rsid w:val="6F2B5917"/>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2023-11-08T02:48:47Z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004CF5787FCE44FD96BFBA0BCD1FE0CB</vt:lpwstr>
  </property>
</Properties>
</file>