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5408" behindDoc="0" locked="0" layoutInCell="1" allowOverlap="1">
            <wp:simplePos x="0" y="0"/>
            <wp:positionH relativeFrom="column">
              <wp:posOffset>-979170</wp:posOffset>
            </wp:positionH>
            <wp:positionV relativeFrom="paragraph">
              <wp:posOffset>-1347470</wp:posOffset>
            </wp:positionV>
            <wp:extent cx="8667750" cy="10719435"/>
            <wp:effectExtent l="0" t="0" r="3810" b="9525"/>
            <wp:wrapNone/>
            <wp:docPr id="5" name="图片 5"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公开封面"/>
                    <pic:cNvPicPr>
                      <a:picLocks noChangeAspect="1"/>
                    </pic:cNvPicPr>
                  </pic:nvPicPr>
                  <pic:blipFill>
                    <a:blip r:embed="rId10"/>
                    <a:stretch>
                      <a:fillRect/>
                    </a:stretch>
                  </pic:blipFill>
                  <pic:spPr>
                    <a:xfrm>
                      <a:off x="0" y="0"/>
                      <a:ext cx="8667750" cy="1071943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jc w:val="center"/>
        <w:rPr>
          <w:rFonts w:hint="eastAsia" w:ascii="黑体" w:hAnsi="黑体" w:eastAsia="黑体" w:cs="黑体"/>
          <w:sz w:val="72"/>
          <w:szCs w:val="96"/>
        </w:rPr>
      </w:pPr>
      <w:r>
        <w:rPr>
          <w:rFonts w:hint="eastAsia" w:ascii="黑体" w:hAnsi="黑体" w:eastAsia="黑体" w:cs="黑体"/>
          <w:sz w:val="72"/>
          <w:szCs w:val="96"/>
        </w:rPr>
        <w:t>保定市满城区</w:t>
      </w:r>
    </w:p>
    <w:p>
      <w:pPr>
        <w:jc w:val="center"/>
        <w:rPr>
          <w:rFonts w:ascii="黑体" w:hAnsi="黑体" w:eastAsia="黑体" w:cs="黑体"/>
          <w:sz w:val="72"/>
          <w:szCs w:val="96"/>
        </w:rPr>
      </w:pPr>
      <w:r>
        <w:rPr>
          <w:rFonts w:hint="eastAsia" w:ascii="黑体" w:hAnsi="黑体" w:eastAsia="黑体" w:cs="黑体"/>
          <w:sz w:val="72"/>
          <w:szCs w:val="96"/>
        </w:rPr>
        <w:t>人民代表大会常务委员会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600" w:lineRule="auto"/>
        <w:jc w:val="center"/>
        <w:rPr>
          <w:rFonts w:hint="eastAsia"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二〇二一年九月</w:t>
      </w: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59264;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rPr>
          <w:rFonts w:ascii="楷体_GB2312" w:eastAsia="楷体_GB2312"/>
          <w:sz w:val="32"/>
          <w:szCs w:val="32"/>
        </w:rPr>
      </w:pPr>
      <w:r>
        <w:rPr>
          <w:rFonts w:hint="eastAsia" w:ascii="楷体_GB2312" w:eastAsia="楷体_GB2312"/>
          <w:sz w:val="32"/>
          <w:szCs w:val="32"/>
        </w:rPr>
        <w:t>保定市满城区人民代表大会常务委员会机关设科级综合办事机构4个：办公室、法制室、代表工作室、财经室。</w:t>
      </w:r>
    </w:p>
    <w:p>
      <w:pPr>
        <w:rPr>
          <w:rFonts w:ascii="楷体_GB2312" w:eastAsia="楷体_GB2312"/>
          <w:sz w:val="32"/>
          <w:szCs w:val="32"/>
        </w:rPr>
      </w:pPr>
      <w:r>
        <w:rPr>
          <w:rFonts w:hint="eastAsia"/>
          <w:sz w:val="32"/>
          <w:szCs w:val="32"/>
        </w:rPr>
        <w:t>（</w:t>
      </w:r>
      <w:r>
        <w:rPr>
          <w:rFonts w:hint="eastAsia" w:ascii="楷体_GB2312" w:eastAsia="楷体_GB2312"/>
          <w:sz w:val="32"/>
          <w:szCs w:val="32"/>
        </w:rPr>
        <w:t>一）办公室的主要职责：</w:t>
      </w:r>
    </w:p>
    <w:p>
      <w:pPr>
        <w:rPr>
          <w:rFonts w:ascii="楷体_GB2312" w:eastAsia="楷体_GB2312"/>
          <w:sz w:val="32"/>
          <w:szCs w:val="32"/>
        </w:rPr>
      </w:pPr>
      <w:r>
        <w:rPr>
          <w:rFonts w:hint="eastAsia" w:ascii="楷体_GB2312" w:eastAsia="楷体_GB2312"/>
          <w:sz w:val="32"/>
          <w:szCs w:val="32"/>
        </w:rPr>
        <w:t xml:space="preserve">    1、承担区人民代表大会和常务委员会及其它人大工作会议的筹备、会务工作；</w:t>
      </w:r>
    </w:p>
    <w:p>
      <w:pPr>
        <w:rPr>
          <w:rFonts w:ascii="楷体_GB2312" w:eastAsia="楷体_GB2312"/>
          <w:sz w:val="32"/>
          <w:szCs w:val="32"/>
        </w:rPr>
      </w:pPr>
      <w:r>
        <w:rPr>
          <w:rFonts w:hint="eastAsia" w:ascii="楷体_GB2312" w:eastAsia="楷体_GB2312"/>
          <w:sz w:val="32"/>
          <w:szCs w:val="32"/>
        </w:rPr>
        <w:t xml:space="preserve">    2、负责人大常委会经济监督方面的具体工作，重点是对国民经济计划、财政预算草案、重大经济事项活动方案制定情况的审查和相关决议的落实督办工作。</w:t>
      </w:r>
    </w:p>
    <w:p>
      <w:pPr>
        <w:rPr>
          <w:rFonts w:ascii="楷体_GB2312" w:eastAsia="楷体_GB2312"/>
          <w:sz w:val="32"/>
          <w:szCs w:val="32"/>
        </w:rPr>
      </w:pPr>
      <w:r>
        <w:rPr>
          <w:rFonts w:hint="eastAsia" w:ascii="楷体_GB2312" w:eastAsia="楷体_GB2312"/>
          <w:sz w:val="32"/>
          <w:szCs w:val="32"/>
        </w:rPr>
        <w:t xml:space="preserve">    3、负责联系政府的经济执法部门，搞好工作协调配合。</w:t>
      </w:r>
    </w:p>
    <w:p>
      <w:pPr>
        <w:rPr>
          <w:rFonts w:ascii="楷体_GB2312" w:eastAsia="楷体_GB2312"/>
          <w:sz w:val="32"/>
          <w:szCs w:val="32"/>
        </w:rPr>
      </w:pPr>
      <w:r>
        <w:rPr>
          <w:rFonts w:hint="eastAsia" w:ascii="楷体_GB2312" w:eastAsia="楷体_GB2312"/>
          <w:sz w:val="32"/>
          <w:szCs w:val="32"/>
        </w:rPr>
        <w:t xml:space="preserve">    4、负责有关文件、领导讲话的起草、审核、文书处理、档案管理、印章管理和保密工作；</w:t>
      </w:r>
    </w:p>
    <w:p>
      <w:pPr>
        <w:rPr>
          <w:rFonts w:ascii="楷体_GB2312" w:eastAsia="楷体_GB2312"/>
          <w:sz w:val="32"/>
          <w:szCs w:val="32"/>
        </w:rPr>
      </w:pPr>
      <w:r>
        <w:rPr>
          <w:rFonts w:hint="eastAsia" w:ascii="楷体_GB2312" w:eastAsia="楷体_GB2312"/>
          <w:sz w:val="32"/>
          <w:szCs w:val="32"/>
        </w:rPr>
        <w:t xml:space="preserve">    5、负责常委会会议、主任会议、党组会议决定事项，重要文件及领导批示的传达和督办；</w:t>
      </w:r>
    </w:p>
    <w:p>
      <w:pPr>
        <w:rPr>
          <w:rFonts w:ascii="楷体_GB2312" w:eastAsia="楷体_GB2312"/>
          <w:sz w:val="32"/>
          <w:szCs w:val="32"/>
        </w:rPr>
      </w:pPr>
      <w:r>
        <w:rPr>
          <w:rFonts w:hint="eastAsia" w:ascii="楷体_GB2312" w:eastAsia="楷体_GB2312"/>
          <w:sz w:val="32"/>
          <w:szCs w:val="32"/>
        </w:rPr>
        <w:t xml:space="preserve">    6、负责人事任免的有关事宜；</w:t>
      </w:r>
    </w:p>
    <w:p>
      <w:pPr>
        <w:rPr>
          <w:rFonts w:ascii="楷体_GB2312" w:eastAsia="楷体_GB2312"/>
          <w:sz w:val="32"/>
          <w:szCs w:val="32"/>
        </w:rPr>
      </w:pPr>
      <w:r>
        <w:rPr>
          <w:rFonts w:hint="eastAsia" w:ascii="楷体_GB2312" w:eastAsia="楷体_GB2312"/>
          <w:sz w:val="32"/>
          <w:szCs w:val="32"/>
        </w:rPr>
        <w:t xml:space="preserve">    7、负责组织对代表大会、常委会会议及人大工作进行宣传报道和信息工作；</w:t>
      </w:r>
    </w:p>
    <w:p>
      <w:pPr>
        <w:rPr>
          <w:rFonts w:ascii="楷体_GB2312" w:eastAsia="楷体_GB2312"/>
          <w:sz w:val="32"/>
          <w:szCs w:val="32"/>
        </w:rPr>
      </w:pPr>
      <w:r>
        <w:rPr>
          <w:rFonts w:hint="eastAsia" w:ascii="楷体_GB2312" w:eastAsia="楷体_GB2312"/>
          <w:sz w:val="32"/>
          <w:szCs w:val="32"/>
        </w:rPr>
        <w:t xml:space="preserve">    8、承担常委会领导同志日常外事活动的具体事务，负责对外接待；</w:t>
      </w:r>
    </w:p>
    <w:p>
      <w:pPr>
        <w:rPr>
          <w:rFonts w:ascii="楷体_GB2312" w:eastAsia="楷体_GB2312"/>
          <w:sz w:val="32"/>
          <w:szCs w:val="32"/>
        </w:rPr>
      </w:pPr>
      <w:r>
        <w:rPr>
          <w:rFonts w:hint="eastAsia" w:ascii="楷体_GB2312" w:eastAsia="楷体_GB2312"/>
          <w:sz w:val="32"/>
          <w:szCs w:val="32"/>
        </w:rPr>
        <w:t xml:space="preserve">    9、负责机关的财务、车辆、卫生、机关值班、安全保卫等行政后勤事务及离退休干部的服务工作；</w:t>
      </w:r>
    </w:p>
    <w:p>
      <w:pPr>
        <w:rPr>
          <w:rFonts w:ascii="楷体_GB2312" w:eastAsia="楷体_GB2312"/>
          <w:sz w:val="32"/>
          <w:szCs w:val="32"/>
        </w:rPr>
      </w:pPr>
      <w:r>
        <w:rPr>
          <w:rFonts w:hint="eastAsia" w:ascii="楷体_GB2312" w:eastAsia="楷体_GB2312"/>
          <w:sz w:val="32"/>
          <w:szCs w:val="32"/>
        </w:rPr>
        <w:t xml:space="preserve">    10、负责区人大同全国、省、市人大和外县（市）人大联系事宜；</w:t>
      </w:r>
    </w:p>
    <w:p>
      <w:pPr>
        <w:rPr>
          <w:rFonts w:ascii="楷体_GB2312" w:eastAsia="楷体_GB2312"/>
          <w:sz w:val="32"/>
          <w:szCs w:val="32"/>
        </w:rPr>
      </w:pPr>
      <w:r>
        <w:rPr>
          <w:rFonts w:hint="eastAsia" w:ascii="楷体_GB2312" w:eastAsia="楷体_GB2312"/>
          <w:sz w:val="32"/>
          <w:szCs w:val="32"/>
        </w:rPr>
        <w:t xml:space="preserve">    11、负责机关的党群工作和社会活动事宜；</w:t>
      </w:r>
    </w:p>
    <w:p>
      <w:pPr>
        <w:rPr>
          <w:rFonts w:ascii="楷体_GB2312" w:eastAsia="楷体_GB2312"/>
          <w:sz w:val="32"/>
          <w:szCs w:val="32"/>
        </w:rPr>
      </w:pPr>
      <w:r>
        <w:rPr>
          <w:rFonts w:hint="eastAsia" w:ascii="楷体_GB2312" w:eastAsia="楷体_GB2312"/>
          <w:sz w:val="32"/>
          <w:szCs w:val="32"/>
        </w:rPr>
        <w:t xml:space="preserve">    12、负责</w:t>
      </w:r>
      <w:bookmarkStart w:id="0" w:name="_GoBack"/>
      <w:bookmarkEnd w:id="0"/>
      <w:r>
        <w:rPr>
          <w:rFonts w:hint="eastAsia" w:ascii="楷体_GB2312" w:eastAsia="楷体_GB2312"/>
          <w:sz w:val="32"/>
          <w:szCs w:val="32"/>
          <w:lang w:eastAsia="zh-CN"/>
        </w:rPr>
        <w:t>人大常委会机关</w:t>
      </w:r>
      <w:r>
        <w:rPr>
          <w:rFonts w:hint="eastAsia" w:ascii="楷体_GB2312" w:eastAsia="楷体_GB2312"/>
          <w:sz w:val="32"/>
          <w:szCs w:val="32"/>
        </w:rPr>
        <w:t>工作的部署、协调、落实工作；</w:t>
      </w:r>
    </w:p>
    <w:p>
      <w:pPr>
        <w:rPr>
          <w:rFonts w:ascii="楷体_GB2312" w:eastAsia="楷体_GB2312"/>
          <w:sz w:val="32"/>
          <w:szCs w:val="32"/>
        </w:rPr>
      </w:pPr>
      <w:r>
        <w:rPr>
          <w:rFonts w:hint="eastAsia" w:ascii="楷体_GB2312" w:eastAsia="楷体_GB2312"/>
          <w:sz w:val="32"/>
          <w:szCs w:val="32"/>
        </w:rPr>
        <w:t xml:space="preserve">    13、承办领导交办的其它事项。</w:t>
      </w:r>
    </w:p>
    <w:p>
      <w:pPr>
        <w:rPr>
          <w:rFonts w:ascii="楷体_GB2312" w:eastAsia="楷体_GB2312"/>
          <w:sz w:val="32"/>
          <w:szCs w:val="32"/>
        </w:rPr>
      </w:pPr>
      <w:r>
        <w:rPr>
          <w:rFonts w:hint="eastAsia" w:ascii="楷体_GB2312" w:eastAsia="楷体_GB2312"/>
          <w:sz w:val="32"/>
          <w:szCs w:val="32"/>
        </w:rPr>
        <w:t xml:space="preserve">  （二）法制室的主要职责：</w:t>
      </w:r>
    </w:p>
    <w:p>
      <w:pPr>
        <w:rPr>
          <w:rFonts w:ascii="楷体_GB2312" w:eastAsia="楷体_GB2312"/>
          <w:sz w:val="32"/>
          <w:szCs w:val="32"/>
        </w:rPr>
      </w:pPr>
      <w:r>
        <w:rPr>
          <w:rFonts w:hint="eastAsia" w:ascii="楷体_GB2312" w:eastAsia="楷体_GB2312"/>
          <w:sz w:val="32"/>
          <w:szCs w:val="32"/>
        </w:rPr>
        <w:t xml:space="preserve">    1、根据常委会工作部署，及时调查了解有关国家、省法律、法规的贯彻执行情况；</w:t>
      </w:r>
    </w:p>
    <w:p>
      <w:pPr>
        <w:rPr>
          <w:rFonts w:ascii="楷体_GB2312" w:eastAsia="楷体_GB2312"/>
          <w:sz w:val="32"/>
          <w:szCs w:val="32"/>
        </w:rPr>
      </w:pPr>
      <w:r>
        <w:rPr>
          <w:rFonts w:hint="eastAsia" w:ascii="楷体_GB2312" w:eastAsia="楷体_GB2312"/>
          <w:sz w:val="32"/>
          <w:szCs w:val="32"/>
        </w:rPr>
        <w:t xml:space="preserve">    2、围绕常委会有关议题，联系政府有关部门，听取汇报、调查研究，起草调查报告，拟定审议意见或决议决定；</w:t>
      </w:r>
    </w:p>
    <w:p>
      <w:pPr>
        <w:rPr>
          <w:rFonts w:ascii="楷体_GB2312" w:eastAsia="楷体_GB2312"/>
          <w:sz w:val="32"/>
          <w:szCs w:val="32"/>
        </w:rPr>
      </w:pPr>
      <w:r>
        <w:rPr>
          <w:rFonts w:hint="eastAsia" w:ascii="楷体_GB2312" w:eastAsia="楷体_GB2312"/>
          <w:sz w:val="32"/>
          <w:szCs w:val="32"/>
        </w:rPr>
        <w:t xml:space="preserve">    3、对上级人大法律、法规草案，组织有关人员，召开征求意见座谈会，并按时间要求，整理汇总上报；</w:t>
      </w:r>
    </w:p>
    <w:p>
      <w:pPr>
        <w:rPr>
          <w:rFonts w:ascii="楷体_GB2312" w:eastAsia="楷体_GB2312"/>
          <w:sz w:val="32"/>
          <w:szCs w:val="32"/>
        </w:rPr>
      </w:pPr>
      <w:r>
        <w:rPr>
          <w:rFonts w:hint="eastAsia" w:ascii="楷体_GB2312" w:eastAsia="楷体_GB2312"/>
          <w:sz w:val="32"/>
          <w:szCs w:val="32"/>
        </w:rPr>
        <w:t xml:space="preserve">    4、对一府两院的规章和规范性文件及乡镇人大的决议决定做好备案、审查和处理意见的起草工作；</w:t>
      </w:r>
    </w:p>
    <w:p>
      <w:pPr>
        <w:rPr>
          <w:rFonts w:ascii="楷体_GB2312" w:eastAsia="楷体_GB2312"/>
          <w:sz w:val="32"/>
          <w:szCs w:val="32"/>
        </w:rPr>
      </w:pPr>
      <w:r>
        <w:rPr>
          <w:rFonts w:hint="eastAsia" w:ascii="楷体_GB2312" w:eastAsia="楷体_GB2312"/>
          <w:sz w:val="32"/>
          <w:szCs w:val="32"/>
        </w:rPr>
        <w:t xml:space="preserve">    5、承担常委会的执法检查，视察等活动的组织工作；</w:t>
      </w:r>
    </w:p>
    <w:p>
      <w:pPr>
        <w:rPr>
          <w:rFonts w:ascii="楷体_GB2312" w:eastAsia="楷体_GB2312"/>
          <w:sz w:val="32"/>
          <w:szCs w:val="32"/>
        </w:rPr>
      </w:pPr>
      <w:r>
        <w:rPr>
          <w:rFonts w:hint="eastAsia" w:ascii="楷体_GB2312" w:eastAsia="楷体_GB2312"/>
          <w:sz w:val="32"/>
          <w:szCs w:val="32"/>
        </w:rPr>
        <w:t xml:space="preserve">    6、负责对普法工作进行督促检查；</w:t>
      </w:r>
    </w:p>
    <w:p>
      <w:pPr>
        <w:rPr>
          <w:rFonts w:ascii="楷体_GB2312" w:eastAsia="楷体_GB2312"/>
          <w:sz w:val="32"/>
          <w:szCs w:val="32"/>
        </w:rPr>
      </w:pPr>
      <w:r>
        <w:rPr>
          <w:rFonts w:hint="eastAsia" w:ascii="楷体_GB2312" w:eastAsia="楷体_GB2312"/>
          <w:sz w:val="32"/>
          <w:szCs w:val="32"/>
        </w:rPr>
        <w:t xml:space="preserve">    7、负责对“一府两院”实施“两错”责任追究制工作进行监督检查；</w:t>
      </w:r>
    </w:p>
    <w:p>
      <w:pPr>
        <w:rPr>
          <w:rFonts w:ascii="楷体_GB2312" w:eastAsia="楷体_GB2312"/>
          <w:sz w:val="32"/>
          <w:szCs w:val="32"/>
        </w:rPr>
      </w:pPr>
      <w:r>
        <w:rPr>
          <w:rFonts w:hint="eastAsia" w:ascii="楷体_GB2312" w:eastAsia="楷体_GB2312"/>
          <w:sz w:val="32"/>
          <w:szCs w:val="32"/>
        </w:rPr>
        <w:t xml:space="preserve">    8、负责人大常委会与法院、检察院及政府、民政、人事劳动和社会保障等社会事业行政管理部门的工作联系；</w:t>
      </w:r>
    </w:p>
    <w:p>
      <w:pPr>
        <w:rPr>
          <w:rFonts w:ascii="楷体_GB2312" w:eastAsia="楷体_GB2312"/>
          <w:sz w:val="32"/>
          <w:szCs w:val="32"/>
        </w:rPr>
      </w:pPr>
      <w:r>
        <w:rPr>
          <w:rFonts w:hint="eastAsia" w:ascii="楷体_GB2312" w:eastAsia="楷体_GB2312"/>
          <w:sz w:val="32"/>
          <w:szCs w:val="32"/>
        </w:rPr>
        <w:t xml:space="preserve">    9、负责接待来信来访，向常委会领导报告来信来访中或到基层调查了解到的重要问题和提出的重要建议；</w:t>
      </w:r>
    </w:p>
    <w:p>
      <w:pPr>
        <w:rPr>
          <w:rFonts w:ascii="楷体_GB2312" w:eastAsia="楷体_GB2312"/>
          <w:sz w:val="32"/>
          <w:szCs w:val="32"/>
        </w:rPr>
      </w:pPr>
      <w:r>
        <w:rPr>
          <w:rFonts w:hint="eastAsia" w:ascii="楷体_GB2312" w:eastAsia="楷体_GB2312"/>
          <w:sz w:val="32"/>
          <w:szCs w:val="32"/>
        </w:rPr>
        <w:t xml:space="preserve">    10、负责对有关法律法规的解释、询问和答复工作；</w:t>
      </w:r>
    </w:p>
    <w:p>
      <w:pPr>
        <w:rPr>
          <w:rFonts w:ascii="楷体_GB2312" w:eastAsia="楷体_GB2312"/>
          <w:sz w:val="32"/>
          <w:szCs w:val="32"/>
        </w:rPr>
      </w:pPr>
      <w:r>
        <w:rPr>
          <w:rFonts w:hint="eastAsia" w:ascii="楷体_GB2312" w:eastAsia="楷体_GB2312"/>
          <w:sz w:val="32"/>
          <w:szCs w:val="32"/>
        </w:rPr>
        <w:t xml:space="preserve">    11、负责</w:t>
      </w:r>
      <w:r>
        <w:rPr>
          <w:rFonts w:hint="eastAsia" w:ascii="楷体_GB2312" w:eastAsia="楷体_GB2312"/>
          <w:sz w:val="32"/>
          <w:szCs w:val="32"/>
          <w:lang w:eastAsia="zh-CN"/>
        </w:rPr>
        <w:t>人大常委会机关</w:t>
      </w:r>
      <w:r>
        <w:rPr>
          <w:rFonts w:hint="eastAsia" w:ascii="楷体_GB2312" w:eastAsia="楷体_GB2312"/>
          <w:sz w:val="32"/>
          <w:szCs w:val="32"/>
        </w:rPr>
        <w:t>的法律学习指导工作；</w:t>
      </w:r>
    </w:p>
    <w:p>
      <w:pPr>
        <w:rPr>
          <w:rFonts w:ascii="楷体_GB2312" w:eastAsia="楷体_GB2312"/>
          <w:sz w:val="32"/>
          <w:szCs w:val="32"/>
        </w:rPr>
      </w:pPr>
      <w:r>
        <w:rPr>
          <w:rFonts w:hint="eastAsia" w:ascii="楷体_GB2312" w:eastAsia="楷体_GB2312"/>
          <w:sz w:val="32"/>
          <w:szCs w:val="32"/>
        </w:rPr>
        <w:t xml:space="preserve">    12、完成领导交办的其他工作。</w:t>
      </w:r>
    </w:p>
    <w:p>
      <w:pPr>
        <w:rPr>
          <w:rFonts w:ascii="楷体_GB2312" w:eastAsia="楷体_GB2312"/>
          <w:sz w:val="32"/>
          <w:szCs w:val="32"/>
        </w:rPr>
      </w:pPr>
      <w:r>
        <w:rPr>
          <w:rFonts w:hint="eastAsia" w:ascii="楷体_GB2312" w:eastAsia="楷体_GB2312"/>
          <w:sz w:val="32"/>
          <w:szCs w:val="32"/>
        </w:rPr>
        <w:t xml:space="preserve">  （三）代表工作室的主要职责：</w:t>
      </w:r>
    </w:p>
    <w:p>
      <w:pPr>
        <w:rPr>
          <w:rFonts w:ascii="楷体_GB2312" w:eastAsia="楷体_GB2312"/>
          <w:sz w:val="32"/>
          <w:szCs w:val="32"/>
        </w:rPr>
      </w:pPr>
      <w:r>
        <w:rPr>
          <w:rFonts w:hint="eastAsia" w:ascii="楷体_GB2312" w:eastAsia="楷体_GB2312"/>
          <w:sz w:val="32"/>
          <w:szCs w:val="32"/>
        </w:rPr>
        <w:t xml:space="preserve">    1、负责协助上级人大，搞好本级人大、指导乡镇人大的代表联络工作，收集人大代表议案，批评意见和建议；组织安排代表视察、检查、调查等活动，为代表履行职责提供服务；</w:t>
      </w:r>
    </w:p>
    <w:p>
      <w:pPr>
        <w:rPr>
          <w:rFonts w:ascii="楷体_GB2312" w:eastAsia="楷体_GB2312"/>
          <w:sz w:val="32"/>
          <w:szCs w:val="32"/>
        </w:rPr>
      </w:pPr>
      <w:r>
        <w:rPr>
          <w:rFonts w:hint="eastAsia" w:ascii="楷体_GB2312" w:eastAsia="楷体_GB2312"/>
          <w:sz w:val="32"/>
          <w:szCs w:val="32"/>
        </w:rPr>
        <w:t xml:space="preserve">    2、做好代表议案批评意见和建议的督办及情况报告的起草工作；</w:t>
      </w:r>
    </w:p>
    <w:p>
      <w:pPr>
        <w:rPr>
          <w:rFonts w:ascii="楷体_GB2312" w:eastAsia="楷体_GB2312"/>
          <w:sz w:val="32"/>
          <w:szCs w:val="32"/>
        </w:rPr>
      </w:pPr>
      <w:r>
        <w:rPr>
          <w:rFonts w:hint="eastAsia" w:ascii="楷体_GB2312" w:eastAsia="楷体_GB2312"/>
          <w:sz w:val="32"/>
          <w:szCs w:val="32"/>
        </w:rPr>
        <w:t xml:space="preserve">    3、总结和宣传代表的先进事迹，推广代表工作的先进经验；</w:t>
      </w:r>
    </w:p>
    <w:p>
      <w:pPr>
        <w:rPr>
          <w:rFonts w:ascii="楷体_GB2312" w:eastAsia="楷体_GB2312"/>
          <w:sz w:val="32"/>
          <w:szCs w:val="32"/>
        </w:rPr>
      </w:pPr>
      <w:r>
        <w:rPr>
          <w:rFonts w:hint="eastAsia" w:ascii="楷体_GB2312" w:eastAsia="楷体_GB2312"/>
          <w:sz w:val="32"/>
          <w:szCs w:val="32"/>
        </w:rPr>
        <w:t xml:space="preserve">    4、负责办理代表资格审查委员会的有关工作；</w:t>
      </w:r>
    </w:p>
    <w:p>
      <w:pPr>
        <w:rPr>
          <w:rFonts w:ascii="楷体_GB2312" w:eastAsia="楷体_GB2312"/>
          <w:sz w:val="32"/>
          <w:szCs w:val="32"/>
        </w:rPr>
      </w:pPr>
      <w:r>
        <w:rPr>
          <w:rFonts w:hint="eastAsia" w:ascii="楷体_GB2312" w:eastAsia="楷体_GB2312"/>
          <w:sz w:val="32"/>
          <w:szCs w:val="32"/>
        </w:rPr>
        <w:t xml:space="preserve">    5、负责代表的业务培训，为代表履行职责提供法律咨询，做好代表报刊发行工作，为代表学习提供方便；</w:t>
      </w:r>
    </w:p>
    <w:p>
      <w:pPr>
        <w:rPr>
          <w:rFonts w:ascii="楷体_GB2312" w:eastAsia="楷体_GB2312"/>
          <w:sz w:val="32"/>
          <w:szCs w:val="32"/>
        </w:rPr>
      </w:pPr>
      <w:r>
        <w:rPr>
          <w:rFonts w:hint="eastAsia" w:ascii="楷体_GB2312" w:eastAsia="楷体_GB2312"/>
          <w:sz w:val="32"/>
          <w:szCs w:val="32"/>
        </w:rPr>
        <w:t xml:space="preserve">    6、指导乡镇人大开展工作；</w:t>
      </w:r>
    </w:p>
    <w:p>
      <w:pPr>
        <w:rPr>
          <w:rFonts w:ascii="楷体_GB2312" w:eastAsia="楷体_GB2312"/>
          <w:sz w:val="32"/>
          <w:szCs w:val="32"/>
        </w:rPr>
      </w:pPr>
      <w:r>
        <w:rPr>
          <w:rFonts w:hint="eastAsia" w:ascii="楷体_GB2312" w:eastAsia="楷体_GB2312"/>
          <w:sz w:val="32"/>
          <w:szCs w:val="32"/>
        </w:rPr>
        <w:t xml:space="preserve">    7、负责与政府的农业、科技及文化、教育、卫生等行政执法部门的工作联系。</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8、完成领导交办的其他工作。 </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（四）财经工作室的主要职责：</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1、根据区人大常委会的决议、决定和主任会议的工作部署进行调查研究，并负责向人大常委会和主任会议提供情况和资料；</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2、 调查研究区政府对有关财经、农经方面的法律、法规的贯彻执行情况，并负责向人大常委会或主任会议提出报告和建议；</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3、调研全区财经、农经方面的重大事项，并负责向人大常委会或主任会议汇报；</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4、督促和协调有关部门做好财经、农经方面的法律、法规的宣传和贯彻实施、承办上级人大常委会交办的有关财经、农经方面的法律、法规修改意见的征求工作；</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5、组织开展有关的视察、执法检查活动，负责起草与财经、农经工作有关的文件、讲话、计划、总结等材料；</w:t>
      </w:r>
    </w:p>
    <w:p>
      <w:pPr>
        <w:autoSpaceDE w:val="0"/>
        <w:autoSpaceDN w:val="0"/>
        <w:adjustRightInd w:val="0"/>
        <w:jc w:val="left"/>
        <w:rPr>
          <w:rFonts w:ascii="楷体_GB2312" w:eastAsia="楷体_GB2312"/>
          <w:sz w:val="32"/>
          <w:szCs w:val="32"/>
        </w:rPr>
      </w:pPr>
      <w:r>
        <w:rPr>
          <w:rFonts w:hint="eastAsia" w:ascii="楷体_GB2312" w:eastAsia="楷体_GB2312"/>
          <w:sz w:val="32"/>
          <w:szCs w:val="32"/>
        </w:rPr>
        <w:t xml:space="preserve">   6、负责为人大常委会领导提供有关财经、农经工作方面的信息和情况；</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20</w:t>
      </w:r>
      <w:r>
        <w:rPr>
          <w:rFonts w:hint="eastAsia" w:ascii="仿宋_GB2312" w:hAnsi="Cambria" w:eastAsia="仿宋_GB2312" w:cs="ArialUnicodeMS"/>
          <w:kern w:val="0"/>
          <w:sz w:val="32"/>
          <w:szCs w:val="32"/>
        </w:rPr>
        <w:t>20</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1个，具体情况如下：</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w:t>
            </w:r>
            <w:r>
              <w:rPr>
                <w:rFonts w:ascii="仿宋_GB2312" w:hAnsi="Cambria" w:eastAsia="仿宋_GB2312" w:cs="ArialUnicodeMS"/>
                <w:kern w:val="0"/>
                <w:sz w:val="28"/>
                <w:szCs w:val="28"/>
              </w:rPr>
              <w:t>满城区人民代表大会常务委员会</w:t>
            </w:r>
          </w:p>
        </w:tc>
        <w:tc>
          <w:tcPr>
            <w:tcW w:w="244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行政单位</w:t>
            </w:r>
          </w:p>
        </w:tc>
        <w:tc>
          <w:tcPr>
            <w:tcW w:w="2665" w:type="dxa"/>
          </w:tcPr>
          <w:p>
            <w:pPr>
              <w:spacing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财政拨款</w:t>
            </w:r>
          </w:p>
        </w:tc>
      </w:tr>
    </w:tbl>
    <w:p/>
    <w:p>
      <w:pPr>
        <w:widowControl/>
        <w:spacing w:after="160" w:line="580" w:lineRule="exact"/>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2336;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fIAsmPgIAAJ0EAAAOAAAAZHJzL2Uyb0RvYy54&#10;bWytVMuO0zAU3SPxD5b3NG1DpxA1HcGUskGANPABrh+JJb9ku036A/AHrNiwn+/qd3DtZDrMwKIL&#10;Gim9sU/OPfdc36yue63QgfsgranxbDLFiBtqmTRNjb9+2b54hVGIxDCirOE1PvKAr9fPn606V/G5&#10;ba1i3CMgMaHqXI3bGF1VFIG2XJMwsY4b2BTWaxLh0TcF86QDdq2K+XR6VXTWM+ct5SHA6mbYxCOj&#10;v4TQCiEp31i619zEgdVzRSKUFFrpAl5ntUJwGj8JEXhEqsZQacx3SALxLt2L9YpUjSeulXSUQC6R&#10;8KQmTaSBpGeqDYkE7b38i0pL6m2wIk6o1cVQSHYEqphNn3hz2xLHcy1gdXBn08P/o6UfD589kqzG&#10;JUaGaGj46cf308+7069vaLZI/nQuVAC7dQCM/Vvbw6m5Xw+wmMruhdfpHwpCsA/uHs/u8j4iCovL&#10;5euyXCwworBXli9n5TL7Xzy87nyI77nVKAU19tC+7Co5fAgRpAD0HpKyORLjVio1wh2NiwwXzY3K&#10;soJvdhCiA4H2L7fpSsqB5gzZ/RO7zb8RO0JS8jFhSq4M6sCJ+XIK1VICkyDgBEKoHbgZTJOlBKsk&#10;SxrTK4/kvLlK15jiESyVuCGhHWTnrQQjlbd7w3LUcsLeGYbi0UHHDAwqTmo0ZxgpDnOdooyMRKpL&#10;kFCdMmBN6vbQ1RTFftcDTQp3lh3hBBBDWwsDRKPH48NNHAZq77xsWuhbPh6ZCU5ttnucsDQWfz7n&#10;fA9f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B8gCyY+AgAAnQQAAA4AAAAAAAAAAQAg&#10;AAAALAEAAGRycy9lMm9Eb2MueG1sUEsFBgAAAAAGAAYAWQEAANwFA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pPr>
      <w:r>
        <w:br w:type="page"/>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r>
        <w:rPr>
          <w:rFonts w:ascii="黑体" w:hAnsi="Calibri" w:eastAsia="黑体" w:cs="Times New Roman"/>
          <w:sz w:val="32"/>
          <w:szCs w:val="32"/>
        </w:rPr>
        <w:t xml:space="preserve"> </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20年度收入总计311.01万元。与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9年度决算相比，收入减少26.88万元，减少7.96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，主要原因是本年未安排代表培训活动，减少了培训费收入。支出总计311.01万元。与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9年度决算相比，支出减少26.88万元，减少7.96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20年度本年收入合计311.01万元，其中：财政拨款收入311.01万元，占100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 xml:space="preserve"> </w:t>
      </w:r>
      <w:r>
        <w:rPr>
          <w:rFonts w:hint="eastAsia" w:ascii="仿宋_GB2312" w:hAnsi="Times New Roman" w:eastAsia="仿宋_GB2312" w:cs="Wingdings"/>
          <w:sz w:val="32"/>
          <w:szCs w:val="32"/>
        </w:rPr>
        <w:t>事业收入0万元，占0%；经营收入0万元，占0%；其他收入0万元，占0%。</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20年度本年支出合计311.01万元，其中：基本支出258.40万元，占83.08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；项目支出52.61万元，占16.92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经营支出0万元，占0%。</w:t>
      </w:r>
      <w:r>
        <w:rPr>
          <w:rFonts w:ascii="仿宋_GB2312" w:hAnsi="Times New Roman" w:eastAsia="仿宋_GB2312" w:cs="DengXian-Regular"/>
          <w:sz w:val="32"/>
          <w:szCs w:val="32"/>
        </w:rPr>
        <w:t xml:space="preserve"> </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20年度形成的财政拨款收支均为一般公共预算财政拨款，其中本年收入311.01万元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，主要原因是本年未安排代表培训活动，减少了培训费收入；本年支出总计311.01万元，与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9年度决算相比，支出减少26.88万元，减少7.96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20年度财政拨款本年收入311.01万元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，主要原因是本年未安排代表培训活动，减少了培训费收入；本年支出311.01万元，减少26.88万元，减少7.96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，主要原因是本年未安排代表培训活动，减少了培训费支出。具体情况如下：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一般公共预算财政拨款本年收入311.01万元，比上年减少26.88万元，减少7.96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；主要原因是本年未安排代表培训活动，减少了培训费收入；本年支出311.01万元，比上年减少26.88万元，减少7.96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，主要原因是本年未安排代表培训活动，减少了培训费支出。</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20年度一般公共预算财政拨款收入311.01万元，完成年初预算的95.17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比年初预算减少15.79万元，决算数小于预算数主要原因是减少了培训费收入；本年支出311.01万元，完成年初预算的95.17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比年初预算减少15.79万元，决算数小于预算数主要原因是主要是减少了培训费支出并厉行节约，严格控制经费支出。</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年度财政拨款支出311.01万元，主要用于以下方面：</w:t>
      </w:r>
      <w:r>
        <w:rPr>
          <w:rFonts w:hint="eastAsia" w:ascii="仿宋_GB2312" w:hAnsi="Times New Roman" w:eastAsia="仿宋_GB2312" w:cs="DengXian-Regular"/>
          <w:sz w:val="32"/>
          <w:szCs w:val="32"/>
        </w:rPr>
        <w:t>一般公共服务（类）支出255.85万元，占82.26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，；社会保障和就业（类）支出32.48万元，占10.44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；卫生健康类支出9.46万元，占3.04 %；住房保障（类）支出13.22万元，占4.25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楷体_GB2312" w:hAnsi="Times New Roman" w:eastAsia="楷体_GB2312" w:cs="Mongolian Baiti"/>
          <w:b/>
          <w:bCs/>
          <w:sz w:val="32"/>
          <w:szCs w:val="32"/>
        </w:rPr>
        <w:t xml:space="preserve"> </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20年度财政拨款基本支出258.40万元，其中：人员经费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230.91万元，主要包括基本工资、津贴补贴、奖金、机关事业单位基本养老保险缴费、职工基本医疗保险缴费、住房公积金、医疗费、其他社会保障缴费、其他工资福利支出、退休费、生活补助、奖励金、其他对个人和家庭的补助支出；公用经费27.50万元，主要包括办公费、邮电费、取暖费、物业管理费、差旅费、维修（护）费、会议费、培训费、公务接待费、委托业务费、公务用车运行维护费、其他交通费用、其他商品和服务支出、办公设备购置、专用设备购置。</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20年度“三公”经费支出共计2.28万元，完成预算的19.00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较预算减少9.72万元，降低81.00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，主要是认真</w:t>
      </w:r>
      <w:r>
        <w:rPr>
          <w:rFonts w:hint="eastAsia" w:ascii="仿宋_GB2312" w:hAnsi="Times New Roman" w:eastAsia="仿宋_GB2312" w:cs="DengXian-Regular"/>
          <w:sz w:val="32"/>
          <w:szCs w:val="32"/>
          <w:lang w:eastAsia="zh-CN"/>
        </w:rPr>
        <w:t>贯彻落实中央八项规定</w:t>
      </w:r>
      <w:r>
        <w:rPr>
          <w:rFonts w:hint="eastAsia" w:ascii="仿宋_GB2312" w:hAnsi="Times New Roman" w:eastAsia="仿宋_GB2312" w:cs="DengXian-Regular"/>
          <w:sz w:val="32"/>
          <w:szCs w:val="32"/>
        </w:rPr>
        <w:t>精神和厉行节约要求，从严控制“三公”经费开支；较</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9年度减少6.10万元，降低72.79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，主要是：从严控制车辆维修费支出。</w:t>
      </w:r>
    </w:p>
    <w:p>
      <w:pPr>
        <w:adjustRightInd w:val="0"/>
        <w:snapToGrid w:val="0"/>
        <w:spacing w:line="60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w:t>
      </w:r>
      <w:r>
        <w:rPr>
          <w:rFonts w:hint="eastAsia" w:ascii="仿宋_GB2312" w:hAnsi="仿宋_GB2312" w:eastAsia="仿宋_GB2312" w:cs="仿宋_GB2312"/>
          <w:sz w:val="32"/>
          <w:szCs w:val="32"/>
        </w:rPr>
        <w:t>本部门2020年因公出国（境）费支出0万元，完成预算的100%。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因公出国（境）团组0个、共0人、参加其他单位组织的因公出国（境）团组0个、共0人，无本单位组织的出国（境）团组。因公出国（境）费支出较预算无变化。</w:t>
      </w:r>
    </w:p>
    <w:p>
      <w:pPr>
        <w:adjustRightInd w:val="0"/>
        <w:snapToGrid w:val="0"/>
        <w:spacing w:line="580" w:lineRule="exact"/>
        <w:ind w:firstLine="640" w:firstLineChars="200"/>
        <w:rPr>
          <w:rFonts w:ascii="仿宋_GB2312" w:hAnsi="Times New Roman" w:eastAsia="仿宋_GB2312" w:cs="DengXian-Regular"/>
          <w:sz w:val="32"/>
          <w:szCs w:val="32"/>
        </w:rPr>
      </w:pPr>
    </w:p>
    <w:p>
      <w:pPr>
        <w:snapToGrid w:val="0"/>
        <w:spacing w:line="360" w:lineRule="auto"/>
        <w:ind w:firstLine="643" w:firstLineChars="200"/>
        <w:rPr>
          <w:rFonts w:ascii="仿宋_GB2312" w:eastAsia="仿宋_GB2312" w:cs="DengXian-Regular"/>
          <w:sz w:val="32"/>
          <w:szCs w:val="32"/>
        </w:rPr>
      </w:pPr>
      <w:r>
        <w:rPr>
          <w:rFonts w:hint="eastAsia" w:ascii="楷体_GB2312" w:hAnsi="Times New Roman" w:eastAsia="楷体_GB2312" w:cs="DengXian-Bold"/>
          <w:b/>
          <w:bCs/>
          <w:sz w:val="32"/>
          <w:szCs w:val="32"/>
        </w:rPr>
        <w:t>（二）公务用车购置及运行维护费支出2.28万元。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20年度公务用车购置及运行维护费较预算减少9.72万元，降低81.00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；较上年减少6.10万元，降低72.79</w:t>
      </w:r>
      <w:r>
        <w:rPr>
          <w:rFonts w:ascii="仿宋_GB2312" w:hAnsi="Times New Roman" w:eastAsia="仿宋_GB2312" w:cs="DengXian-Regular"/>
          <w:sz w:val="32"/>
          <w:szCs w:val="32"/>
        </w:rPr>
        <w:t>%</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rPr>
        <w:t>从严控制车辆维修费支出</w:t>
      </w:r>
      <w:r>
        <w:rPr>
          <w:rFonts w:hint="eastAsia" w:ascii="仿宋_GB2312"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Wingdings"/>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Wingdings"/>
          <w:sz w:val="32"/>
          <w:szCs w:val="32"/>
        </w:rPr>
        <w:t>本部门2020年度公务用车购置量0辆，发生“公务用车购置”经费支出0万元。公务用车购置费支出较预算无变化；较上年无变化。</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20年度单位公务用车保有量4辆。公车运行维护费支出较预算减少9.72万元，降低81.00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精神和厉行节约要求，从严控制车辆维修费开支</w:t>
      </w:r>
      <w:r>
        <w:rPr>
          <w:rFonts w:hint="eastAsia" w:ascii="仿宋_GB2312" w:hAnsi="Times New Roman" w:eastAsia="仿宋_GB2312" w:cs="DengXian-Regular"/>
          <w:sz w:val="32"/>
          <w:szCs w:val="32"/>
        </w:rPr>
        <w:t>；较上年减少6.10万元，降低72.79</w:t>
      </w:r>
      <w:r>
        <w:rPr>
          <w:rFonts w:ascii="仿宋_GB2312" w:hAnsi="Times New Roman" w:eastAsia="仿宋_GB2312" w:cs="DengXian-Regular"/>
          <w:sz w:val="32"/>
          <w:szCs w:val="32"/>
        </w:rPr>
        <w:t>%</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rPr>
        <w:t>从严控制车辆维修费支出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仿宋_GB2312" w:eastAsia="仿宋_GB2312" w:cs="仿宋_GB2312"/>
          <w:sz w:val="32"/>
          <w:szCs w:val="32"/>
        </w:rPr>
        <w:t>本部门2020年公务</w:t>
      </w:r>
      <w:r>
        <w:rPr>
          <w:rFonts w:hint="eastAsia" w:ascii="仿宋_GB2312" w:hAnsi="仿宋_GB2312" w:eastAsia="仿宋_GB2312" w:cs="仿宋_GB2312"/>
          <w:sz w:val="32"/>
          <w:szCs w:val="32"/>
          <w:lang w:val="en-US" w:eastAsia="zh-CN"/>
        </w:rPr>
        <w:t>接待</w:t>
      </w:r>
      <w:r>
        <w:rPr>
          <w:rFonts w:hint="eastAsia" w:ascii="仿宋_GB2312" w:hAnsi="仿宋_GB2312" w:eastAsia="仿宋_GB2312" w:cs="仿宋_GB2312"/>
          <w:sz w:val="32"/>
          <w:szCs w:val="32"/>
        </w:rPr>
        <w:t>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万元。发生</w:t>
      </w:r>
      <w:r>
        <w:rPr>
          <w:rFonts w:hint="eastAsia" w:ascii="仿宋_GB2312" w:hAnsi="Times New Roman" w:eastAsia="仿宋_GB2312" w:cs="Wingdings"/>
          <w:sz w:val="32"/>
          <w:szCs w:val="32"/>
        </w:rPr>
        <w:t>公务接待共0批次、0人次。公务接待费支出较预算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主要是没有发生公务接待；较上年度减少0万元，降低0%,主要是2019年、2020年均未发生公务接待。</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根据预算绩效管理要求，本部门组织对2020年度项目支出全面开展绩效自评，其中，一般公共预算一级项目6个，涉及资金54.24万元，占一般公共预算项目支出总额的100%；无政府性基金预算项目。</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组织对6个一级项目开展了部门评价，涉及一般公共预算支出52.61万元。委托单位内控机构开展绩效评价，从评价情况来看，本部门6个项目均能按时、按质、按量完成。</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本部门在今年部门决算公开中反映“区二届人大四次会议”项目等6个项目绩效自评结果。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官网维护费”项目自评综述：根据年初设定的绩效目标，“人大官网维护费”项目绩效自评得分为100分（绩效自评表附后）。全年预算数为5.00万元，执行数为5.00万元，完成预算的100%。项目绩效目标完成情况：一是完成网站日常维护工作；二是完成网站版面更新；三是进行信息及时上传，保证网页正常浏览。发现的主要问题及原因：无。下一步整改措施：无。</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云视频会议系统”项目绩效自评综述：根据年初设定的绩效目标，“建设云视频会议系统”项目绩效自评得分为100分（绩效自评表附后）。全年预算数为5.00万元，执行数为3.42万元，完成预算的68.40%。项目绩效目标完成情况：一是完成设备购置；二是确保设备投入正常使用，保证会议效果。发现的主要问题及原因：无。下一步整改措施：无。</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设代表联络站”项目绩效自评综述：根据年初设定的绩效目标，“建设代表联络站”项目绩效自评得分为100分（绩效自评表附后）。全年预算数为10.00万元，执行数为9.96万元，完成预算的99.60%。项目绩效目标完成情况：一是建成16个代表之家，保证验收合格。二是加强代表之家日常管理，保证代表参政、议政、监督活动的正常开展。发现的主要问题及原因：无。下一步整改措施：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预算联网网费”项目绩效自评综述：根据年初设定的绩效目标，“预算联网网费”项目绩效自评得分为100分（绩效自评表附后）。全年预算数为0.24万元，执行数为0.24万元，完成预算的100%。项目绩效目标完成情况：及时支付联网网费，保证网络运行正常。发现的主要问题及原因：无。下一步整改措施：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房屋改建维修经费”项目绩效自评综述：根据年初设定的绩效目标，“房屋改建维修经费”项目绩效自评得分为100分（绩效自评表附后）。全年预算数为4.00万元，执行数为4.00万元，完成预算的100%。项目绩效目标完成情况：一是及时支付资金，确保工期按期完成。二是保证工期验收合格，消除隐患。发现的主要问题及原因：无。下一步整改措施：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（6）“区二届人大四次会议” 项目绩效自评综述：根据年初设定的绩效目标，“区二届人大四次会议” 项目绩效自评得分为100分（绩效自评表附后）。全年预算数为30.00万元，执行数为29.99万元，完成预算的99.97%。项目绩效目标完成情况：一是会前安排会议场地、代表食宿、打印会议文件、制作相关证件等；二是会中确保各项议程顺利进行；三是会后及时支付会议经费。</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具体绩效自评表如下：</w:t>
      </w:r>
    </w:p>
    <w:tbl>
      <w:tblPr>
        <w:tblStyle w:val="5"/>
        <w:tblW w:w="9087" w:type="dxa"/>
        <w:tblInd w:w="93" w:type="dxa"/>
        <w:tblLayout w:type="fixed"/>
        <w:tblCellMar>
          <w:top w:w="0" w:type="dxa"/>
          <w:left w:w="108" w:type="dxa"/>
          <w:bottom w:w="0" w:type="dxa"/>
          <w:right w:w="108" w:type="dxa"/>
        </w:tblCellMar>
      </w:tblPr>
      <w:tblGrid>
        <w:gridCol w:w="1575"/>
        <w:gridCol w:w="2268"/>
        <w:gridCol w:w="992"/>
        <w:gridCol w:w="1276"/>
        <w:gridCol w:w="992"/>
        <w:gridCol w:w="992"/>
        <w:gridCol w:w="992"/>
      </w:tblGrid>
      <w:tr>
        <w:tblPrEx>
          <w:tblCellMar>
            <w:top w:w="0" w:type="dxa"/>
            <w:left w:w="108" w:type="dxa"/>
            <w:bottom w:w="0" w:type="dxa"/>
            <w:right w:w="108" w:type="dxa"/>
          </w:tblCellMar>
        </w:tblPrEx>
        <w:trPr>
          <w:trHeight w:val="645"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部门名称</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资金数额（万元）</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11月底绩效目标实现程度（</w:t>
            </w:r>
            <w:r>
              <w:rPr>
                <w:rFonts w:ascii="宋体" w:hAnsi="宋体" w:eastAsia="宋体" w:cs="宋体"/>
                <w:color w:val="000000"/>
                <w:kern w:val="0"/>
                <w:sz w:val="22"/>
              </w:rPr>
              <w:t>%</w:t>
            </w:r>
            <w:r>
              <w:rPr>
                <w:rFonts w:hint="eastAsia" w:ascii="宋体" w:hAnsi="宋体" w:eastAsia="宋体" w:cs="宋体"/>
                <w:color w:val="000000"/>
                <w:kern w:val="0"/>
                <w:sz w:val="22"/>
              </w:rPr>
              <w:t>）</w:t>
            </w:r>
          </w:p>
        </w:tc>
        <w:tc>
          <w:tcPr>
            <w:tcW w:w="297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预计年底绩效目标实现情况</w:t>
            </w:r>
          </w:p>
        </w:tc>
      </w:tr>
      <w:tr>
        <w:tblPrEx>
          <w:tblCellMar>
            <w:top w:w="0" w:type="dxa"/>
            <w:left w:w="108" w:type="dxa"/>
            <w:bottom w:w="0" w:type="dxa"/>
            <w:right w:w="108" w:type="dxa"/>
          </w:tblCellMar>
        </w:tblPrEx>
        <w:trPr>
          <w:trHeight w:val="645"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color w:val="000000"/>
                <w:kern w:val="0"/>
                <w:sz w:val="22"/>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color w:val="000000"/>
                <w:kern w:val="0"/>
                <w:sz w:val="22"/>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Calibri" w:eastAsia="宋体" w:cs="宋体"/>
                <w:color w:val="000000"/>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能实现</w:t>
            </w:r>
          </w:p>
        </w:tc>
        <w:tc>
          <w:tcPr>
            <w:tcW w:w="992" w:type="dxa"/>
            <w:tcBorders>
              <w:top w:val="nil"/>
              <w:left w:val="nil"/>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不能完全实现</w:t>
            </w:r>
          </w:p>
        </w:tc>
        <w:tc>
          <w:tcPr>
            <w:tcW w:w="992" w:type="dxa"/>
            <w:tcBorders>
              <w:top w:val="nil"/>
              <w:left w:val="nil"/>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人大官网维护费</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rPr>
            </w:pPr>
            <w:r>
              <w:rPr>
                <w:rFonts w:ascii="仿宋" w:hAnsi="仿宋" w:eastAsia="仿宋" w:cs="宋体"/>
                <w:color w:val="000000"/>
                <w:kern w:val="0"/>
                <w:sz w:val="22"/>
              </w:rPr>
              <w:t>5</w:t>
            </w: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Calibri" w:eastAsia="宋体" w:cs="宋体"/>
                <w:color w:val="000000"/>
                <w:kern w:val="0"/>
                <w:sz w:val="22"/>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5"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建设云视频会议系统</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ascii="仿宋" w:hAnsi="仿宋" w:eastAsia="仿宋" w:cs="宋体"/>
                <w:color w:val="000000"/>
                <w:kern w:val="0"/>
                <w:sz w:val="22"/>
              </w:rPr>
              <w:t>5</w:t>
            </w: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nil"/>
              <w:left w:val="nil"/>
              <w:bottom w:val="single" w:color="auto" w:sz="4" w:space="0"/>
              <w:right w:val="single" w:color="auto" w:sz="4" w:space="0"/>
            </w:tcBorders>
            <w:vAlign w:val="center"/>
          </w:tcPr>
          <w:p>
            <w:pPr>
              <w:widowControl/>
              <w:jc w:val="center"/>
              <w:rPr>
                <w:rFonts w:ascii="宋体" w:hAnsi="Calibri" w:eastAsia="宋体" w:cs="宋体"/>
                <w:color w:val="000000"/>
                <w:kern w:val="0"/>
                <w:sz w:val="22"/>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5"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建设代表联络站</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ascii="仿宋" w:hAnsi="仿宋" w:eastAsia="仿宋" w:cs="宋体"/>
                <w:color w:val="000000"/>
                <w:kern w:val="0"/>
                <w:sz w:val="22"/>
              </w:rPr>
              <w:t>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95"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区二届人大四次会议</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ascii="仿宋" w:hAnsi="仿宋" w:eastAsia="仿宋" w:cs="宋体"/>
                <w:color w:val="000000"/>
                <w:kern w:val="0"/>
                <w:sz w:val="22"/>
              </w:rPr>
              <w:t>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95"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预算联网网费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ascii="仿宋" w:hAnsi="仿宋" w:eastAsia="仿宋" w:cs="宋体"/>
                <w:color w:val="000000"/>
                <w:kern w:val="0"/>
                <w:sz w:val="22"/>
              </w:rPr>
              <w:t>0.24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95"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区人大常委会</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房屋改建维修经费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ascii="仿宋" w:hAnsi="仿宋" w:eastAsia="仿宋" w:cs="宋体"/>
                <w:color w:val="000000"/>
                <w:kern w:val="0"/>
                <w:sz w:val="22"/>
              </w:rPr>
              <w:t>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r>
    </w:tbl>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adjustRightInd w:val="0"/>
        <w:snapToGrid w:val="0"/>
        <w:spacing w:line="600" w:lineRule="exact"/>
        <w:ind w:firstLine="640" w:firstLineChars="200"/>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本部门2020年度机关运行经费支出27.50万元，比2019年度减少77.70万元，降低73.86%。主要原因一是节约开支，厉行节俭。二是支出口径较上年相比有所调整。</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八、政府采购情况</w:t>
      </w:r>
    </w:p>
    <w:p>
      <w:pPr>
        <w:adjustRightInd w:val="0"/>
        <w:snapToGri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日，本部门共有车辆1辆，与上年相比无增减。主要领导干部用车1辆；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万元以上通用设备0台（套），与上年相比无变化；单位价值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万元以上专用设备0台（套），与上年相比无变化。</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20年度无收支及结转结余情况。故《政府性基金预算财政拨款收入支出决算表》、《政府性基金预算财政拨款收入支出决算表》以空表列示。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3.本部门公务用车运行费预算和决算是按4辆公务车安排的，而固定资产车辆保有量为1辆，其它为外单位调剂给本部门的。</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5pt;margin-top:15.9pt;height:263.1pt;width:613.65pt;z-index:251660288;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INGMGU4AgAAmwQAAA4AAABkcnMvZTJvRG9jLnhtbK1U&#10;S44TMRDdI3EHy3vS+ZAJtNIZiQlhgwBp4ACO7e625J/sSrpzAbgBKzbsOdecg7K7JwMDSFmQSJ2y&#10;/frVq1eurK97o8lRhqicrehsMqVEWu6Esk1FP33cPXtBSQRmBdPOyoqeZKTXm6dP1p0v5dy1TgsZ&#10;CJLYWHa+oi2AL4si8lYaFifOS4uHtQuGAS5DU4jAOmQ3uphPp1dF54LwwXEZI+5uh0M6MoZLCF1d&#10;Ky63jh+MtDCwBqkZYEmxVT7STVZb15LD+7qOEoiuKFYK+YlJMN6nZ7FZs7IJzLeKjxLYJRIe1WSY&#10;spj0TLVlwMghqD+ojOLBRVfDhDtTDIVkR7CK2fSRN7ct8zLXglZHfzY9/j9a/u74IRAlKjqnxDKD&#10;Db/7+uXu24+775/JMtnT+Vgi6tYjDvpXrsdLc78fcTNV3dfBpF+sh+A5mns6myt7IBw3V6uXi8Vy&#10;SQnHs8Xi+WyxyvYXD6/7EOGNdIakoKIBu5dNZce3EVAKQu8hKZtnADul9Qj3HJYZXjc3OsuKodlj&#10;SI4Mu7/apW9SjjRnyP6v2F3+jNgRkpKPCVNybUlX0avFEovlDOegxvuHofHoZbRNVhKdViJJTG/8&#10;W81vsFThlsV2UJ2PkhBWBnewIketZOK1FQROHvtlcUxpEmOkoERLnOoUZSQwpS9BYnHaojOp2UNT&#10;UwT9vkeaFO6dOOEFYJa3DseHQ6Dj4gaGcTr4oJoW25ZvR2bCO5vdHucrDcWv65zv4T9l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I0+2QAAAAwBAAAPAAAAAAAAAAEAIAAAACIAAABkcnMvZG93&#10;bnJldi54bWxQSwECFAAUAAAACACHTuJAg0YwZTgCAACbBAAADgAAAAAAAAABACAAAAAoAQAAZHJz&#10;L2Uyb0RvYy54bWxQSwUGAAAAAAYABgBZAQAA0gUAAAAA&#10;">
                <v:fill type="pattern" on="t" color2="#FFFFFF" o:title="5%" focussize="0,0" r:id="rId11"/>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hint="eastAsia"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6"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OHIo8+AgAAnAQAAA4AAABkcnMvZTJvRG9jLnht&#10;bK1UzY7TMBC+I/EOlu80/dm2EG26gi3lggBp4QFc20ks+U/2tE1fAN6AExfuPFefg7GT7bILhx5o&#10;pHRif/nmm288ub7pjCZ7GaJytqKT0ZgSabkTyjYV/fJ58+IlJRGYFUw7Kyt6lJHerJ4/uz74Uk5d&#10;67SQgSCJjeXBV7QF8GVRRN5Kw+LIeWlxs3bBMMDH0BQisAOyG11Mx+NFcXBB+OC4jBFX1/0mHRjD&#10;JYSurhWXa8d3RlroWYPUDLCk2Cof6SqrrWvJ4WNdRwlEVxQrhXzHJBhv071YXbOyCcy3ig8S2CUS&#10;ntRkmLKY9Ey1ZsDILqi/qIziwUVXw4g7U/SFZEewisn4iTd3LfMy14JWR382Pf4/Wv5h/ykQJSq6&#10;oMQygw0/ff92+vHr9PMruUr2HHwsEXXnEQfdG9fhoblfj7iYqu7qYNI/1kNwH809ns2VHRCOi8vl&#10;q9lsPqeE495sdjWZLbP9xcPrPkR4J50hKahowO5lU9n+fQSUgtB7SMrmGcBGaT3APYd5htfNrc6y&#10;Ymi2GJI9w+4vN+lKypHmDNn+E7vJvwE7QFLyIWFKri05oBPT5Rir5QwHocYDiKHxaGa0TZYSnVYi&#10;aUyvPJLzepGuIcUjWCpxzWLby85bCcbK4HZW5KiVTLy1gsDRY8MszilNaowUlGiJY52ijASm9CVI&#10;rE5btCZ1u+9qiqDbdkiTwq0TRzwBzPLW4fxwCHR4uIV+nnY+qKbFvuXjkZnw0Ga7hwFLU/Hnc873&#10;8FF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YQbj3AAAAA0BAAAPAAAAAAAAAAEAIAAAACIA&#10;AABkcnMvZG93bnJldi54bWxQSwECFAAUAAAACACHTuJAU4cijz4CAACcBAAADgAAAAAAAAABACAA&#10;AAArAQAAZHJzL2Uyb0RvYy54bWxQSwUGAAAAAAYABgBZAQAA2wU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636"/>
        <w:gridCol w:w="88"/>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7"/>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430" w:hRule="atLeast"/>
          <w:jc w:val="center"/>
        </w:trPr>
        <w:tc>
          <w:tcPr>
            <w:tcW w:w="3843"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部门：保定市满城区人民代表大会常务委员会</w:t>
            </w:r>
          </w:p>
        </w:tc>
        <w:tc>
          <w:tcPr>
            <w:tcW w:w="8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311.01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255.85</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三、上级补助收入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四、事业收入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五、经营收入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六、附属单位上缴收入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七、其他收入</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32.48</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9.46</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13.22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311.01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311.01</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用事业基金弥补收支差额</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72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311.01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311.01</w:t>
            </w:r>
          </w:p>
        </w:tc>
      </w:tr>
      <w:tr>
        <w:tblPrEx>
          <w:tblCellMar>
            <w:top w:w="0" w:type="dxa"/>
            <w:left w:w="0" w:type="dxa"/>
            <w:bottom w:w="0" w:type="dxa"/>
            <w:right w:w="0" w:type="dxa"/>
          </w:tblCellMar>
        </w:tblPrEx>
        <w:trPr>
          <w:trHeight w:val="217" w:hRule="atLeast"/>
          <w:jc w:val="center"/>
        </w:trPr>
        <w:tc>
          <w:tcPr>
            <w:tcW w:w="943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注：本表反映部门本年度的总收支和年末结转结余情况。</w:t>
            </w:r>
          </w:p>
          <w:p>
            <w:pPr>
              <w:widowControl/>
              <w:jc w:val="left"/>
              <w:textAlignment w:val="center"/>
              <w:rPr>
                <w:rFonts w:ascii="宋体" w:hAnsi="宋体" w:eastAsia="宋体" w:cs="宋体"/>
                <w:color w:val="000000"/>
                <w:kern w:val="0"/>
                <w:sz w:val="18"/>
                <w:szCs w:val="18"/>
              </w:rPr>
            </w:pPr>
          </w:p>
        </w:tc>
      </w:tr>
    </w:tbl>
    <w:tbl>
      <w:tblPr>
        <w:tblStyle w:val="5"/>
        <w:tblW w:w="9785" w:type="dxa"/>
        <w:jc w:val="center"/>
        <w:tblLayout w:type="autofit"/>
        <w:tblCellMar>
          <w:top w:w="0" w:type="dxa"/>
          <w:left w:w="0" w:type="dxa"/>
          <w:bottom w:w="0" w:type="dxa"/>
          <w:right w:w="0" w:type="dxa"/>
        </w:tblCellMar>
      </w:tblPr>
      <w:tblGrid>
        <w:gridCol w:w="1304"/>
        <w:gridCol w:w="134"/>
        <w:gridCol w:w="84"/>
        <w:gridCol w:w="20"/>
        <w:gridCol w:w="30"/>
        <w:gridCol w:w="50"/>
        <w:gridCol w:w="2111"/>
        <w:gridCol w:w="1254"/>
        <w:gridCol w:w="1161"/>
        <w:gridCol w:w="117"/>
        <w:gridCol w:w="740"/>
        <w:gridCol w:w="304"/>
        <w:gridCol w:w="250"/>
        <w:gridCol w:w="567"/>
        <w:gridCol w:w="344"/>
        <w:gridCol w:w="456"/>
        <w:gridCol w:w="859"/>
      </w:tblGrid>
      <w:tr>
        <w:tblPrEx>
          <w:tblCellMar>
            <w:top w:w="0" w:type="dxa"/>
            <w:left w:w="0" w:type="dxa"/>
            <w:bottom w:w="0" w:type="dxa"/>
            <w:right w:w="0" w:type="dxa"/>
          </w:tblCellMar>
        </w:tblPrEx>
        <w:trPr>
          <w:trHeight w:val="670" w:hRule="atLeast"/>
          <w:jc w:val="center"/>
        </w:trPr>
        <w:tc>
          <w:tcPr>
            <w:tcW w:w="9785"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5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7005"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部门：保定市满城区人民代表大会常务委员会</w:t>
            </w:r>
          </w:p>
        </w:tc>
        <w:tc>
          <w:tcPr>
            <w:tcW w:w="55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26"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373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2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127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7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554"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5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80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8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130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429" w:type="dxa"/>
            <w:gridSpan w:val="6"/>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27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54"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30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29" w:type="dxa"/>
            <w:gridSpan w:val="6"/>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4"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0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29" w:type="dxa"/>
            <w:gridSpan w:val="6"/>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4"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0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733"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7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5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8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3733"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311.01</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311.01</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一般公共服务支出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人大事务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行政运行</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2</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一般行政管理事务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17.62</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17.62</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4</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人大会议</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29.99</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29.99</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6</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人大监督</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行政事业单位养老支出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05</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26.67</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26.67</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06</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机关事业单位职业年金缴费支出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5.81</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5.81</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210</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卫生健康支出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行政事业单位医疗</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r>
              <w:rPr>
                <w:rFonts w:hint="eastAsia" w:ascii="宋体" w:hAnsi="宋体" w:eastAsia="宋体" w:cs="宋体"/>
                <w:color w:val="000000"/>
                <w:sz w:val="22"/>
              </w:rPr>
              <w:t>01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行政单位医疗</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住房保障支出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住房改革支出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13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2429"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住房公积金</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2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385" w:hRule="atLeast"/>
          <w:jc w:val="center"/>
        </w:trPr>
        <w:tc>
          <w:tcPr>
            <w:tcW w:w="978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r>
        <w:tblPrEx>
          <w:tblCellMar>
            <w:top w:w="0" w:type="dxa"/>
            <w:left w:w="0" w:type="dxa"/>
            <w:bottom w:w="0" w:type="dxa"/>
            <w:right w:w="0" w:type="dxa"/>
          </w:tblCellMar>
        </w:tblPrEx>
        <w:trPr>
          <w:trHeight w:val="612" w:hRule="atLeast"/>
          <w:jc w:val="center"/>
        </w:trPr>
        <w:tc>
          <w:tcPr>
            <w:tcW w:w="978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32"/>
                <w:szCs w:val="32"/>
              </w:rPr>
            </w:pPr>
          </w:p>
          <w:p>
            <w:pPr>
              <w:widowControl/>
              <w:textAlignment w:val="center"/>
              <w:rPr>
                <w:rFonts w:hint="eastAsia" w:ascii="黑体" w:hAnsi="宋体" w:eastAsia="黑体" w:cs="黑体"/>
                <w:color w:val="000000"/>
                <w:kern w:val="0"/>
                <w:sz w:val="32"/>
                <w:szCs w:val="32"/>
              </w:rPr>
            </w:pPr>
          </w:p>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143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16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5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143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26"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保定市满城区人民代表大会常务委员会</w:t>
            </w: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1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373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2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45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8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542"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191"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4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542"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91"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542"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91"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3733"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2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3733"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311.01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258.40</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52.61</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一般公共服务支出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52.61</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人大事务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52.61</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行政运行</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203.24</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2</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一般行政管理事务</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17.62</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4</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人大会议</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29.99</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6</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人大监督</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5.00</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行政事业单位养老支出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32.48</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05</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26.67</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06</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机关事业单位职业年金缴费支出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5.81</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210</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卫生健康支出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行政事业单位医疗</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r>
              <w:rPr>
                <w:rFonts w:hint="eastAsia" w:ascii="宋体" w:hAnsi="宋体" w:eastAsia="宋体" w:cs="宋体"/>
                <w:color w:val="000000"/>
                <w:sz w:val="22"/>
              </w:rPr>
              <w:t>01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行政单位医疗</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9.46</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住房保障支出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住房改革支出</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54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219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住房公积金</w:t>
            </w:r>
          </w:p>
        </w:tc>
        <w:tc>
          <w:tcPr>
            <w:tcW w:w="12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13.22</w:t>
            </w: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78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2384"/>
        <w:gridCol w:w="1640"/>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公开04表</w:t>
                  </w:r>
                </w:p>
              </w:tc>
            </w:tr>
            <w:tr>
              <w:tblPrEx>
                <w:tblCellMar>
                  <w:top w:w="0" w:type="dxa"/>
                  <w:left w:w="108" w:type="dxa"/>
                  <w:bottom w:w="0" w:type="dxa"/>
                  <w:right w:w="108" w:type="dxa"/>
                </w:tblCellMar>
              </w:tblPrEx>
              <w:trPr>
                <w:gridAfter w:val="1"/>
                <w:wAfter w:w="252" w:type="dxa"/>
                <w:trHeight w:val="90" w:hRule="atLeast"/>
              </w:trPr>
              <w:tc>
                <w:tcPr>
                  <w:tcW w:w="5986" w:type="dxa"/>
                  <w:gridSpan w:val="4"/>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8"/>
                      <w:szCs w:val="18"/>
                    </w:rPr>
                  </w:pPr>
                  <w:r>
                    <w:rPr>
                      <w:rFonts w:hint="eastAsia" w:ascii="宋体" w:hAnsi="宋体" w:eastAsia="宋体" w:cs="Arial"/>
                      <w:color w:val="000000"/>
                      <w:kern w:val="0"/>
                      <w:sz w:val="18"/>
                      <w:szCs w:val="18"/>
                    </w:rPr>
                    <w:t>部门：保定市满城区人民代表大会常务委员会</w:t>
                  </w: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8"/>
                      <w:szCs w:val="18"/>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8"/>
                      <w:szCs w:val="18"/>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8"/>
                      <w:szCs w:val="18"/>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311.01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255.85</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255.85</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32.48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32.48</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9.46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9.46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13.22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13.22</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311.01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311.01</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hint="eastAsia" w:ascii="Times New Roman" w:hAnsi="Times New Roman" w:cs="Times New Roman"/>
                      <w:kern w:val="0"/>
                      <w:sz w:val="15"/>
                      <w:szCs w:val="15"/>
                    </w:rPr>
                  </w:pPr>
                  <w:r>
                    <w:rPr>
                      <w:rFonts w:hint="eastAsia" w:ascii="Times New Roman" w:hAnsi="Times New Roman" w:cs="Times New Roman"/>
                      <w:kern w:val="0"/>
                      <w:sz w:val="15"/>
                      <w:szCs w:val="15"/>
                    </w:rPr>
                    <w:t>311.01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311.01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311.01</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311.01</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5332"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部门：保定市满城区人民代表大会常务委员会</w:t>
            </w: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29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238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6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8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6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8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6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69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69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311.01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258.40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52.61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一般公共服务支出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255.85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247.55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人大事务</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255.85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247.55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r>
              <w:rPr>
                <w:rFonts w:hint="eastAsia" w:ascii="宋体" w:hAnsi="宋体" w:eastAsia="宋体" w:cs="宋体"/>
                <w:color w:val="000000"/>
                <w:sz w:val="22"/>
              </w:rPr>
              <w:t>行政运行</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203.24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203.24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2</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一般行政管理事务</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17.62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4</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人大会议</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29.99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201010</w:t>
            </w:r>
            <w:r>
              <w:rPr>
                <w:rFonts w:hint="eastAsia" w:ascii="宋体" w:hAnsi="宋体" w:eastAsia="宋体" w:cs="宋体"/>
                <w:color w:val="000000"/>
                <w:sz w:val="22"/>
              </w:rPr>
              <w:t>6</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人大监督</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行政事业单位养老支出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32.48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05</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32.48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20805</w:t>
            </w:r>
            <w:r>
              <w:rPr>
                <w:rFonts w:hint="eastAsia" w:ascii="宋体" w:hAnsi="宋体" w:eastAsia="宋体" w:cs="宋体"/>
                <w:color w:val="000000"/>
                <w:sz w:val="22"/>
              </w:rPr>
              <w:t>06</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机关事业单位职业年金缴费支出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26.67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26.67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210</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卫生健康支出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行政事业单位医疗</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ascii="宋体" w:hAnsi="宋体" w:eastAsia="宋体" w:cs="宋体"/>
                <w:color w:val="000000"/>
                <w:sz w:val="22"/>
              </w:rPr>
              <w:t>21011</w:t>
            </w:r>
            <w:r>
              <w:rPr>
                <w:rFonts w:hint="eastAsia" w:ascii="宋体" w:hAnsi="宋体" w:eastAsia="宋体" w:cs="宋体"/>
                <w:color w:val="000000"/>
                <w:sz w:val="22"/>
              </w:rPr>
              <w:t>01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行政单位医疗</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9.46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住房保障支出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ascii="宋体" w:hAnsi="宋体" w:eastAsia="宋体" w:cs="Arial"/>
                <w:color w:val="000000"/>
                <w:kern w:val="0"/>
                <w:sz w:val="22"/>
                <w:szCs w:val="22"/>
              </w:rPr>
            </w:pPr>
            <w:r>
              <w:rPr>
                <w:rFonts w:hint="eastAsia" w:ascii="宋体" w:hAnsi="宋体" w:eastAsia="宋体" w:cs="Arial"/>
                <w:color w:val="000000"/>
                <w:kern w:val="0"/>
                <w:sz w:val="22"/>
                <w:szCs w:val="22"/>
              </w:rPr>
              <w:t>住房改革支出</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23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住房公积金</w:t>
            </w:r>
          </w:p>
        </w:tc>
        <w:tc>
          <w:tcPr>
            <w:tcW w:w="16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13.22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5045"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部门：保定市满城区人民代表大会常务委员会</w:t>
            </w: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219.28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27.50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137.21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15.73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8.31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28.61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5.81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9.54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9.68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13.22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0.71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11.63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8.16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0.32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2.28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0.25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230.91</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27.50</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部门：保定市满城区人民代表大会常务委员会</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12.75</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12.00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12.00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0.75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2.28</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2.28</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2.28</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56"/>
        <w:gridCol w:w="60"/>
        <w:gridCol w:w="60"/>
        <w:gridCol w:w="1392"/>
        <w:gridCol w:w="1174"/>
        <w:gridCol w:w="1174"/>
        <w:gridCol w:w="1174"/>
        <w:gridCol w:w="1174"/>
        <w:gridCol w:w="1174"/>
        <w:gridCol w:w="1172"/>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4"/>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保定市满城区人民代表大会常务委员会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5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08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注：本表反映部门本年度政府性基金预算财政拨款收入、支出及结转结余情况。本部门本年度无相关收入支出情况，空表列示。</w:t>
      </w:r>
      <w:r>
        <w:rPr>
          <w:rFonts w:ascii="宋体" w:hAnsi="宋体" w:eastAsia="宋体" w:cs="宋体"/>
          <w:sz w:val="20"/>
          <w:szCs w:val="22"/>
        </w:rPr>
        <w:br w:type="page"/>
      </w:r>
    </w:p>
    <w:p>
      <w:pPr>
        <w:rPr>
          <w:b/>
          <w:sz w:val="20"/>
          <w:szCs w:val="22"/>
          <w:highlight w:val="yellow"/>
        </w:rPr>
      </w:pP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75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保定市满城区人民代表大会常务委员会</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宋体" w:hAnsi="宋体" w:eastAsia="宋体" w:cs="宋体"/>
          <w:sz w:val="20"/>
          <w:szCs w:val="22"/>
        </w:rPr>
      </w:pPr>
      <w:r>
        <w:rPr>
          <w:rFonts w:hint="eastAsia" w:ascii="宋体" w:hAnsi="宋体" w:eastAsia="宋体" w:cs="宋体"/>
          <w:sz w:val="20"/>
          <w:szCs w:val="22"/>
        </w:rPr>
        <w:t>注：本表反映部门本年度国有资本经营预算财政拨款收入、支出及结转结余情况。本部门本年度无相关收入支出情况，空表列示。</w:t>
      </w: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4"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3360;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Iu5FX6Z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SYphGw399/f7zxzdynLjZuTCDy6278Z0WIKZC97XX6R8lkH1Jx9PJyXhEyR1G6ngyGvY7asU+&#10;Eg77ZHw8mPTAOk8evfF0NB1ml+IByvkQ3wirSRJK6tG8zCnbXoWI8HA9uKTIwSpZXUqlsuLXq3Pl&#10;yZah0a+Xy8nFRf5WbfQ7W7XXwx5+bcdxjblor8eHa+CHFibH+gNfGbJD4l0NDHNfY95QjnbgLpg1&#10;JUytsVA8+hzY2JRaHq+U9JKFpg2XYdsstIxYJSV1SU9SEgdClEkliTy+XempES31SVrZ6g5t87ad&#10;5+D4pUSQKxbiDfMYYBCNFY/XOGplkbntJEoa67/86z75Y65gpWSHhUBVnzfMC0rUW4OJm/aH6BiJ&#10;WRmOJgMo/rFl9dhiNvrcohV9PCaOZzH5R3UQa2/1J7wEixQVJmY4Yrf8dcp5bBcVbwkXi0V2w9Y4&#10;Fq/MreMJPPFk7GITbS3ziDywgx4mBXuTu9nteFrMx3r2enjX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TdAntwAAAAPAQAADwAAAAAAAAABACAAAAAiAAAAZHJzL2Rvd25yZXYueG1sUEsBAhQA&#10;FAAAAAgAh07iQIu5FX6ZAgAAHwUAAA4AAAAAAAAAAQAgAAAAKwEAAGRycy9lMm9Eb2MueG1sUEsF&#10;BgAAAAAGAAYAWQEAADYGA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32B3B"/>
    <w:rsid w:val="00045009"/>
    <w:rsid w:val="00061A05"/>
    <w:rsid w:val="00064560"/>
    <w:rsid w:val="000A06C6"/>
    <w:rsid w:val="000A4543"/>
    <w:rsid w:val="000D42A9"/>
    <w:rsid w:val="001712DA"/>
    <w:rsid w:val="0018668E"/>
    <w:rsid w:val="001B73D2"/>
    <w:rsid w:val="001E2061"/>
    <w:rsid w:val="001E62BF"/>
    <w:rsid w:val="00274B7F"/>
    <w:rsid w:val="00283FDE"/>
    <w:rsid w:val="002856B4"/>
    <w:rsid w:val="002868F1"/>
    <w:rsid w:val="00293E7B"/>
    <w:rsid w:val="002B7B4D"/>
    <w:rsid w:val="002C663C"/>
    <w:rsid w:val="002D1F4F"/>
    <w:rsid w:val="002F06C9"/>
    <w:rsid w:val="003119EC"/>
    <w:rsid w:val="00315283"/>
    <w:rsid w:val="00317A99"/>
    <w:rsid w:val="00336137"/>
    <w:rsid w:val="00366D90"/>
    <w:rsid w:val="003B747A"/>
    <w:rsid w:val="003C79F3"/>
    <w:rsid w:val="003D678E"/>
    <w:rsid w:val="005203A5"/>
    <w:rsid w:val="005B5CA1"/>
    <w:rsid w:val="005C16EF"/>
    <w:rsid w:val="005D5052"/>
    <w:rsid w:val="00691E81"/>
    <w:rsid w:val="006C56DD"/>
    <w:rsid w:val="006D7EC1"/>
    <w:rsid w:val="006E0F9E"/>
    <w:rsid w:val="00782A94"/>
    <w:rsid w:val="00801F66"/>
    <w:rsid w:val="00814F4C"/>
    <w:rsid w:val="008719F9"/>
    <w:rsid w:val="00895F73"/>
    <w:rsid w:val="008F3A2F"/>
    <w:rsid w:val="009334BF"/>
    <w:rsid w:val="009731F5"/>
    <w:rsid w:val="009E259E"/>
    <w:rsid w:val="00A15A50"/>
    <w:rsid w:val="00A62465"/>
    <w:rsid w:val="00AA4938"/>
    <w:rsid w:val="00AC727D"/>
    <w:rsid w:val="00AD510B"/>
    <w:rsid w:val="00B22BDC"/>
    <w:rsid w:val="00B31F26"/>
    <w:rsid w:val="00B37F30"/>
    <w:rsid w:val="00B7037E"/>
    <w:rsid w:val="00B72441"/>
    <w:rsid w:val="00B92DCE"/>
    <w:rsid w:val="00BA4BCA"/>
    <w:rsid w:val="00BF0668"/>
    <w:rsid w:val="00C0145C"/>
    <w:rsid w:val="00C449C0"/>
    <w:rsid w:val="00C5565E"/>
    <w:rsid w:val="00C5586D"/>
    <w:rsid w:val="00CB4E17"/>
    <w:rsid w:val="00CD7954"/>
    <w:rsid w:val="00D12533"/>
    <w:rsid w:val="00DA3D23"/>
    <w:rsid w:val="00E71DB9"/>
    <w:rsid w:val="00F127FE"/>
    <w:rsid w:val="00F86465"/>
    <w:rsid w:val="00FC73DC"/>
    <w:rsid w:val="058B71E0"/>
    <w:rsid w:val="0EA325C9"/>
    <w:rsid w:val="1E685AB5"/>
    <w:rsid w:val="2FB96948"/>
    <w:rsid w:val="3327616A"/>
    <w:rsid w:val="34C45458"/>
    <w:rsid w:val="35C83C42"/>
    <w:rsid w:val="45777BCB"/>
    <w:rsid w:val="535E2725"/>
    <w:rsid w:val="5D0C63C4"/>
    <w:rsid w:val="73D824BD"/>
    <w:rsid w:val="7D3009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bmp"/><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2060</Words>
  <Characters>11745</Characters>
  <Lines>97</Lines>
  <Paragraphs>27</Paragraphs>
  <TotalTime>7</TotalTime>
  <ScaleCrop>false</ScaleCrop>
  <LinksUpToDate>false</LinksUpToDate>
  <CharactersWithSpaces>13778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2023-11-08T03:07:24Z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99D8BDE1245349FABF59220B1F8A7035</vt:lpwstr>
  </property>
</Properties>
</file>