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保定市满城区发展和改革局</w:t>
      </w:r>
    </w:p>
    <w:p>
      <w:pPr>
        <w:jc w:val="center"/>
        <w:rPr>
          <w:rFonts w:ascii="宋体" w:hAnsi="宋体"/>
          <w:b/>
          <w:sz w:val="36"/>
          <w:szCs w:val="36"/>
        </w:rPr>
      </w:pPr>
      <w:r>
        <w:rPr>
          <w:rFonts w:hint="eastAsia" w:ascii="宋体" w:hAnsi="宋体"/>
          <w:b/>
          <w:sz w:val="36"/>
          <w:szCs w:val="36"/>
        </w:rPr>
        <w:t>2020年部门预算信息公开</w:t>
      </w:r>
    </w:p>
    <w:p>
      <w:pPr>
        <w:spacing w:line="520" w:lineRule="exact"/>
        <w:ind w:firstLine="640" w:firstLineChars="200"/>
        <w:jc w:val="left"/>
        <w:rPr>
          <w:rFonts w:hint="eastAsia" w:eastAsia="方正仿宋_GBK"/>
          <w:sz w:val="32"/>
          <w:szCs w:val="32"/>
        </w:rPr>
      </w:pP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按照《中华人民共和国预算法》、《地方预决算公开操作规程》和《河北省省级预算公开办法》规定，现将保定市满城区发展和改革局2020年部门预算公开如下：</w:t>
      </w:r>
    </w:p>
    <w:p>
      <w:pPr>
        <w:spacing w:line="520" w:lineRule="exact"/>
        <w:ind w:firstLine="643" w:firstLineChars="200"/>
        <w:jc w:val="center"/>
        <w:rPr>
          <w:rFonts w:hint="eastAsia" w:ascii="仿宋_GB2312" w:hAnsi="仿宋_GB2312" w:eastAsia="仿宋_GB2312" w:cs="仿宋_GB2312"/>
          <w:b/>
          <w:sz w:val="32"/>
          <w:szCs w:val="32"/>
        </w:rPr>
      </w:pPr>
    </w:p>
    <w:p>
      <w:pPr>
        <w:spacing w:line="520" w:lineRule="exact"/>
        <w:ind w:firstLine="643" w:firstLine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第一部分:部门主要职责内设机构和人员编制规定情况</w:t>
      </w:r>
    </w:p>
    <w:p>
      <w:pPr>
        <w:ind w:firstLine="640" w:firstLineChars="200"/>
        <w:jc w:val="center"/>
        <w:rPr>
          <w:rFonts w:hint="eastAsia" w:ascii="仿宋_GB2312" w:hAnsi="仿宋_GB2312" w:eastAsia="仿宋_GB2312" w:cs="仿宋_GB2312"/>
          <w:sz w:val="32"/>
          <w:szCs w:val="32"/>
        </w:rPr>
      </w:pPr>
    </w:p>
    <w:p>
      <w:pPr>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一、部门主要职责规定</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保定市满城区委办公室、保定市满城区人民政府办公室关于印发《保定市满城区发展和改革局职能配置、内设机构和人员编制规定》的通知（满办字[2019]26号）和中共保定市满城区委机构编制委员会关于调整发展和改革局所属事业单位价格认定中心名称、职责的批复（</w:t>
      </w:r>
      <w:r>
        <w:rPr>
          <w:rFonts w:hint="eastAsia" w:ascii="仿宋_GB2312" w:hAnsi="仿宋_GB2312" w:eastAsia="仿宋_GB2312" w:cs="仿宋_GB2312"/>
          <w:kern w:val="0"/>
          <w:sz w:val="32"/>
          <w:szCs w:val="32"/>
        </w:rPr>
        <w:t>满编字【2019】18号）、</w:t>
      </w:r>
      <w:r>
        <w:rPr>
          <w:rFonts w:hint="eastAsia" w:ascii="仿宋_GB2312" w:hAnsi="仿宋_GB2312" w:eastAsia="仿宋_GB2312" w:cs="仿宋_GB2312"/>
          <w:sz w:val="32"/>
          <w:szCs w:val="32"/>
        </w:rPr>
        <w:t>中共保定市满城区委机构编制委员会关于调整区发展和改革局所属事业机构设置的批复（</w:t>
      </w:r>
      <w:r>
        <w:rPr>
          <w:rFonts w:hint="eastAsia" w:ascii="仿宋_GB2312" w:hAnsi="仿宋_GB2312" w:eastAsia="仿宋_GB2312" w:cs="仿宋_GB2312"/>
          <w:kern w:val="0"/>
          <w:sz w:val="32"/>
          <w:szCs w:val="32"/>
        </w:rPr>
        <w:t>满编字【2019】18号</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文件规定。</w:t>
      </w:r>
      <w:r>
        <w:rPr>
          <w:rFonts w:hint="eastAsia" w:ascii="仿宋_GB2312" w:hAnsi="仿宋_GB2312" w:eastAsia="仿宋_GB2312" w:cs="仿宋_GB2312"/>
          <w:sz w:val="32"/>
          <w:szCs w:val="32"/>
        </w:rPr>
        <w:t>现将我局部门主要职责说明如下：</w:t>
      </w:r>
    </w:p>
    <w:p>
      <w:pPr>
        <w:spacing w:line="560" w:lineRule="exact"/>
        <w:ind w:firstLine="640"/>
        <w:rPr>
          <w:rFonts w:hint="eastAsia" w:ascii="仿宋_GB2312" w:eastAsia="仿宋_GB2312"/>
          <w:color w:val="000000"/>
          <w:sz w:val="32"/>
          <w:szCs w:val="32"/>
        </w:rPr>
      </w:pPr>
      <w:r>
        <w:rPr>
          <w:rFonts w:hint="eastAsia" w:ascii="仿宋_GB2312" w:hAnsi="黑体" w:eastAsia="仿宋_GB2312" w:cs="仿宋_GB2312"/>
          <w:color w:val="000000"/>
          <w:spacing w:val="-8"/>
          <w:sz w:val="32"/>
          <w:szCs w:val="32"/>
        </w:rPr>
        <w:t>（一）拟订并组织实施全区国民经济和社会发展战略、中长期规划和年度计划。</w:t>
      </w:r>
      <w:r>
        <w:rPr>
          <w:rFonts w:hint="eastAsia" w:ascii="仿宋_GB2312" w:eastAsia="仿宋_GB2312" w:cs="仿宋_GB2312"/>
          <w:color w:val="000000"/>
          <w:sz w:val="32"/>
          <w:szCs w:val="32"/>
        </w:rPr>
        <w:t>牵头组织统一规划体系建设。负责区级专项规划、区域规划、空间规划与全区发展规划的统筹衔接。起草国民经济和社会发展、经济体制改革和对外开放的有关规定草案，制定规范性文件。</w:t>
      </w:r>
    </w:p>
    <w:p>
      <w:pPr>
        <w:spacing w:line="560" w:lineRule="exact"/>
        <w:ind w:firstLine="640"/>
        <w:rPr>
          <w:rFonts w:hint="eastAsia" w:ascii="仿宋_GB2312" w:eastAsia="仿宋_GB2312"/>
          <w:color w:val="000000"/>
          <w:sz w:val="32"/>
          <w:szCs w:val="32"/>
        </w:rPr>
      </w:pPr>
      <w:r>
        <w:rPr>
          <w:rFonts w:hint="eastAsia" w:ascii="仿宋_GB2312" w:hAnsi="黑体" w:eastAsia="仿宋_GB2312" w:cs="仿宋_GB2312"/>
          <w:color w:val="000000"/>
          <w:spacing w:val="-8"/>
          <w:sz w:val="32"/>
          <w:szCs w:val="32"/>
        </w:rPr>
        <w:t>（二）</w:t>
      </w:r>
      <w:r>
        <w:rPr>
          <w:rFonts w:hint="eastAsia" w:ascii="仿宋_GB2312" w:eastAsia="仿宋_GB2312" w:cs="仿宋_GB2312"/>
          <w:color w:val="000000"/>
          <w:sz w:val="32"/>
          <w:szCs w:val="32"/>
        </w:rPr>
        <w:t>提出加快建设全区现代化经济体系、推动高质量发展的总体目标、重大任务以及相关政策。组织开展重大战略规划、重大政策、重大工程等的评估督导，提出相关调整建议。</w:t>
      </w:r>
    </w:p>
    <w:p>
      <w:pPr>
        <w:spacing w:line="560" w:lineRule="exact"/>
        <w:ind w:firstLine="640"/>
        <w:rPr>
          <w:rFonts w:ascii="仿宋_GB2312" w:eastAsia="仿宋_GB2312"/>
          <w:color w:val="000000"/>
          <w:sz w:val="32"/>
          <w:szCs w:val="32"/>
        </w:rPr>
      </w:pPr>
      <w:r>
        <w:rPr>
          <w:rFonts w:hint="eastAsia" w:ascii="仿宋_GB2312" w:hAnsi="黑体" w:eastAsia="仿宋_GB2312" w:cs="仿宋_GB2312"/>
          <w:color w:val="000000"/>
          <w:spacing w:val="-8"/>
          <w:sz w:val="32"/>
          <w:szCs w:val="32"/>
        </w:rPr>
        <w:t>（三）</w:t>
      </w:r>
      <w:r>
        <w:rPr>
          <w:rFonts w:hint="eastAsia" w:ascii="仿宋_GB2312" w:eastAsia="仿宋_GB2312" w:cs="仿宋_GB2312"/>
          <w:color w:val="000000"/>
          <w:sz w:val="32"/>
          <w:szCs w:val="32"/>
        </w:rPr>
        <w:t>贯彻落实国家宏观调控政策，统筹提出全区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制定由区级管理的重要商品、服务价格和重要收费标准。参与贯彻落实国家财政政策、货币政策和土地政策。</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（四）</w:t>
      </w:r>
      <w:r>
        <w:rPr>
          <w:rFonts w:hint="eastAsia" w:ascii="仿宋_GB2312" w:eastAsia="仿宋_GB2312" w:cs="仿宋_GB2312"/>
          <w:color w:val="000000"/>
          <w:sz w:val="32"/>
          <w:szCs w:val="32"/>
        </w:rPr>
        <w:t>指导推进和综合协调经济体制改革有关工作，提出相关改革建议。牵头推进供给侧结构性改革，协调推进产权制度和要素市场化配置改革。落实国家、省、市完善基本经济制度政策，推动现代化市场体系建设，会同有关部门组织实施市场准入负面清单制度。牵头推进优化营商环境工作。</w:t>
      </w:r>
    </w:p>
    <w:p>
      <w:pPr>
        <w:spacing w:line="560" w:lineRule="exact"/>
        <w:ind w:firstLine="640"/>
        <w:rPr>
          <w:rFonts w:ascii="仿宋_GB2312" w:eastAsia="仿宋_GB2312"/>
          <w:color w:val="000000"/>
          <w:sz w:val="32"/>
          <w:szCs w:val="32"/>
        </w:rPr>
      </w:pPr>
      <w:r>
        <w:rPr>
          <w:rFonts w:hint="eastAsia" w:ascii="仿宋_GB2312" w:hAnsi="黑体" w:eastAsia="仿宋_GB2312" w:cs="仿宋_GB2312"/>
          <w:color w:val="000000"/>
          <w:spacing w:val="-8"/>
          <w:sz w:val="32"/>
          <w:szCs w:val="32"/>
        </w:rPr>
        <w:t>（五）</w:t>
      </w:r>
      <w:r>
        <w:rPr>
          <w:rFonts w:hint="eastAsia" w:ascii="仿宋_GB2312" w:eastAsia="仿宋_GB2312" w:cs="仿宋_GB2312"/>
          <w:color w:val="000000"/>
          <w:sz w:val="32"/>
          <w:szCs w:val="32"/>
        </w:rPr>
        <w:t>提出全区利用外资和境外投资的战略、规划、总量平衡和结构优化政策。牵头推进实施全区“一带一路”建设有关工作。承担统筹协调走出去有关工作，会同有关部门贯彻落实国家、省外商投资准入负面清单，负责全区全口径外债的总量控制、结构优化和监测工作。</w:t>
      </w:r>
    </w:p>
    <w:p>
      <w:pPr>
        <w:spacing w:line="560" w:lineRule="exact"/>
        <w:ind w:firstLine="640"/>
        <w:rPr>
          <w:rFonts w:ascii="仿宋_GB2312" w:eastAsia="仿宋_GB2312"/>
          <w:color w:val="000000"/>
          <w:sz w:val="32"/>
          <w:szCs w:val="32"/>
        </w:rPr>
      </w:pPr>
      <w:r>
        <w:rPr>
          <w:rFonts w:hint="eastAsia" w:ascii="仿宋_GB2312" w:hAnsi="黑体" w:eastAsia="仿宋_GB2312" w:cs="仿宋_GB2312"/>
          <w:color w:val="000000"/>
          <w:spacing w:val="-8"/>
          <w:sz w:val="32"/>
          <w:szCs w:val="32"/>
        </w:rPr>
        <w:t>（六）</w:t>
      </w:r>
      <w:r>
        <w:rPr>
          <w:rFonts w:hint="eastAsia" w:ascii="仿宋_GB2312" w:eastAsia="仿宋_GB2312" w:cs="仿宋_GB2312"/>
          <w:color w:val="000000"/>
          <w:sz w:val="32"/>
          <w:szCs w:val="32"/>
        </w:rPr>
        <w:t>负责全区投资综合管理。拟订全区固定资产投资总规模、结构调控目标和政策，衔接平衡需要安排政府投资和涉及重大建设项目的专项规划；会同相关部门拟订政府投资项目审批权限和政府核准的固定资产投资项目目录。安排区级预算内基本建设资金和有关发展性专项资金，按规定权限审批、核准、审核项目。规划全区重点建设项目和生产力布局，组织推动重点建设项目。拟订并推动落实鼓励民间投资政策措施。</w:t>
      </w:r>
    </w:p>
    <w:p>
      <w:pPr>
        <w:spacing w:line="570" w:lineRule="exact"/>
        <w:ind w:firstLine="608" w:firstLineChars="200"/>
        <w:rPr>
          <w:rFonts w:hint="eastAsia" w:ascii="仿宋_GB2312" w:eastAsia="仿宋_GB2312" w:cs="仿宋_GB2312"/>
          <w:color w:val="000000"/>
          <w:sz w:val="32"/>
          <w:szCs w:val="32"/>
        </w:rPr>
      </w:pPr>
      <w:r>
        <w:rPr>
          <w:rFonts w:hint="eastAsia" w:ascii="仿宋_GB2312" w:hAnsi="黑体" w:eastAsia="仿宋_GB2312" w:cs="仿宋_GB2312"/>
          <w:color w:val="000000"/>
          <w:spacing w:val="-8"/>
          <w:sz w:val="32"/>
          <w:szCs w:val="32"/>
        </w:rPr>
        <w:t>（七）</w:t>
      </w:r>
      <w:r>
        <w:rPr>
          <w:rFonts w:hint="eastAsia" w:ascii="仿宋_GB2312" w:eastAsia="仿宋_GB2312" w:cs="仿宋_GB2312"/>
          <w:color w:val="000000"/>
          <w:sz w:val="32"/>
          <w:szCs w:val="32"/>
        </w:rPr>
        <w:t>推进落实区域协调发展战略、新型城镇化战略和重大政策，组织拟订相关区域规划和政策。推进实施京津冀协同发展等区域发展战略，组织实施老少边穷及其他特殊困难地区发展规划和政策，组织实施易地扶贫搬迁等。统筹协调区域合作和对口支援工作，组织编制并推动实施新型城镇化规划。</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（八）</w:t>
      </w:r>
      <w:r>
        <w:rPr>
          <w:rFonts w:hint="eastAsia" w:ascii="仿宋_GB2312" w:eastAsia="仿宋_GB2312" w:cs="仿宋_GB2312"/>
          <w:color w:val="000000"/>
          <w:sz w:val="32"/>
          <w:szCs w:val="32"/>
        </w:rPr>
        <w:t>组织贯彻实施国家、</w:t>
      </w:r>
      <w:r>
        <w:rPr>
          <w:rFonts w:hint="eastAsia" w:ascii="仿宋_GB2312" w:eastAsia="仿宋_GB2312" w:cs="仿宋_GB2312"/>
          <w:sz w:val="32"/>
          <w:szCs w:val="32"/>
        </w:rPr>
        <w:t>省、市</w:t>
      </w:r>
      <w:r>
        <w:rPr>
          <w:rFonts w:hint="eastAsia" w:ascii="仿宋_GB2312" w:eastAsia="仿宋_GB2312" w:cs="仿宋_GB2312"/>
          <w:color w:val="000000"/>
          <w:sz w:val="32"/>
          <w:szCs w:val="32"/>
        </w:rPr>
        <w:t>产业政策，拟订全区综合性产业政策。协调一二三产业发展重大问题并统筹</w:t>
      </w:r>
      <w:r>
        <w:rPr>
          <w:rFonts w:hint="eastAsia" w:ascii="仿宋_GB2312" w:eastAsia="仿宋_GB2312" w:cs="仿宋_GB2312"/>
          <w:sz w:val="32"/>
          <w:szCs w:val="32"/>
        </w:rPr>
        <w:t>衔</w:t>
      </w:r>
      <w:r>
        <w:rPr>
          <w:rFonts w:hint="eastAsia" w:ascii="仿宋_GB2312" w:eastAsia="仿宋_GB2312" w:cs="仿宋_GB2312"/>
          <w:color w:val="000000"/>
          <w:sz w:val="32"/>
          <w:szCs w:val="32"/>
        </w:rPr>
        <w:t>接相关发展规划和重大政策。协调推进重大基础设施建设发展，组织拟订并推动实施服务业及现代物流业战略规划和重大政策。综合研判消费变动趋势，拟订实施促进消费的综合性政策措施。</w:t>
      </w:r>
    </w:p>
    <w:p>
      <w:pPr>
        <w:spacing w:line="560" w:lineRule="exact"/>
        <w:ind w:firstLine="640"/>
        <w:rPr>
          <w:rFonts w:hint="eastAsia" w:ascii="仿宋_GB2312" w:eastAsia="仿宋_GB2312"/>
          <w:color w:val="000000"/>
          <w:sz w:val="32"/>
          <w:szCs w:val="32"/>
        </w:rPr>
      </w:pPr>
      <w:r>
        <w:rPr>
          <w:rFonts w:hint="eastAsia" w:ascii="仿宋_GB2312" w:hAnsi="黑体" w:eastAsia="仿宋_GB2312" w:cs="仿宋_GB2312"/>
          <w:color w:val="000000"/>
          <w:spacing w:val="-8"/>
          <w:sz w:val="32"/>
          <w:szCs w:val="32"/>
        </w:rPr>
        <w:t>（九）</w:t>
      </w:r>
      <w:r>
        <w:rPr>
          <w:rFonts w:hint="eastAsia" w:ascii="仿宋_GB2312" w:eastAsia="仿宋_GB2312" w:cs="仿宋_GB2312"/>
          <w:color w:val="000000"/>
          <w:sz w:val="32"/>
          <w:szCs w:val="32"/>
        </w:rPr>
        <w:t>推动实施全区创新驱动发展战略。会同相关部门拟订全区推进创新创业的规划和政策，提出创新发展和培育经济发展新动能的政策。会同相关部门规划布局区级重大科技基础设施。组织拟订并推动实施高技术产业和战略性新兴产业及数字经济发展规划政策，协调产业升级、重大技术装备推广应用等方面的重大问题。</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（十）</w:t>
      </w:r>
      <w:r>
        <w:rPr>
          <w:rFonts w:hint="eastAsia" w:ascii="仿宋_GB2312" w:eastAsia="仿宋_GB2312" w:cs="仿宋_GB2312"/>
          <w:color w:val="000000"/>
          <w:sz w:val="32"/>
          <w:szCs w:val="32"/>
        </w:rPr>
        <w:t>跟踪研判涉及经济安全、生态安全、资源安全、科技安全、社会安全等各类风险隐患，提出相关工作建议。协调落实重要工业品、原材料和重要农产品进出口调控措施。会同有关部门拟订全区储备物资品种目录、总体发展规划。</w:t>
      </w:r>
    </w:p>
    <w:p>
      <w:pPr>
        <w:spacing w:line="570" w:lineRule="exact"/>
        <w:ind w:firstLine="608" w:firstLineChars="200"/>
        <w:rPr>
          <w:rFonts w:hint="eastAsia" w:ascii="仿宋_GB2312" w:eastAsia="仿宋_GB2312" w:cs="仿宋_GB2312"/>
          <w:color w:val="000000"/>
          <w:sz w:val="32"/>
          <w:szCs w:val="32"/>
        </w:rPr>
      </w:pPr>
      <w:r>
        <w:rPr>
          <w:rFonts w:hint="eastAsia" w:ascii="仿宋_GB2312" w:hAnsi="黑体" w:eastAsia="仿宋_GB2312" w:cs="仿宋_GB2312"/>
          <w:color w:val="000000"/>
          <w:spacing w:val="-8"/>
          <w:sz w:val="32"/>
          <w:szCs w:val="32"/>
        </w:rPr>
        <w:t>（十一）</w:t>
      </w:r>
      <w:r>
        <w:rPr>
          <w:rFonts w:hint="eastAsia" w:ascii="仿宋_GB2312" w:eastAsia="仿宋_GB2312" w:cs="仿宋_GB2312"/>
          <w:color w:val="000000"/>
          <w:sz w:val="32"/>
          <w:szCs w:val="32"/>
        </w:rPr>
        <w:t>负责全区社会发展与国民经济发展的政策衔接，协调有关重大问题。组织拟订社会发展战略、总体规划，统筹推进基本公共服务体系建设和收入分配制度改革，提出促进就业、完善社会保障与经济协调发展的政策建议。</w:t>
      </w:r>
    </w:p>
    <w:p>
      <w:pPr>
        <w:spacing w:line="560" w:lineRule="exact"/>
        <w:ind w:firstLine="640"/>
        <w:rPr>
          <w:rFonts w:hint="eastAsia" w:ascii="仿宋_GB2312" w:eastAsia="仿宋_GB2312"/>
          <w:color w:val="000000"/>
          <w:sz w:val="32"/>
          <w:szCs w:val="32"/>
        </w:rPr>
      </w:pPr>
      <w:r>
        <w:rPr>
          <w:rFonts w:hint="eastAsia" w:ascii="仿宋_GB2312" w:hAnsi="黑体" w:eastAsia="仿宋_GB2312" w:cs="仿宋_GB2312"/>
          <w:color w:val="000000"/>
          <w:spacing w:val="-8"/>
          <w:sz w:val="32"/>
          <w:szCs w:val="32"/>
        </w:rPr>
        <w:t>（十二）</w:t>
      </w:r>
      <w:r>
        <w:rPr>
          <w:rFonts w:hint="eastAsia" w:ascii="仿宋_GB2312" w:eastAsia="仿宋_GB2312" w:cs="仿宋_GB2312"/>
          <w:color w:val="000000"/>
          <w:sz w:val="32"/>
          <w:szCs w:val="32"/>
        </w:rPr>
        <w:t>推进实施可持续发展战略，推动生态文明建设和改革，协调生态环境保护与修复、能源资源节约和综合利用等工作。提出健全生态保护补偿机制的政策措施，综合协调环保产业和清洁生产促进有关工作。提出全区能源消费控制目标任务并组织实施。</w:t>
      </w:r>
    </w:p>
    <w:p>
      <w:pPr>
        <w:spacing w:line="570" w:lineRule="exact"/>
        <w:ind w:firstLine="608" w:firstLineChars="200"/>
        <w:rPr>
          <w:rFonts w:hint="eastAsia" w:ascii="仿宋_GB2312" w:eastAsia="仿宋_GB2312" w:cs="仿宋_GB2312"/>
          <w:color w:val="000000"/>
          <w:sz w:val="32"/>
          <w:szCs w:val="32"/>
        </w:rPr>
      </w:pPr>
      <w:r>
        <w:rPr>
          <w:rFonts w:hint="eastAsia" w:ascii="仿宋_GB2312" w:hAnsi="黑体" w:eastAsia="仿宋_GB2312" w:cs="仿宋_GB2312"/>
          <w:color w:val="000000"/>
          <w:spacing w:val="-8"/>
          <w:sz w:val="32"/>
          <w:szCs w:val="32"/>
        </w:rPr>
        <w:t>（十三）</w:t>
      </w:r>
      <w:r>
        <w:rPr>
          <w:rFonts w:hint="eastAsia" w:ascii="仿宋_GB2312" w:eastAsia="仿宋_GB2312" w:cs="仿宋_GB2312"/>
          <w:color w:val="000000"/>
          <w:sz w:val="32"/>
          <w:szCs w:val="32"/>
        </w:rPr>
        <w:t>组织拟订推进全区经济建设与国防建设协调发展的战略和规划，组织推进经济建设项目贯彻国防要求。</w:t>
      </w:r>
    </w:p>
    <w:p>
      <w:pPr>
        <w:spacing w:line="560" w:lineRule="exact"/>
        <w:ind w:firstLine="640"/>
        <w:rPr>
          <w:rFonts w:hint="eastAsia" w:ascii="仿宋_GB2312" w:eastAsia="仿宋_GB2312"/>
          <w:color w:val="000000"/>
          <w:spacing w:val="-20"/>
          <w:sz w:val="32"/>
          <w:szCs w:val="32"/>
        </w:rPr>
      </w:pPr>
      <w:r>
        <w:rPr>
          <w:rFonts w:hint="eastAsia" w:ascii="仿宋_GB2312" w:hAnsi="黑体" w:eastAsia="仿宋_GB2312" w:cs="仿宋_GB2312"/>
          <w:color w:val="000000"/>
          <w:spacing w:val="-8"/>
          <w:sz w:val="32"/>
          <w:szCs w:val="32"/>
        </w:rPr>
        <w:t>（十四）</w:t>
      </w:r>
      <w:r>
        <w:rPr>
          <w:rFonts w:hint="eastAsia" w:ascii="仿宋_GB2312" w:eastAsia="仿宋_GB2312" w:cs="仿宋_GB2312"/>
          <w:color w:val="000000"/>
          <w:sz w:val="32"/>
          <w:szCs w:val="32"/>
        </w:rPr>
        <w:t>提出能源发展战略的建议，拟订能源发展规划、产业政策和年度指导计划并组织实施。起草有关能源行业的区域内规定。推进能源体制改革。拟定有关改革方案并组织实施。协调能源发展和改革中的重大问题。组织实施煤炭、石油、天然气、电力（核电）、新能源和可再生能源等能源，以及炼油、煤制燃料和生物质液体等燃料的产业政策和相关标准。</w:t>
      </w:r>
      <w:r>
        <w:rPr>
          <w:rFonts w:hint="eastAsia" w:ascii="仿宋_GB2312" w:hAnsi="仿宋_GB2312" w:eastAsia="仿宋_GB2312" w:cs="仿宋_GB2312"/>
          <w:color w:val="000000"/>
          <w:sz w:val="32"/>
          <w:szCs w:val="32"/>
        </w:rPr>
        <w:t>按规定权限，负责审批、核准和审核规划内和年度计划规模内能源固定资产投资项目。指导协调农村能源发展工作。</w:t>
      </w:r>
      <w:r>
        <w:rPr>
          <w:rFonts w:hint="eastAsia" w:ascii="仿宋_GB2312" w:eastAsia="仿宋_GB2312" w:cs="仿宋_GB2312"/>
          <w:color w:val="000000"/>
          <w:sz w:val="32"/>
          <w:szCs w:val="32"/>
        </w:rPr>
        <w:t>组织推进能源重大设备研发。指导能源科技进步、成套设备的引进消化创新，组织协调相关示范工程和推广应用新产品、新技术、新设备。负责区域内核电管理。</w:t>
      </w:r>
      <w:r>
        <w:rPr>
          <w:rFonts w:hint="eastAsia" w:ascii="仿宋_GB2312" w:hAnsi="仿宋_GB2312" w:eastAsia="仿宋_GB2312" w:cs="仿宋_GB2312"/>
          <w:color w:val="000000"/>
          <w:sz w:val="32"/>
          <w:szCs w:val="32"/>
        </w:rPr>
        <w:t>负责能源行业节能和资源综合利用。参与研究能源消费总量控制目标建议，指导、监督能源消费总量控制有关工作，衔接能源生产建设和供需平衡。负责能源预测预警。发布能源信息，参与能源运行调节和应急保障。规范能源市场秩序。监管油气管网设施的公平开放，参与电力市场的监管。参与组织推进能源国际合作。参与制定与能源相关的资</w:t>
      </w:r>
      <w:r>
        <w:rPr>
          <w:rFonts w:hint="eastAsia" w:ascii="仿宋_GB2312" w:hAnsi="仿宋_GB2312" w:eastAsia="仿宋_GB2312" w:cs="仿宋_GB2312"/>
          <w:color w:val="000000"/>
          <w:spacing w:val="-20"/>
          <w:sz w:val="32"/>
          <w:szCs w:val="32"/>
        </w:rPr>
        <w:t>源、财税、环保等政策，提出能源价格调整建议。</w:t>
      </w:r>
    </w:p>
    <w:p>
      <w:pPr>
        <w:spacing w:line="570" w:lineRule="exact"/>
        <w:ind w:firstLine="608" w:firstLineChars="200"/>
        <w:rPr>
          <w:rFonts w:hint="eastAsia" w:ascii="仿宋_GB2312" w:eastAsia="仿宋_GB2312" w:cs="仿宋_GB2312"/>
          <w:color w:val="000000"/>
          <w:sz w:val="32"/>
          <w:szCs w:val="32"/>
        </w:rPr>
      </w:pPr>
      <w:r>
        <w:rPr>
          <w:rFonts w:hint="eastAsia" w:ascii="仿宋_GB2312" w:hAnsi="黑体" w:eastAsia="仿宋_GB2312" w:cs="仿宋_GB2312"/>
          <w:color w:val="000000"/>
          <w:spacing w:val="-8"/>
          <w:sz w:val="32"/>
          <w:szCs w:val="32"/>
        </w:rPr>
        <w:t>（十五）</w:t>
      </w:r>
      <w:r>
        <w:rPr>
          <w:rFonts w:hint="eastAsia" w:ascii="仿宋_GB2312" w:eastAsia="仿宋_GB2312" w:cs="仿宋_GB2312"/>
          <w:color w:val="000000"/>
          <w:sz w:val="32"/>
          <w:szCs w:val="32"/>
        </w:rPr>
        <w:t>研究制定我区参与京津冀协同发展的相关政策及规划，争取国家、省、市相关政策、资金、项目支持，协调解决在推进协同发展中存在的问题。</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（十六）组织落实国家、省、市、区有关粮食流通和物资储备的法律、法规和政策；拟订全区粮食流通、区级粮食储备和物资储备的政策和规章制度并组织实施；指导全区粮食流通和物资储备体制改革。</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十七）落实国家粮食行业发展规划和政策，制定全区粮食行业发展规划并组织实施；承担全区粮食流通宏观调控，落实国家粮食购销政策，负责粮食、食糖、食盐等物资管理工作，监测区内粮食、食糖、食盐等物资供求变化并预测预警。承担粮食安全责任制考核日常工作。</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十八）研究提出区级粮食和物资储备规划、储备品种目录建议，组织实施区级粮食、食糖、食盐和救灾物资等物资的收储、轮换和日常管理，落实有关动用计划和指令。指导乡（镇）和有关部门粮食和物资储备工作。</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十九）负责贯彻落实国家粮食和物资储备仓储管理有关技术标准和规范。负责粮食流通、加工行业安全生产的监督管理，承担区级粮食、食糖、食盐和救灾物资等物资承储企业以及物资储备承储单位安全生产的监管责任。</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（二十）负责区级粮食、食糖、食盐和救灾物资等物资储备基础设施建设和管理。拟订粮食流通设施建设规划并组织实施，管理有关储备基础设施和粮食流通设施投资项目。</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二十一）负责对区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区粮食库存检查工作。</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（二十二）贯彻国家粮食流通和物资储备有关标准、粮食质量标准和有关技术规范并监督执行。开展全区粮食和物资储备的对外合作与交流。</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（二十三）承担区委财经委员会办公室日常工作。</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（二十四）承办区委、区政府交办的其他事项。</w:t>
      </w:r>
    </w:p>
    <w:p>
      <w:pPr>
        <w:spacing w:line="570" w:lineRule="exact"/>
        <w:ind w:firstLine="608" w:firstLineChars="200"/>
        <w:rPr>
          <w:rFonts w:hint="eastAsia" w:ascii="仿宋_GB2312" w:hAnsi="黑体" w:eastAsia="仿宋_GB2312" w:cs="仿宋_GB2312"/>
          <w:color w:val="000000"/>
          <w:spacing w:val="-8"/>
          <w:sz w:val="32"/>
          <w:szCs w:val="32"/>
        </w:rPr>
      </w:pPr>
      <w:r>
        <w:rPr>
          <w:rFonts w:hint="eastAsia" w:ascii="仿宋_GB2312" w:hAnsi="黑体" w:eastAsia="仿宋_GB2312" w:cs="仿宋_GB2312"/>
          <w:color w:val="000000"/>
          <w:spacing w:val="-8"/>
          <w:sz w:val="32"/>
          <w:szCs w:val="32"/>
        </w:rPr>
        <w:t>（二十五）接受纪检监察机关、司法机关、行政执法机关、人民政府各部门和仲裁机构的委托，对刑事、民事、行政、经济案件中涉及的各类涉嫌刑事价格认定、涉嫌违纪价格认定、涉及税收的标的进行价格确认，以及调处价格矛盾。还包括行政诉讼案件、行政处罚案件、行政征收案件、行政征用案件、行政执法活动、国家赔偿事项、国家补偿事项以及法律、法规规定的其他事项。</w:t>
      </w:r>
    </w:p>
    <w:p>
      <w:pPr>
        <w:pStyle w:val="16"/>
        <w:spacing w:line="520" w:lineRule="exact"/>
        <w:ind w:firstLine="739" w:firstLineChars="230"/>
        <w:rPr>
          <w:rFonts w:hint="eastAsia" w:ascii="仿宋_GB2312" w:hAnsi="仿宋_GB2312" w:eastAsia="仿宋_GB2312" w:cs="仿宋_GB2312"/>
          <w:b/>
          <w:bCs/>
          <w:sz w:val="32"/>
          <w:szCs w:val="32"/>
        </w:rPr>
      </w:pPr>
    </w:p>
    <w:p>
      <w:pPr>
        <w:pStyle w:val="16"/>
        <w:spacing w:line="520" w:lineRule="exact"/>
        <w:ind w:firstLine="739" w:firstLineChars="23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二、内设机构设置规定</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根据上述职责，保定市满城区发展和改革局设5个内设机构和2个事业单位。</w:t>
      </w:r>
    </w:p>
    <w:tbl>
      <w:tblPr>
        <w:tblStyle w:val="8"/>
        <w:tblW w:w="9796" w:type="dxa"/>
        <w:tblInd w:w="93" w:type="dxa"/>
        <w:tblLayout w:type="autofit"/>
        <w:tblCellMar>
          <w:top w:w="0" w:type="dxa"/>
          <w:left w:w="108" w:type="dxa"/>
          <w:bottom w:w="0" w:type="dxa"/>
          <w:right w:w="108" w:type="dxa"/>
        </w:tblCellMar>
      </w:tblPr>
      <w:tblGrid>
        <w:gridCol w:w="1080"/>
        <w:gridCol w:w="2610"/>
        <w:gridCol w:w="1826"/>
        <w:gridCol w:w="1901"/>
        <w:gridCol w:w="2379"/>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部门内设机构设置情况</w:t>
            </w:r>
          </w:p>
        </w:tc>
      </w:tr>
      <w:tr>
        <w:tblPrEx>
          <w:tblCellMar>
            <w:top w:w="0" w:type="dxa"/>
            <w:left w:w="108" w:type="dxa"/>
            <w:bottom w:w="0" w:type="dxa"/>
            <w:right w:w="108" w:type="dxa"/>
          </w:tblCellMar>
        </w:tblPrEx>
        <w:trPr>
          <w:trHeight w:val="720" w:hRule="atLeast"/>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26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内设机构名称</w:t>
            </w:r>
          </w:p>
        </w:tc>
        <w:tc>
          <w:tcPr>
            <w:tcW w:w="18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单位性质</w:t>
            </w:r>
          </w:p>
        </w:tc>
        <w:tc>
          <w:tcPr>
            <w:tcW w:w="19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单位规格</w:t>
            </w:r>
          </w:p>
        </w:tc>
        <w:tc>
          <w:tcPr>
            <w:tcW w:w="23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经费保障形式</w:t>
            </w:r>
          </w:p>
        </w:tc>
      </w:tr>
      <w:tr>
        <w:tblPrEx>
          <w:tblCellMar>
            <w:top w:w="0" w:type="dxa"/>
            <w:left w:w="108" w:type="dxa"/>
            <w:bottom w:w="0" w:type="dxa"/>
            <w:right w:w="108" w:type="dxa"/>
          </w:tblCellMar>
        </w:tblPrEx>
        <w:trPr>
          <w:trHeight w:val="418"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4"/>
                <w:szCs w:val="24"/>
              </w:rPr>
            </w:pPr>
          </w:p>
        </w:tc>
        <w:tc>
          <w:tcPr>
            <w:tcW w:w="26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4"/>
                <w:szCs w:val="24"/>
              </w:rPr>
            </w:pPr>
          </w:p>
        </w:tc>
        <w:tc>
          <w:tcPr>
            <w:tcW w:w="18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4"/>
                <w:szCs w:val="24"/>
              </w:rPr>
            </w:pPr>
          </w:p>
        </w:tc>
        <w:tc>
          <w:tcPr>
            <w:tcW w:w="19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4"/>
                <w:szCs w:val="24"/>
              </w:rPr>
            </w:pPr>
          </w:p>
        </w:tc>
        <w:tc>
          <w:tcPr>
            <w:tcW w:w="23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办公室</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行政</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股级</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综合经济管理股</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行政</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股级</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能源资环管理股</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行政</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股级</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价格管理股</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行政</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股级</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粮食和物资储备股</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行政</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股级</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保定市满城区节能服务中心</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股级</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财政性资金基本保证</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保定市满城区价格认定中心</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股级</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财政性资金基本保证</w:t>
            </w:r>
          </w:p>
        </w:tc>
      </w:tr>
    </w:tbl>
    <w:p>
      <w:pPr>
        <w:spacing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spacing w:line="5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三、人员编制规定</w:t>
      </w:r>
    </w:p>
    <w:p>
      <w:pPr>
        <w:spacing w:line="52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保定市满城区发展改革局机关行政编制13名。其中，局长1名，副局长2名，股级职数5名。</w:t>
      </w:r>
    </w:p>
    <w:p>
      <w:pPr>
        <w:spacing w:line="52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现有行政编制人员22名，其中行政编制干部人员19人，行政编制工勤人员3人。</w:t>
      </w:r>
    </w:p>
    <w:p>
      <w:pPr>
        <w:spacing w:line="52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保定市满城区发展和改革局所属事业单位2个。根据满编字【2019】15号文件规定，保定市满城区价格认定中心事业编制6名；满编字【2019】15号文件规定，保定市满城区节能服务中心自筹事业编制20人。</w:t>
      </w:r>
    </w:p>
    <w:p>
      <w:pPr>
        <w:spacing w:line="52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现有事业编制人员17名，其中全额事人员1人，差额事业人员3人，自筹事业（财政供养）人员3人。</w:t>
      </w:r>
    </w:p>
    <w:p>
      <w:pPr>
        <w:spacing w:line="52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保定市满城区发展和改革局现有在职人员39名，其中行政人员22名，事业人员17名。行政及事业退休人员52名。</w:t>
      </w:r>
    </w:p>
    <w:p>
      <w:pPr>
        <w:spacing w:line="52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现有车辆编制及使用公务用车3辆。</w:t>
      </w:r>
    </w:p>
    <w:p>
      <w:pPr>
        <w:spacing w:line="520" w:lineRule="exact"/>
        <w:ind w:left="1713" w:firstLine="320" w:firstLineChars="100"/>
        <w:rPr>
          <w:rFonts w:hint="eastAsia" w:ascii="仿宋_GB2312" w:hAnsi="仿宋_GB2312" w:eastAsia="仿宋_GB2312" w:cs="仿宋_GB2312"/>
          <w:sz w:val="32"/>
          <w:szCs w:val="32"/>
        </w:rPr>
      </w:pPr>
    </w:p>
    <w:p>
      <w:pPr>
        <w:spacing w:line="520" w:lineRule="exact"/>
        <w:ind w:left="1713" w:firstLine="321" w:firstLineChars="1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第二部分：部门预算安排的总体情况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1、收入说明</w:t>
      </w:r>
    </w:p>
    <w:p>
      <w:pPr>
        <w:spacing w:line="52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2020年预算收入7658.94万元。</w:t>
      </w:r>
    </w:p>
    <w:p>
      <w:pPr>
        <w:spacing w:line="520" w:lineRule="exact"/>
        <w:ind w:firstLine="2080" w:firstLineChars="6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其中：一般公共预算财政拨款7658.94万元</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2、支出说明</w:t>
      </w:r>
    </w:p>
    <w:p>
      <w:pPr>
        <w:spacing w:line="52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2020年预算支出7658.94万元。</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其中：人员经费  537.42万元</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公用经费   38.41万元</w:t>
      </w:r>
    </w:p>
    <w:p>
      <w:pPr>
        <w:spacing w:line="520" w:lineRule="exact"/>
        <w:ind w:firstLine="3040" w:firstLineChars="9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 7083.11万元</w:t>
      </w:r>
    </w:p>
    <w:p>
      <w:pPr>
        <w:tabs>
          <w:tab w:val="left" w:pos="916"/>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3、比上年增减情况</w:t>
      </w:r>
    </w:p>
    <w:p>
      <w:pPr>
        <w:tabs>
          <w:tab w:val="left" w:pos="916"/>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年度预算收支安排7658.94元，较上年减少3089.79万元。其中:基本支出减少47.16万元，减少7.5%，主要是机构改革在职及退休人员减少，造成减少人员经费和公用经费支出；项目支出减少3042.63万元，减少30%，主要是减少全区气代煤工程项目补贴资金和洁净型煤推广项目补贴资金等项目支出补贴资金。</w:t>
      </w:r>
    </w:p>
    <w:p>
      <w:pPr>
        <w:spacing w:line="520" w:lineRule="exact"/>
        <w:outlineLvl w:val="0"/>
        <w:rPr>
          <w:rFonts w:hint="eastAsia" w:ascii="仿宋_GB2312" w:hAnsi="仿宋_GB2312" w:eastAsia="仿宋_GB2312" w:cs="仿宋_GB2312"/>
          <w:sz w:val="32"/>
          <w:szCs w:val="32"/>
        </w:rPr>
      </w:pPr>
    </w:p>
    <w:p>
      <w:pPr>
        <w:spacing w:line="520" w:lineRule="exact"/>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第三部分：机关运行经费安排情况</w:t>
      </w:r>
    </w:p>
    <w:p>
      <w:pPr>
        <w:spacing w:line="520" w:lineRule="exact"/>
        <w:jc w:val="center"/>
        <w:outlineLvl w:val="0"/>
        <w:rPr>
          <w:rFonts w:hint="eastAsia" w:ascii="仿宋_GB2312" w:hAnsi="仿宋_GB2312" w:eastAsia="仿宋_GB2312" w:cs="仿宋_GB2312"/>
          <w:sz w:val="32"/>
          <w:szCs w:val="32"/>
        </w:rPr>
      </w:pPr>
    </w:p>
    <w:p>
      <w:pPr>
        <w:spacing w:line="520" w:lineRule="exact"/>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定市满城区发展改革局机关运行公用经费安排38.41万元，其中办公费2.4万元，邮电费9.48万元，取暖费2.88万元，公务接待费0.75万元，公务用车运行维护费7.5万元，其他交通费用14.1万元，其他商品和服务支出1.3万元。</w:t>
      </w:r>
    </w:p>
    <w:p>
      <w:pPr>
        <w:spacing w:line="520" w:lineRule="exact"/>
        <w:jc w:val="center"/>
        <w:outlineLvl w:val="0"/>
        <w:rPr>
          <w:rFonts w:hint="eastAsia" w:ascii="仿宋_GB2312" w:hAnsi="仿宋_GB2312" w:eastAsia="仿宋_GB2312" w:cs="仿宋_GB2312"/>
          <w:sz w:val="32"/>
          <w:szCs w:val="32"/>
        </w:rPr>
      </w:pPr>
    </w:p>
    <w:p>
      <w:pPr>
        <w:spacing w:line="520" w:lineRule="exact"/>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第四部分：财政拨款“三公”经费预算情况及增减变化原因</w:t>
      </w:r>
    </w:p>
    <w:p>
      <w:pPr>
        <w:spacing w:line="520" w:lineRule="exact"/>
        <w:jc w:val="center"/>
        <w:outlineLvl w:val="0"/>
        <w:rPr>
          <w:rFonts w:hint="eastAsia" w:ascii="仿宋_GB2312" w:hAnsi="仿宋_GB2312" w:eastAsia="仿宋_GB2312" w:cs="仿宋_GB2312"/>
          <w:sz w:val="32"/>
          <w:szCs w:val="32"/>
        </w:rPr>
      </w:pPr>
    </w:p>
    <w:tbl>
      <w:tblPr>
        <w:tblStyle w:val="8"/>
        <w:tblW w:w="5000" w:type="pct"/>
        <w:tblInd w:w="0" w:type="dxa"/>
        <w:tblLayout w:type="autofit"/>
        <w:tblCellMar>
          <w:top w:w="0" w:type="dxa"/>
          <w:left w:w="108" w:type="dxa"/>
          <w:bottom w:w="0" w:type="dxa"/>
          <w:right w:w="108" w:type="dxa"/>
        </w:tblCellMar>
      </w:tblPr>
      <w:tblGrid>
        <w:gridCol w:w="2136"/>
        <w:gridCol w:w="1716"/>
        <w:gridCol w:w="1716"/>
        <w:gridCol w:w="1177"/>
        <w:gridCol w:w="3110"/>
      </w:tblGrid>
      <w:tr>
        <w:tblPrEx>
          <w:tblCellMar>
            <w:top w:w="0" w:type="dxa"/>
            <w:left w:w="108" w:type="dxa"/>
            <w:bottom w:w="0" w:type="dxa"/>
            <w:right w:w="108" w:type="dxa"/>
          </w:tblCellMar>
        </w:tblPrEx>
        <w:trPr>
          <w:trHeight w:val="405" w:hRule="atLeast"/>
        </w:trPr>
        <w:tc>
          <w:tcPr>
            <w:tcW w:w="5000" w:type="pct"/>
            <w:gridSpan w:val="5"/>
            <w:tcBorders>
              <w:top w:val="nil"/>
              <w:left w:val="nil"/>
              <w:bottom w:val="nil"/>
              <w:right w:val="nil"/>
            </w:tcBorders>
            <w:noWrap/>
            <w:vAlign w:val="center"/>
          </w:tcPr>
          <w:p>
            <w:pPr>
              <w:widowControl/>
              <w:spacing w:line="52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1083" w:type="pct"/>
            <w:tcBorders>
              <w:top w:val="nil"/>
              <w:left w:val="nil"/>
              <w:bottom w:val="nil"/>
              <w:right w:val="nil"/>
            </w:tcBorders>
            <w:noWrap/>
            <w:vAlign w:val="center"/>
          </w:tcPr>
          <w:p>
            <w:pPr>
              <w:widowControl/>
              <w:jc w:val="left"/>
              <w:rPr>
                <w:rFonts w:hint="eastAsia" w:ascii="仿宋_GB2312" w:hAnsi="仿宋_GB2312" w:eastAsia="仿宋_GB2312" w:cs="仿宋_GB2312"/>
                <w:kern w:val="0"/>
                <w:sz w:val="24"/>
                <w:szCs w:val="24"/>
              </w:rPr>
            </w:pPr>
          </w:p>
        </w:tc>
        <w:tc>
          <w:tcPr>
            <w:tcW w:w="871" w:type="pct"/>
            <w:tcBorders>
              <w:top w:val="nil"/>
              <w:left w:val="nil"/>
              <w:bottom w:val="nil"/>
              <w:right w:val="nil"/>
            </w:tcBorders>
            <w:noWrap/>
            <w:vAlign w:val="center"/>
          </w:tcPr>
          <w:p>
            <w:pPr>
              <w:widowControl/>
              <w:jc w:val="left"/>
              <w:rPr>
                <w:rFonts w:hint="eastAsia" w:ascii="仿宋_GB2312" w:hAnsi="仿宋_GB2312" w:eastAsia="仿宋_GB2312" w:cs="仿宋_GB2312"/>
                <w:kern w:val="0"/>
                <w:sz w:val="24"/>
                <w:szCs w:val="24"/>
              </w:rPr>
            </w:pPr>
          </w:p>
        </w:tc>
        <w:tc>
          <w:tcPr>
            <w:tcW w:w="871" w:type="pct"/>
            <w:tcBorders>
              <w:top w:val="nil"/>
              <w:left w:val="nil"/>
              <w:bottom w:val="nil"/>
              <w:right w:val="nil"/>
            </w:tcBorders>
            <w:noWrap/>
            <w:vAlign w:val="center"/>
          </w:tcPr>
          <w:p>
            <w:pPr>
              <w:widowControl/>
              <w:jc w:val="left"/>
              <w:rPr>
                <w:rFonts w:hint="eastAsia" w:ascii="仿宋_GB2312" w:hAnsi="仿宋_GB2312" w:eastAsia="仿宋_GB2312" w:cs="仿宋_GB2312"/>
                <w:kern w:val="0"/>
                <w:sz w:val="24"/>
                <w:szCs w:val="24"/>
              </w:rPr>
            </w:pPr>
          </w:p>
        </w:tc>
        <w:tc>
          <w:tcPr>
            <w:tcW w:w="597" w:type="pct"/>
            <w:tcBorders>
              <w:top w:val="nil"/>
              <w:left w:val="nil"/>
              <w:bottom w:val="nil"/>
              <w:right w:val="nil"/>
            </w:tcBorders>
            <w:noWrap/>
            <w:vAlign w:val="center"/>
          </w:tcPr>
          <w:p>
            <w:pPr>
              <w:widowControl/>
              <w:jc w:val="left"/>
              <w:rPr>
                <w:rFonts w:hint="eastAsia" w:ascii="仿宋_GB2312" w:hAnsi="仿宋_GB2312" w:eastAsia="仿宋_GB2312" w:cs="仿宋_GB2312"/>
                <w:kern w:val="0"/>
                <w:sz w:val="24"/>
                <w:szCs w:val="24"/>
              </w:rPr>
            </w:pPr>
          </w:p>
        </w:tc>
        <w:tc>
          <w:tcPr>
            <w:tcW w:w="1576" w:type="pct"/>
            <w:tcBorders>
              <w:top w:val="nil"/>
              <w:left w:val="nil"/>
              <w:bottom w:val="nil"/>
              <w:right w:val="nil"/>
            </w:tcBorders>
            <w:noWrap/>
            <w:vAlign w:val="center"/>
          </w:tcPr>
          <w:p>
            <w:pPr>
              <w:widowControl/>
              <w:jc w:val="righ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单位：万元</w:t>
            </w:r>
          </w:p>
        </w:tc>
      </w:tr>
      <w:tr>
        <w:tblPrEx>
          <w:tblCellMar>
            <w:top w:w="0" w:type="dxa"/>
            <w:left w:w="108" w:type="dxa"/>
            <w:bottom w:w="0" w:type="dxa"/>
            <w:right w:w="108" w:type="dxa"/>
          </w:tblCellMar>
        </w:tblPrEx>
        <w:trPr>
          <w:trHeight w:val="285" w:hRule="atLeast"/>
        </w:trPr>
        <w:tc>
          <w:tcPr>
            <w:tcW w:w="108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871"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2019年度预算</w:t>
            </w:r>
          </w:p>
        </w:tc>
        <w:tc>
          <w:tcPr>
            <w:tcW w:w="871"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2020年度预算</w:t>
            </w:r>
          </w:p>
        </w:tc>
        <w:tc>
          <w:tcPr>
            <w:tcW w:w="597"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增减金额</w:t>
            </w:r>
          </w:p>
        </w:tc>
        <w:tc>
          <w:tcPr>
            <w:tcW w:w="1576"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变化原因</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公务用车购置经费</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597" w:type="pct"/>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576" w:type="pct"/>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无增减变化</w:t>
            </w:r>
          </w:p>
        </w:tc>
      </w:tr>
      <w:tr>
        <w:tblPrEx>
          <w:tblCellMar>
            <w:top w:w="0" w:type="dxa"/>
            <w:left w:w="108" w:type="dxa"/>
            <w:bottom w:w="0" w:type="dxa"/>
            <w:right w:w="108" w:type="dxa"/>
          </w:tblCellMar>
        </w:tblPrEx>
        <w:trPr>
          <w:trHeight w:val="570" w:hRule="atLeast"/>
        </w:trPr>
        <w:tc>
          <w:tcPr>
            <w:tcW w:w="1083"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公务用车运行经费</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12.5</w:t>
            </w:r>
          </w:p>
        </w:tc>
        <w:tc>
          <w:tcPr>
            <w:tcW w:w="871" w:type="pct"/>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7.5</w:t>
            </w:r>
          </w:p>
        </w:tc>
        <w:tc>
          <w:tcPr>
            <w:tcW w:w="597" w:type="pct"/>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576" w:type="pct"/>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机构改革公务用车核定车辆减少</w:t>
            </w:r>
          </w:p>
        </w:tc>
      </w:tr>
      <w:tr>
        <w:tblPrEx>
          <w:tblCellMar>
            <w:top w:w="0" w:type="dxa"/>
            <w:left w:w="108" w:type="dxa"/>
            <w:bottom w:w="0" w:type="dxa"/>
            <w:right w:w="108" w:type="dxa"/>
          </w:tblCellMar>
        </w:tblPrEx>
        <w:trPr>
          <w:trHeight w:val="855" w:hRule="atLeast"/>
        </w:trPr>
        <w:tc>
          <w:tcPr>
            <w:tcW w:w="1083"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公务接待费支出</w:t>
            </w:r>
          </w:p>
        </w:tc>
        <w:tc>
          <w:tcPr>
            <w:tcW w:w="871" w:type="pct"/>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0.7719</w:t>
            </w:r>
          </w:p>
        </w:tc>
        <w:tc>
          <w:tcPr>
            <w:tcW w:w="871" w:type="pct"/>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0.75</w:t>
            </w:r>
          </w:p>
        </w:tc>
        <w:tc>
          <w:tcPr>
            <w:tcW w:w="597" w:type="pct"/>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-0.0219</w:t>
            </w:r>
          </w:p>
        </w:tc>
        <w:tc>
          <w:tcPr>
            <w:tcW w:w="1576" w:type="pct"/>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机构改革人员减少，导致公务接待费按标准调整减少。</w:t>
            </w:r>
          </w:p>
        </w:tc>
      </w:tr>
      <w:tr>
        <w:tblPrEx>
          <w:tblCellMar>
            <w:top w:w="0" w:type="dxa"/>
            <w:left w:w="108" w:type="dxa"/>
            <w:bottom w:w="0" w:type="dxa"/>
            <w:right w:w="108" w:type="dxa"/>
          </w:tblCellMar>
        </w:tblPrEx>
        <w:trPr>
          <w:trHeight w:val="1140" w:hRule="atLeast"/>
        </w:trPr>
        <w:tc>
          <w:tcPr>
            <w:tcW w:w="1083"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w:t>
            </w:r>
          </w:p>
        </w:tc>
        <w:tc>
          <w:tcPr>
            <w:tcW w:w="871" w:type="pct"/>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13.2719</w:t>
            </w:r>
          </w:p>
        </w:tc>
        <w:tc>
          <w:tcPr>
            <w:tcW w:w="871" w:type="pct"/>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8.25</w:t>
            </w:r>
          </w:p>
        </w:tc>
        <w:tc>
          <w:tcPr>
            <w:tcW w:w="597" w:type="pct"/>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-5.0219</w:t>
            </w:r>
          </w:p>
        </w:tc>
        <w:tc>
          <w:tcPr>
            <w:tcW w:w="1576" w:type="pct"/>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机构改革公务用车核定车辆减少人员减少，导致公务接待费按标准调整减少。</w:t>
            </w:r>
          </w:p>
        </w:tc>
      </w:tr>
      <w:tr>
        <w:tblPrEx>
          <w:tblCellMar>
            <w:top w:w="0" w:type="dxa"/>
            <w:left w:w="108" w:type="dxa"/>
            <w:bottom w:w="0" w:type="dxa"/>
            <w:right w:w="108" w:type="dxa"/>
          </w:tblCellMar>
        </w:tblPrEx>
        <w:trPr>
          <w:trHeight w:val="285" w:hRule="atLeast"/>
        </w:trPr>
        <w:tc>
          <w:tcPr>
            <w:tcW w:w="1083" w:type="pct"/>
            <w:tcBorders>
              <w:top w:val="nil"/>
              <w:left w:val="nil"/>
              <w:bottom w:val="nil"/>
              <w:right w:val="nil"/>
            </w:tcBorders>
            <w:noWrap/>
            <w:vAlign w:val="center"/>
          </w:tcPr>
          <w:p>
            <w:pPr>
              <w:widowControl/>
              <w:jc w:val="left"/>
              <w:rPr>
                <w:rFonts w:hint="eastAsia" w:ascii="仿宋_GB2312" w:hAnsi="仿宋_GB2312" w:eastAsia="仿宋_GB2312" w:cs="仿宋_GB2312"/>
                <w:kern w:val="0"/>
                <w:sz w:val="24"/>
                <w:szCs w:val="24"/>
              </w:rPr>
            </w:pPr>
          </w:p>
        </w:tc>
        <w:tc>
          <w:tcPr>
            <w:tcW w:w="871" w:type="pct"/>
            <w:tcBorders>
              <w:top w:val="nil"/>
              <w:left w:val="nil"/>
              <w:bottom w:val="nil"/>
              <w:right w:val="nil"/>
            </w:tcBorders>
            <w:noWrap/>
            <w:vAlign w:val="center"/>
          </w:tcPr>
          <w:p>
            <w:pPr>
              <w:widowControl/>
              <w:jc w:val="left"/>
              <w:rPr>
                <w:rFonts w:hint="eastAsia" w:ascii="仿宋_GB2312" w:hAnsi="仿宋_GB2312" w:eastAsia="仿宋_GB2312" w:cs="仿宋_GB2312"/>
                <w:kern w:val="0"/>
                <w:sz w:val="24"/>
                <w:szCs w:val="24"/>
              </w:rPr>
            </w:pPr>
          </w:p>
        </w:tc>
        <w:tc>
          <w:tcPr>
            <w:tcW w:w="871" w:type="pct"/>
            <w:tcBorders>
              <w:top w:val="nil"/>
              <w:left w:val="nil"/>
              <w:bottom w:val="nil"/>
              <w:right w:val="nil"/>
            </w:tcBorders>
            <w:noWrap/>
            <w:vAlign w:val="center"/>
          </w:tcPr>
          <w:p>
            <w:pPr>
              <w:widowControl/>
              <w:jc w:val="left"/>
              <w:rPr>
                <w:rFonts w:hint="eastAsia" w:ascii="仿宋_GB2312" w:hAnsi="仿宋_GB2312" w:eastAsia="仿宋_GB2312" w:cs="仿宋_GB2312"/>
                <w:kern w:val="0"/>
                <w:sz w:val="24"/>
                <w:szCs w:val="24"/>
              </w:rPr>
            </w:pPr>
          </w:p>
        </w:tc>
        <w:tc>
          <w:tcPr>
            <w:tcW w:w="597" w:type="pct"/>
            <w:tcBorders>
              <w:top w:val="nil"/>
              <w:left w:val="nil"/>
              <w:bottom w:val="nil"/>
              <w:right w:val="nil"/>
            </w:tcBorders>
            <w:noWrap/>
            <w:vAlign w:val="center"/>
          </w:tcPr>
          <w:p>
            <w:pPr>
              <w:widowControl/>
              <w:jc w:val="left"/>
              <w:rPr>
                <w:rFonts w:hint="eastAsia" w:ascii="仿宋_GB2312" w:hAnsi="仿宋_GB2312" w:eastAsia="仿宋_GB2312" w:cs="仿宋_GB2312"/>
                <w:kern w:val="0"/>
                <w:sz w:val="24"/>
                <w:szCs w:val="24"/>
              </w:rPr>
            </w:pPr>
          </w:p>
        </w:tc>
        <w:tc>
          <w:tcPr>
            <w:tcW w:w="1576" w:type="pct"/>
            <w:tcBorders>
              <w:top w:val="nil"/>
              <w:left w:val="nil"/>
              <w:bottom w:val="nil"/>
              <w:right w:val="nil"/>
            </w:tcBorders>
            <w:noWrap/>
            <w:vAlign w:val="center"/>
          </w:tcPr>
          <w:p>
            <w:pPr>
              <w:widowControl/>
              <w:jc w:val="left"/>
              <w:rPr>
                <w:rFonts w:hint="eastAsia" w:ascii="仿宋_GB2312" w:hAnsi="仿宋_GB2312" w:eastAsia="仿宋_GB2312" w:cs="仿宋_GB2312"/>
                <w:kern w:val="0"/>
                <w:sz w:val="24"/>
                <w:szCs w:val="24"/>
              </w:rPr>
            </w:pPr>
          </w:p>
        </w:tc>
      </w:tr>
    </w:tbl>
    <w:p>
      <w:pPr>
        <w:pStyle w:val="16"/>
        <w:spacing w:line="520" w:lineRule="exact"/>
        <w:ind w:left="720" w:firstLine="640"/>
        <w:rPr>
          <w:rFonts w:hint="eastAsia" w:ascii="仿宋_GB2312" w:hAnsi="仿宋_GB2312" w:eastAsia="仿宋_GB2312" w:cs="仿宋_GB2312"/>
          <w:sz w:val="32"/>
          <w:szCs w:val="32"/>
        </w:rPr>
      </w:pPr>
    </w:p>
    <w:p>
      <w:pPr>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第五部分：绩效预算信息</w:t>
      </w:r>
    </w:p>
    <w:p>
      <w:pPr>
        <w:jc w:val="center"/>
        <w:outlineLvl w:val="0"/>
        <w:rPr>
          <w:rFonts w:hint="eastAsia" w:ascii="仿宋_GB2312" w:hAnsi="仿宋_GB2312" w:eastAsia="仿宋_GB2312" w:cs="仿宋_GB2312"/>
        </w:rPr>
      </w:pPr>
      <w:r>
        <w:rPr>
          <w:rFonts w:hint="eastAsia" w:ascii="仿宋_GB2312" w:hAnsi="仿宋_GB2312" w:eastAsia="仿宋_GB2312" w:cs="仿宋_GB2312"/>
        </w:rPr>
        <w:t xml:space="preserve"> </w:t>
      </w:r>
    </w:p>
    <w:p>
      <w:pPr>
        <w:jc w:val="center"/>
        <w:outlineLvl w:val="0"/>
        <w:rPr>
          <w:rFonts w:hint="eastAsia" w:ascii="仿宋_GB2312" w:hAnsi="仿宋_GB2312" w:eastAsia="仿宋_GB2312" w:cs="仿宋_GB2312"/>
          <w:sz w:val="32"/>
          <w:szCs w:val="32"/>
        </w:rPr>
      </w:pPr>
      <w:bookmarkStart w:id="0" w:name="_Toc3300559"/>
      <w:r>
        <w:rPr>
          <w:rFonts w:hint="eastAsia" w:ascii="仿宋_GB2312" w:hAnsi="仿宋_GB2312" w:eastAsia="仿宋_GB2312" w:cs="仿宋_GB2312"/>
          <w:sz w:val="32"/>
          <w:szCs w:val="32"/>
        </w:rPr>
        <w:t>年度目标及保障措施</w:t>
      </w:r>
      <w:bookmarkEnd w:id="0"/>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一、年度发展规划目标</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总体目标：</w:t>
      </w:r>
    </w:p>
    <w:p>
      <w:pPr>
        <w:spacing w:line="580" w:lineRule="exact"/>
        <w:ind w:firstLine="608"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（一）确保</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十三五</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收官之年经济平稳运行，着力谋划好</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十四五</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规划发展思路</w:t>
      </w:r>
    </w:p>
    <w:p>
      <w:pPr>
        <w:spacing w:line="580" w:lineRule="exact"/>
        <w:ind w:firstLine="608" w:firstLineChars="200"/>
        <w:rPr>
          <w:rFonts w:hint="eastAsia" w:ascii="仿宋_GB2312" w:hAnsi="宋体" w:eastAsia="仿宋_GB2312" w:cs="宋体"/>
          <w:b/>
          <w:bCs/>
          <w:spacing w:val="-8"/>
          <w:kern w:val="0"/>
          <w:sz w:val="32"/>
          <w:szCs w:val="32"/>
        </w:rPr>
      </w:pPr>
      <w:r>
        <w:rPr>
          <w:rFonts w:hint="eastAsia" w:ascii="仿宋_GB2312" w:hAnsi="宋体" w:eastAsia="仿宋_GB2312" w:cs="宋体"/>
          <w:bCs/>
          <w:spacing w:val="-8"/>
          <w:kern w:val="0"/>
          <w:sz w:val="32"/>
          <w:szCs w:val="32"/>
        </w:rPr>
        <w:t>2020年是</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十三五</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bCs/>
          <w:spacing w:val="-8"/>
          <w:kern w:val="0"/>
          <w:sz w:val="32"/>
          <w:szCs w:val="32"/>
        </w:rPr>
        <w:t>的收官之年，整体经济运行情况对整个五年规划至关重要。面对当前</w:t>
      </w:r>
      <w:r>
        <w:rPr>
          <w:rFonts w:ascii="仿宋_GB2312" w:hAnsi="宋体" w:eastAsia="仿宋_GB2312" w:cs="宋体"/>
          <w:bCs/>
          <w:spacing w:val="-8"/>
          <w:kern w:val="0"/>
          <w:sz w:val="32"/>
          <w:szCs w:val="32"/>
        </w:rPr>
        <w:t>经济下行压力加大</w:t>
      </w:r>
      <w:r>
        <w:rPr>
          <w:rFonts w:hint="eastAsia" w:ascii="仿宋_GB2312" w:hAnsi="宋体" w:eastAsia="仿宋_GB2312" w:cs="宋体"/>
          <w:bCs/>
          <w:spacing w:val="-8"/>
          <w:kern w:val="0"/>
          <w:sz w:val="32"/>
          <w:szCs w:val="32"/>
        </w:rPr>
        <w:t>的不利局面，明年经济工作要深入贯彻中央“稳字当头”的方针，加快打造以京车造车基地为龙头的高端装备制造产业集群，推动纸制品加工、电力电气等传统产业做大做强，激发拉动经济不断向上的引擎力。把年度指标完成与整个</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十三五</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bCs/>
          <w:spacing w:val="-8"/>
          <w:kern w:val="0"/>
          <w:sz w:val="32"/>
          <w:szCs w:val="32"/>
        </w:rPr>
        <w:t>规划指标完成有机统一起来，着力盯紧地区生产总值、固定资产投资、规模以上工业增加值等主要指标，及时对指标进行细化分解，实时预警调度，对出现的问题早介入、多分析，力保我局负责监控的</w:t>
      </w:r>
      <w:r>
        <w:rPr>
          <w:rFonts w:hint="eastAsia" w:ascii="仿宋_GB2312" w:eastAsia="仿宋_GB2312"/>
          <w:sz w:val="32"/>
          <w:szCs w:val="32"/>
        </w:rPr>
        <w:t>主要经济指标完成市定任务目标，固定资产投资指标继续位居全市前列</w:t>
      </w:r>
      <w:r>
        <w:rPr>
          <w:rFonts w:hint="eastAsia" w:ascii="仿宋_GB2312" w:hAnsi="宋体" w:eastAsia="仿宋_GB2312" w:cs="宋体"/>
          <w:bCs/>
          <w:spacing w:val="-8"/>
          <w:kern w:val="0"/>
          <w:sz w:val="32"/>
          <w:szCs w:val="32"/>
        </w:rPr>
        <w:t>。下大力度抓好</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十四五</w:t>
      </w:r>
      <w:r>
        <w:rPr>
          <w:rFonts w:hint="eastAsia" w:ascii="仿宋_GB2312" w:hAnsi="宋体" w:eastAsia="仿宋_GB2312" w:cs="宋体"/>
          <w:spacing w:val="-8"/>
          <w:kern w:val="0"/>
          <w:sz w:val="32"/>
          <w:szCs w:val="32"/>
          <w:lang w:eastAsia="zh-CN"/>
        </w:rPr>
        <w:t>”</w:t>
      </w:r>
      <w:bookmarkStart w:id="15" w:name="_GoBack"/>
      <w:bookmarkEnd w:id="15"/>
      <w:r>
        <w:rPr>
          <w:rFonts w:hint="eastAsia" w:ascii="仿宋_GB2312" w:hAnsi="宋体" w:eastAsia="仿宋_GB2312" w:cs="宋体"/>
          <w:bCs/>
          <w:spacing w:val="-8"/>
          <w:kern w:val="0"/>
          <w:sz w:val="32"/>
          <w:szCs w:val="32"/>
        </w:rPr>
        <w:t>规划的编制工作，着眼于满城在京津冀协同发展、雄安新区全面建设的大背景下的发展愿景，以现代化城市的视野、定位来自我刻画，构架以五年规划为统领的统一规划体系，从产业发展、国土空间、城区建设、生态环境、民生保障等多维度谋划好满城下一个五年的发展方向。</w:t>
      </w:r>
    </w:p>
    <w:p>
      <w:pPr>
        <w:spacing w:line="580" w:lineRule="exact"/>
        <w:ind w:firstLine="645"/>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（二）全力谋划建设省市重点项目，确保项目落地见效</w:t>
      </w:r>
    </w:p>
    <w:p>
      <w:pPr>
        <w:spacing w:line="580" w:lineRule="exact"/>
        <w:ind w:firstLine="608" w:firstLineChars="200"/>
        <w:rPr>
          <w:rFonts w:ascii="宋体" w:hAnsi="宋体"/>
          <w:sz w:val="32"/>
          <w:szCs w:val="32"/>
        </w:rPr>
      </w:pPr>
      <w:r>
        <w:rPr>
          <w:rFonts w:hint="eastAsia" w:ascii="仿宋_GB2312" w:hAnsi="宋体" w:eastAsia="仿宋_GB2312" w:cs="宋体"/>
          <w:bCs/>
          <w:spacing w:val="-8"/>
          <w:kern w:val="0"/>
          <w:sz w:val="32"/>
          <w:szCs w:val="32"/>
        </w:rPr>
        <w:t>明年继续扭住重点项目建设的牛鼻子，在项目建设齐抓共管的整体氛围上，政策服务外部环境上，项目落地各环节衔接上，积极献计献策，推动落实，着力提高重点项目的落地率、投产率和贡献率，再掀项目建设新高潮。2020年，着重围绕谋划的17个省市重点项目建设做文章，推动重点项目建设引领带动全区经济发展，全力确保重点项目建设继续占位全市第一平台。围绕项目建设中出现的熟地少、审批慢等难点问题、中梗阻问题加大协调解决力度，</w:t>
      </w:r>
      <w:r>
        <w:rPr>
          <w:rFonts w:hint="eastAsia" w:ascii="仿宋_GB2312" w:eastAsia="仿宋_GB2312"/>
          <w:sz w:val="32"/>
          <w:szCs w:val="32"/>
        </w:rPr>
        <w:t>用好土地增减挂钩政策充分挖掘土地指标，全面落实</w:t>
      </w:r>
      <w:r>
        <w:rPr>
          <w:rFonts w:hint="eastAsia" w:ascii="仿宋_GB2312" w:hAnsi="仿宋_GB2312" w:eastAsia="仿宋_GB2312" w:cs="仿宋_GB2312"/>
          <w:sz w:val="32"/>
          <w:szCs w:val="32"/>
        </w:rPr>
        <w:t>“拿地即开工”审批模式，</w:t>
      </w:r>
      <w:r>
        <w:rPr>
          <w:rFonts w:hint="eastAsia" w:ascii="仿宋_GB2312" w:eastAsia="仿宋_GB2312"/>
          <w:sz w:val="32"/>
          <w:szCs w:val="32"/>
        </w:rPr>
        <w:t>保障重点项目建设进度。</w:t>
      </w:r>
      <w:r>
        <w:rPr>
          <w:rFonts w:hint="eastAsia" w:ascii="仿宋_GB2312" w:hAnsi="宋体" w:eastAsia="仿宋_GB2312" w:cs="宋体"/>
          <w:bCs/>
          <w:spacing w:val="-8"/>
          <w:kern w:val="0"/>
          <w:sz w:val="32"/>
          <w:szCs w:val="32"/>
        </w:rPr>
        <w:t>对不能履行投资承诺的久不落地项目坚决落实退出机制，及时用优质项目予以更换。</w:t>
      </w:r>
      <w:r>
        <w:rPr>
          <w:rFonts w:ascii="宋体" w:hAnsi="宋体"/>
          <w:sz w:val="32"/>
          <w:szCs w:val="32"/>
        </w:rPr>
        <w:t xml:space="preserve"> </w:t>
      </w:r>
    </w:p>
    <w:p>
      <w:pPr>
        <w:spacing w:line="580" w:lineRule="exact"/>
        <w:ind w:firstLine="608"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（三）着力抓好全面协同发展工作，加快融入新区进程</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紧紧围绕雄安新区建设大潮作文章，将京津冀协同发展的重心由对接京津拓展到雄安新区，借助雄安新区拓展区的优势在京津冀协同发展中发出满城更大的声音，争取更多的京津和雄安新区外溢产业资源和项目落户满城。着重推动河北京车造车基地、</w:t>
      </w:r>
      <w:r>
        <w:rPr>
          <w:rFonts w:hint="eastAsia" w:ascii="仿宋_GB2312" w:eastAsia="仿宋_GB2312" w:cs="仿宋_GB2312"/>
          <w:sz w:val="32"/>
          <w:szCs w:val="32"/>
        </w:rPr>
        <w:t>航天乐凯新材料工业园、</w:t>
      </w:r>
      <w:r>
        <w:rPr>
          <w:rFonts w:hint="eastAsia" w:ascii="仿宋_GB2312" w:hAnsi="宋体" w:eastAsia="仿宋_GB2312"/>
          <w:sz w:val="32"/>
          <w:szCs w:val="32"/>
        </w:rPr>
        <w:t>中关村丰台园满城分园、</w:t>
      </w:r>
      <w:r>
        <w:rPr>
          <w:rFonts w:hint="eastAsia" w:ascii="仿宋_GB2312" w:hAnsi="宋体" w:eastAsia="仿宋_GB2312" w:cs="宋体"/>
          <w:bCs/>
          <w:spacing w:val="-8"/>
          <w:kern w:val="0"/>
          <w:sz w:val="32"/>
          <w:szCs w:val="32"/>
        </w:rPr>
        <w:t>华源泰盟二期</w:t>
      </w:r>
      <w:r>
        <w:rPr>
          <w:rFonts w:hint="eastAsia" w:ascii="仿宋_GB2312" w:hAnsi="宋体" w:eastAsia="仿宋_GB2312"/>
          <w:sz w:val="32"/>
          <w:szCs w:val="32"/>
        </w:rPr>
        <w:t>等一系列对接成果的发展，为项目园区建设提供政策支持和对外协作平台，不断提升协同发展水平，确保全区协同发展工作在全市保持领先位次。</w:t>
      </w:r>
    </w:p>
    <w:p>
      <w:pPr>
        <w:spacing w:line="580" w:lineRule="exact"/>
        <w:ind w:firstLine="648"/>
        <w:rPr>
          <w:rFonts w:hint="eastAsia" w:ascii="仿宋_GB2312" w:hAnsi="宋体" w:eastAsia="仿宋_GB2312" w:cs="宋体"/>
          <w:spacing w:val="-20"/>
          <w:kern w:val="0"/>
          <w:sz w:val="32"/>
          <w:szCs w:val="32"/>
        </w:rPr>
      </w:pPr>
      <w:r>
        <w:rPr>
          <w:rFonts w:hint="eastAsia" w:ascii="仿宋_GB2312" w:hAnsi="宋体" w:eastAsia="仿宋_GB2312" w:cs="宋体"/>
          <w:spacing w:val="-20"/>
          <w:kern w:val="0"/>
          <w:sz w:val="32"/>
          <w:szCs w:val="32"/>
        </w:rPr>
        <w:t>（四）全方位推进“双创双服”全覆盖，持续提升服务水平</w:t>
      </w:r>
    </w:p>
    <w:p>
      <w:pPr>
        <w:spacing w:line="580" w:lineRule="exact"/>
        <w:ind w:firstLine="640" w:firstLineChars="200"/>
        <w:rPr>
          <w:rFonts w:hint="eastAsia" w:ascii="仿宋_GB2312" w:eastAsia="仿宋_GB2312"/>
          <w:sz w:val="32"/>
          <w:szCs w:val="32"/>
        </w:rPr>
      </w:pPr>
      <w:r>
        <w:rPr>
          <w:rFonts w:hint="eastAsia" w:ascii="仿宋_GB2312" w:hAnsi="宋体" w:eastAsia="仿宋_GB2312"/>
          <w:sz w:val="32"/>
          <w:szCs w:val="32"/>
        </w:rPr>
        <w:t>围绕“双创双服”活动的长期性、创造性、时效性工作要求，全力推进政企服务直通信息化平台建设上水平，积极组织协调有关部门有针对性的解决平台上的各类问题，及时对各单位解决问题情况进行汇总通报，确保平台高效有序运行。不断优化完善重点项目、重点企业区领导包联制度，组织好区领导及部门下项目、入企业指导、督促、帮扶、服务工作，完善包联服务台账，切实解决实际问题。定期召开由区领导、有关部门和企业参加的“双创双服”调度会，对各部门</w:t>
      </w:r>
      <w:r>
        <w:rPr>
          <w:rFonts w:hint="eastAsia" w:ascii="仿宋_GB2312" w:eastAsia="仿宋_GB2312"/>
          <w:sz w:val="32"/>
          <w:szCs w:val="32"/>
        </w:rPr>
        <w:t>“双创双服”及民心工程建设情况进行有针对性的督导考评，</w:t>
      </w:r>
      <w:r>
        <w:rPr>
          <w:rFonts w:hint="eastAsia" w:ascii="仿宋_GB2312" w:hAnsi="宋体" w:eastAsia="仿宋_GB2312"/>
          <w:sz w:val="32"/>
          <w:szCs w:val="32"/>
        </w:rPr>
        <w:t>总结工作成绩，提出下一步工作思路，</w:t>
      </w:r>
      <w:r>
        <w:rPr>
          <w:rFonts w:hint="eastAsia" w:ascii="仿宋_GB2312" w:eastAsia="仿宋_GB2312"/>
          <w:sz w:val="32"/>
          <w:szCs w:val="32"/>
        </w:rPr>
        <w:t>促进各项工作落实到位</w:t>
      </w:r>
      <w:r>
        <w:rPr>
          <w:rFonts w:hint="eastAsia" w:ascii="仿宋_GB2312" w:hAnsi="宋体" w:eastAsia="仿宋_GB2312"/>
          <w:sz w:val="32"/>
          <w:szCs w:val="32"/>
        </w:rPr>
        <w:t>。</w:t>
      </w:r>
    </w:p>
    <w:p>
      <w:pPr>
        <w:spacing w:line="580" w:lineRule="exact"/>
        <w:ind w:firstLine="608"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（五）着力巩固清洁取暖工作成效，提高居民认可程度</w:t>
      </w:r>
    </w:p>
    <w:p>
      <w:pPr>
        <w:overflowPunct w:val="0"/>
        <w:spacing w:line="580" w:lineRule="exact"/>
        <w:ind w:firstLine="608" w:firstLineChars="200"/>
        <w:rPr>
          <w:rFonts w:hint="eastAsia" w:ascii="仿宋_GB2312" w:hAnsi="仿宋_GB2312" w:eastAsia="仿宋_GB2312" w:cs="仿宋_GB2312"/>
          <w:spacing w:val="-8"/>
          <w:sz w:val="32"/>
          <w:szCs w:val="32"/>
        </w:rPr>
      </w:pPr>
      <w:r>
        <w:rPr>
          <w:rFonts w:hint="eastAsia" w:ascii="仿宋_GB2312" w:hAnsi="楷体" w:eastAsia="仿宋_GB2312" w:cs="楷体"/>
          <w:bCs/>
          <w:spacing w:val="-8"/>
          <w:sz w:val="32"/>
          <w:szCs w:val="32"/>
        </w:rPr>
        <w:t>围绕平原和山区村分散燃煤清零要求，全面实现平原村“无煤化”，山区不宜改造村全部以洁净煤替代的任务目标，着力做好气代煤和型煤保供工作。围绕规范操作、安全运行，如期高质量完成改造任务，进一步总结双代及型煤保供工作经验和教训，理顺相关工作衔接和运行机制，</w:t>
      </w:r>
      <w:r>
        <w:rPr>
          <w:rFonts w:hint="eastAsia" w:ascii="仿宋_GB2312" w:hAnsi="宋体" w:eastAsia="仿宋_GB2312"/>
          <w:sz w:val="32"/>
          <w:szCs w:val="32"/>
        </w:rPr>
        <w:t>对于气代煤工作，督促协调各乡镇结合新奥公司加快工作进度，</w:t>
      </w:r>
      <w:r>
        <w:rPr>
          <w:rFonts w:hint="eastAsia" w:ascii="仿宋_GB2312" w:hAnsi="仿宋_GB2312" w:eastAsia="仿宋_GB2312" w:cs="仿宋_GB2312"/>
          <w:spacing w:val="-8"/>
          <w:sz w:val="32"/>
          <w:szCs w:val="32"/>
        </w:rPr>
        <w:t>针对平原地区和浅山区共56个村约2.5万户的改造任务，</w:t>
      </w:r>
      <w:r>
        <w:rPr>
          <w:rFonts w:hint="eastAsia" w:ascii="仿宋_GB2312" w:hAnsi="宋体" w:eastAsia="仿宋_GB2312"/>
          <w:sz w:val="32"/>
          <w:szCs w:val="32"/>
        </w:rPr>
        <w:t>立即进入实质性建设阶段，力争</w:t>
      </w:r>
      <w:r>
        <w:rPr>
          <w:rFonts w:ascii="仿宋_GB2312" w:hAnsi="仿宋_GB2312" w:eastAsia="仿宋_GB2312" w:cs="仿宋_GB2312"/>
          <w:spacing w:val="-8"/>
          <w:sz w:val="32"/>
          <w:szCs w:val="32"/>
        </w:rPr>
        <w:t>2020</w:t>
      </w:r>
      <w:r>
        <w:rPr>
          <w:rFonts w:hint="eastAsia" w:ascii="仿宋_GB2312" w:hAnsi="仿宋_GB2312" w:eastAsia="仿宋_GB2312" w:cs="仿宋_GB2312"/>
          <w:spacing w:val="-8"/>
          <w:sz w:val="32"/>
          <w:szCs w:val="32"/>
        </w:rPr>
        <w:t>年</w:t>
      </w:r>
      <w:r>
        <w:rPr>
          <w:rFonts w:ascii="仿宋_GB2312" w:hAnsi="仿宋_GB2312" w:eastAsia="仿宋_GB2312" w:cs="仿宋_GB2312"/>
          <w:spacing w:val="-8"/>
          <w:sz w:val="32"/>
          <w:szCs w:val="32"/>
        </w:rPr>
        <w:t>6</w:t>
      </w:r>
      <w:r>
        <w:rPr>
          <w:rFonts w:hint="eastAsia" w:ascii="仿宋_GB2312" w:hAnsi="仿宋_GB2312" w:eastAsia="仿宋_GB2312" w:cs="仿宋_GB2312"/>
          <w:spacing w:val="-8"/>
          <w:sz w:val="32"/>
          <w:szCs w:val="32"/>
        </w:rPr>
        <w:t>月底前完成工程性建设，确保</w:t>
      </w:r>
      <w:r>
        <w:rPr>
          <w:rFonts w:ascii="仿宋_GB2312" w:hAnsi="仿宋_GB2312" w:eastAsia="仿宋_GB2312" w:cs="仿宋_GB2312"/>
          <w:spacing w:val="-8"/>
          <w:sz w:val="32"/>
          <w:szCs w:val="32"/>
        </w:rPr>
        <w:t>2020-2021</w:t>
      </w:r>
      <w:r>
        <w:rPr>
          <w:rFonts w:hint="eastAsia" w:ascii="仿宋_GB2312" w:hAnsi="仿宋_GB2312" w:eastAsia="仿宋_GB2312" w:cs="仿宋_GB2312"/>
          <w:spacing w:val="-8"/>
          <w:sz w:val="32"/>
          <w:szCs w:val="32"/>
        </w:rPr>
        <w:t>年采暖季全部投入使用；</w:t>
      </w:r>
      <w:r>
        <w:rPr>
          <w:rFonts w:hint="eastAsia" w:ascii="仿宋_GB2312" w:hAnsi="宋体" w:eastAsia="仿宋_GB2312"/>
          <w:sz w:val="32"/>
          <w:szCs w:val="32"/>
        </w:rPr>
        <w:t>对于型煤保供工作，在不断加大宣传的基础上，与散煤管控有机结合，全面提高居民对型煤的知晓率和认可度，加大对乡镇的督导调度力度，督促型煤厂做好生产保供工作，保证完成年度型煤保供任务目标。同时，鉴于双代工作体系存在着省、市、区不一致的问题，导致工作推动难度较大，发改作为综合部门既不专业也不负责燃气行业管理，建议由燃气主管部门承担双代改造任务较为合理。</w:t>
      </w:r>
    </w:p>
    <w:p>
      <w:pPr>
        <w:widowControl/>
        <w:adjustRightInd w:val="0"/>
        <w:spacing w:line="580" w:lineRule="exact"/>
        <w:ind w:firstLine="640" w:firstLineChars="200"/>
        <w:jc w:val="left"/>
        <w:rPr>
          <w:rFonts w:hint="eastAsia" w:ascii="仿宋_GB2312" w:hAnsi="宋体" w:eastAsia="仿宋_GB2312"/>
          <w:bCs/>
          <w:sz w:val="32"/>
          <w:szCs w:val="32"/>
        </w:rPr>
      </w:pPr>
      <w:r>
        <w:rPr>
          <w:rFonts w:hint="eastAsia" w:ascii="仿宋_GB2312" w:hAnsi="宋体" w:eastAsia="仿宋_GB2312"/>
          <w:bCs/>
          <w:sz w:val="32"/>
          <w:szCs w:val="32"/>
        </w:rPr>
        <w:t>（六）持续推进价格重点改革任务落实</w:t>
      </w:r>
    </w:p>
    <w:p>
      <w:pPr>
        <w:widowControl/>
        <w:adjustRightInd w:val="0"/>
        <w:spacing w:line="58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持续抓好涉企收费清理规范，加快建立落实长效监管制度，真正做到目录清单外无收费。严格按照《成本监审办法》《政府制定价格行为规则》规范定价行为，严禁目录之外和价权之外定调价。密切监测价格波动状况，按照要求制定调整好人民群众普遍关心的水价、气价、物业服务收费等价格，坚决把放给市场的价格权力放足、放到位，把政府该管的价格事项管好、管到位。</w:t>
      </w:r>
    </w:p>
    <w:p>
      <w:pPr>
        <w:widowControl/>
        <w:adjustRightInd w:val="0"/>
        <w:spacing w:line="580" w:lineRule="exact"/>
        <w:ind w:firstLine="640" w:firstLineChars="200"/>
        <w:jc w:val="left"/>
        <w:rPr>
          <w:rFonts w:hint="eastAsia" w:ascii="仿宋_GB2312" w:hAnsi="宋体" w:eastAsia="仿宋_GB2312"/>
          <w:bCs/>
          <w:sz w:val="32"/>
          <w:szCs w:val="32"/>
        </w:rPr>
      </w:pPr>
      <w:r>
        <w:rPr>
          <w:rFonts w:hint="eastAsia" w:ascii="仿宋_GB2312" w:hAnsi="宋体" w:eastAsia="仿宋_GB2312"/>
          <w:bCs/>
          <w:sz w:val="32"/>
          <w:szCs w:val="32"/>
        </w:rPr>
        <w:t>（七）抓好粮食和物资储备年度重点工作</w:t>
      </w:r>
    </w:p>
    <w:p>
      <w:pPr>
        <w:spacing w:line="580" w:lineRule="exact"/>
        <w:ind w:firstLine="630"/>
        <w:rPr>
          <w:rFonts w:hint="eastAsia" w:ascii="仿宋_GB2312" w:hAnsi="宋体" w:eastAsia="仿宋_GB2312" w:cs="宋体"/>
          <w:bCs/>
          <w:spacing w:val="-8"/>
          <w:kern w:val="0"/>
          <w:sz w:val="32"/>
          <w:szCs w:val="32"/>
        </w:rPr>
      </w:pPr>
      <w:r>
        <w:rPr>
          <w:rFonts w:hint="eastAsia" w:ascii="仿宋_GB2312" w:eastAsia="仿宋_GB2312"/>
          <w:sz w:val="32"/>
          <w:szCs w:val="32"/>
        </w:rPr>
        <w:t>针对我区实际情况，积极争取各方面政策支持，收集完善各项佐证资料，顺利完成2019年度粮食安全责任制考核工作，力争进入全市优秀档次。围绕夏秋季粮食购销着重</w:t>
      </w:r>
      <w:r>
        <w:rPr>
          <w:rFonts w:hint="eastAsia" w:ascii="仿宋_GB2312" w:hAnsi="Calibri" w:eastAsia="仿宋_GB2312"/>
          <w:sz w:val="32"/>
          <w:szCs w:val="32"/>
        </w:rPr>
        <w:t>做好托市收购的各项准备工作</w:t>
      </w:r>
      <w:r>
        <w:rPr>
          <w:rFonts w:hint="eastAsia" w:ascii="仿宋_GB2312" w:eastAsia="仿宋_GB2312"/>
          <w:sz w:val="32"/>
          <w:szCs w:val="32"/>
        </w:rPr>
        <w:t>，协调农发行</w:t>
      </w:r>
      <w:r>
        <w:rPr>
          <w:rFonts w:hint="eastAsia" w:ascii="仿宋_GB2312" w:hAnsi="Calibri" w:eastAsia="仿宋_GB2312"/>
          <w:sz w:val="32"/>
          <w:szCs w:val="32"/>
        </w:rPr>
        <w:t>加大对</w:t>
      </w:r>
      <w:r>
        <w:rPr>
          <w:rFonts w:hint="eastAsia" w:ascii="仿宋_GB2312" w:eastAsia="仿宋_GB2312"/>
          <w:sz w:val="32"/>
          <w:szCs w:val="32"/>
        </w:rPr>
        <w:t>符合要求的民营粮食收购企业</w:t>
      </w:r>
      <w:r>
        <w:rPr>
          <w:rFonts w:hint="eastAsia" w:ascii="仿宋_GB2312" w:hAnsi="Calibri" w:eastAsia="仿宋_GB2312"/>
          <w:sz w:val="32"/>
          <w:szCs w:val="32"/>
        </w:rPr>
        <w:t>资金扶持力度，确保粮食收购平稳推进</w:t>
      </w:r>
      <w:r>
        <w:rPr>
          <w:rFonts w:hint="eastAsia" w:ascii="仿宋_GB2312" w:eastAsia="仿宋_GB2312"/>
          <w:sz w:val="32"/>
          <w:szCs w:val="32"/>
        </w:rPr>
        <w:t>。按照规定步骤实施政策性粮食库存数量和质量大清查工作。</w:t>
      </w:r>
    </w:p>
    <w:p>
      <w:pPr>
        <w:spacing w:line="500" w:lineRule="exact"/>
        <w:ind w:firstLine="640" w:firstLineChars="200"/>
        <w:jc w:val="left"/>
        <w:outlineLvl w:val="1"/>
        <w:rPr>
          <w:rFonts w:ascii="仿宋" w:hAnsi="仿宋" w:eastAsia="仿宋"/>
          <w:sz w:val="32"/>
          <w:szCs w:val="32"/>
        </w:rPr>
      </w:pPr>
      <w:r>
        <w:rPr>
          <w:rFonts w:hint="eastAsia" w:ascii="仿宋" w:hAnsi="仿宋" w:eastAsia="仿宋"/>
          <w:sz w:val="32"/>
          <w:szCs w:val="32"/>
        </w:rPr>
        <w:t>二、分项绩效目标</w:t>
      </w:r>
      <w: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1" w:name="_Toc34319419"/>
      <w:r>
        <w:rPr>
          <w:rFonts w:hint="eastAsia" w:ascii="仿宋" w:hAnsi="仿宋" w:eastAsia="仿宋"/>
          <w:sz w:val="32"/>
          <w:szCs w:val="32"/>
        </w:rPr>
        <w:instrText xml:space="preserve">分项绩效目标</w:instrText>
      </w:r>
      <w:bookmarkEnd w:id="1"/>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组织实施全区国民经济和社会发展战略、中长期规划和年度计划。拟订并组织实施全区国民经济和社会发展战略、中长期规划和年度计划；提出全区国民经济发展和优化重大经济结构的目标和政策的建议；提出运用各种经济手段和政策的建议；受区政府委托向区人大作国民经济和社会发展计划的报告。增强规划和计划的前瞻性、科学性、可操作性；规划目标全面、先进、可行；组织落实措施得力，调度有序。</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规划、计划。拟定全区经济社会发展中长期规划，对规划执行情况监测预测、中期评估及动态调整，统筹协调区级专项规划和区域规划；研究分析全区经济和社会发展重大战略与布局，拟定全区年度经济社会发展计划，并受区政府委托向区人大作全区国民经济和社会发展计划报告。规划和计划前瞻性、科学性、可操作性较强；规划目标全面、先进、可行。组织实施有效，及时评估调度，动态调整切实可行。经济社会发展计划切实体现区委、区政府决策目标和部署。</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绩效目标：规划和计划前瞻性、科学性、可操作性较强；规划目标全面、先进、可行；组织实施有效，及时评估调度，动态调整切实可行。经济社会发展计划切实体现区委、区政府决策目标和部署。</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绩效指标：区人大代表表决通过率70%以上；区人大代表表决通过率达70%以上。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课题编制。编制和拟订全区重点领域、重要产业和区域发展等战略规划和计划，研究提出落实措施等建议。确保重点领域规划与国民经济和社会发展规划、计划的衔接和协调。确保区域经济社会规划与国民经济和社会发展规划、计划的衔接和协调。</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绩效目标：确保重点领域规划与国民经济和社会发展规划、计划的衔接和协调；确保区域经济社会规划与国民经济和社会发展规划、计划的衔接和协调。</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绩效指标：区人大代表表决通过率达70%以上；重点领域与区域经济社会规划编制完成率达100%。</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二）研究分析经济形势和发展情况，进行区域经济的预测、预警。研究分析经济形势和发展情况，进行区域经济的预测、预警；研究涉及全区经济安全的重要问题，提出区域经济调节政策的建议，综合协调经济社会发展；负责日常经济运行的调节，组织解决经济运行中的有关重大问题。推进经济体制改革，实施经济体制改革、对外开放有关地方性法规，以及对相关规章的起草和实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推进体制改革、社会公共服务均等化。实施综合性改革方案，组织实施重要改革事项，统筹推动全区综合配套改革试点和专项改革试点。统筹全区重大公共服务资源布局和相关项目的计划实施，促进公共服务资源有效整合和协调配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力争重点领域和关键环节改革取得积极进展；促进全区城镇居民人均可支配收入增长和新增就业目标的实现。协调推进文化、教育、体育、卫生、养老、社会救助等基本公共服务体系建设，促进全区社会公共服务均等化。推进全区统一的信用信息数据库和共享、公示平台；力争重点领域和关键环节改革取得积极进展；促进全区城镇居民人均可支配收入增长和新增就业目标的实现。协调推进文化、教育、体育、卫生、养老、社会救助等基本公共服务体系建设，促进全区社会公共服务均等化。推进全区统一的信用信息数据库和共享、公示平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绩效指标：公共服务均等化评估结果实现规划目标；全区城乡居民可支配收入增长达90%以上。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内、外资管理。推进全区利用外资和境外投资工作；组织开展全区对外经贸洽谈和招商活动，组织项目谋划发布、洽谈等活动。组织开展全区经济技术交流合作，组织谋划区际合作项目的考察、论证、对接、落实和实施；组织与交流合作方和区内各方面沟通对接。</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绩效目标：稳步提高全区利用外资、境外投资规模和水平；稳步提高全区利用外资、境外投资规模和水平；稳步提高全区利用外资、境外投资规模和水平。</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绩效指标：引进区外资金数量增长率达10%以上；实际利用外资规模增长率达5%以上；境外投资规模增长率达10%以上。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经济和社会运行监测、调节与协调。综合协调和监测调节经济社会协调发展，实施重大调控政策，实施促进就业、调整收入分配、完善社会保障与经济协调发展的政策措施，推进社会公共服务均等化；实施产业政策；组织实施全区国民经济、装备动员。做好经济运行监测分析，协调经济社会运行平稳有序和健康发展，提升全区经济、装备动员能力。</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经济社会发展形势监测分析、调节。负责全区经济社会发展运行调节、监测，综合协调经济社会发展，进行区域经济的预测、预警；负责日常经济和社会事业发展运行的调节，组织解决经济运行和社会事业发展中重大问题；组织实施全区国民经济、装备动员潜力调查、预案编制、专业队伍组建、动员中心建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绩效目标：推进经济社会健康协调发展，提升全区经济、装备动员能力；推进经济社会健康协调发展，提升全区经济、装备动员能力；推进经济社会健康协调发展，提升全区经济、装备动员能力。</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绩效指标：形势分析或调研报告采用率达90%以上；调研次数、形势分析或调研报告数量组织2次（含）以上集中调研活动，形成1个（含）以上形势分析或调研报告；年度经济、装备动员年度计划完成率达80%以上。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经济运行综合协调保障。负责天然气保障工作，协调解决重大问题，抓好供需总量平衡，保障经济社会发展和人民生活需要；制订经济运行和能源供应预警和应急预案，适时组织能源、运输及重要物资、商品的紧急调度，提出安排和动用应急物资和商品储备的建议；做好国防建设和国民经济发展的衔接。</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绩效目标：做好运行分析、数据上报、要素保障、应急处置、安全管理、矿山管理等工作，确保经济社会运行平稳有序和健康发展。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绩效指标：月度分析和数据统计报告完成数（期）12个。</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（四）促进全区区域经济发展。推进区域经济协调发展、加快城镇化、区域经济发展；负责区域经济合作统筹协调；推动沿海、京津冀两大区域发展。促进沿海地区实现率先发展,推动京津冀协同发展。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推进区域经济与可持续发展。推进可持续发展工作。组织全区经济区划管理工作。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绩效目标：加强区域经济发展管理工作，提高区域经济发展水平；开展农业资源可持续发展和高效利用试验示范工作；加强区域经济发展管理工作，提高区域经济发展水平。</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绩效指标：重点项目建设数量达5个以上；区域经济可持续发展规划实施完成情况全部如期完成。</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制定区域经济发展有关制度、措施。制定、实施区域经济的政策、制度、措施。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绩效目标：制定行之有效的促进区域经济发展的制度、措施；制定的制度措施具体实施情况。</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绩效指标：制度、措施完成情况制定3条；制度、措施实施情况采纳3条。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推进全区产业结构调整和转型升级。实施综合性产业政策，负责协调全区第一、二、三产业发展的重大问题并衔接平衡相关发展规划和重大政策，推进经济结构战略性调整。按照经济和社会发展要求，引导产业升级和转型，支持重点领域和行业建设。有效引导行业健康发展，提升全区产业和行业竞争力。</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1、促进战略性新兴产业发展。组织实施战略性新兴产业发展战略、规划、政策措施；宣传展示我区战略性新兴产业发展成果。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绩效目标：推动产业规模不断壮大。促进产业聚集发展，提升产业竞争力；创新能力稳步提升，协同创新取得成效。创新改革不断深化，创新创业生态环境进一步改善。</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绩效指标：战略性新兴产业增加值占GDP总值的比重逐年增加；战略性新兴产业增加值占GDP总值的比重逐年增加。</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促进节能降耗、资源综合利用和生态建设。推进可持续发展战略，组织实施发展循环经济、全社会资源节约和综合利用、应对气候变化政策；协调生态建设、能源资源节约和综合利用、环保产业和清洁生产促进等工作；推进综合协调节能减排工作；开展节能监察、监测，加强节能宣传培训，确保完成节能、降碳约束性指标；加强散装水泥、新型墙体材料和冶金矿产资源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发挥专项资金的引导和激励的作用，通过采取补助、奖励等方式推进能源结构调整，调动企业节能降耗的积极性，确保完成节能、降碳目标任务；电能使用效率不断提高；积极助推节能减排和大气污染防治；确保实现年度单位GDP能耗下降率；发挥专项资金的引导和激励的作用，通过采取补助、奖励等方式推进能源结构调整，调动企业节能降耗的积极性，确保完成节能、降碳目标任务；电能使用效率不断提高；积极助推节能减排和大气污染防治；确保实现年度单位GDP能耗下降率；发挥专项资金的引导和激励的作用，通过采取补助、奖励等方式推进能源结构调整，调动企业节能降耗的积极性，确保完成节能、降碳目标任务；电能使用效率不断提高；积极助推节能减排和大气污染防治；确保实现年度单位GDP能耗下降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绩效指标：单位GDP能耗下降率达3%；二氧化碳减排量达90%以上；节能量达90%以上。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固定资产投资调控与管理。拟订社会固定资产投资规模和投资结构的调控目标、及措施，衔接政府投资和重大建设项目的专项规划；按规定权限审批、核准、审核重大建设项目，提出预算内基建建设项目安排建议；开展重点建设项目管理。提升公共设施水平，提高公共服务能力，促进经济和社会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固定资产投资政策制订与实施和区级预算内基本投资建设。拟订社会固定资产投资规模和投资结构的调控目标及措施；研究制定全区重点项目建设管理的思路；制定或完善投资项目审批、核准、备案管理办法及相关措施，完善投资体制和机制建设；引导民间资金用于符合我区固定资产投资方向的项目。编制区级预算内基本建设投资计划；统筹提出区级预算内基本建设资金安排基础设施建设项目资金安排建议，落实与中央、省市投资项目配套。</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落实区固定资产投资目标；指导政策性贷款使用，有效引导民间资金用于我区固定资产投资。按时编制并提交年度预算内基建项目安排建议，并落实到具体项目；足额保证区委、区政府确定的重点基建投资项目；落实与中央、省市投资项目配套；及时下达预算内基建项目投资计划，提高区级政务设施服务保障能力；落实区固定资产投资目标；指导政策性贷款使用，有效引导民间资金用于我区固定资产投资。按时编制并提交年度预算内基建项目安排建议，并落实到具体项目；足额保证区委、区政府确定的重点基建投资项目；落实与中央、省市投资项目配套；及时下达预算内基建项目投资计划，提高区级政务设施服务保障能力；落实区固定资产投资目标；指导政策性贷款使用，有效引导民间资金用于我区固定资产投资。按时编制并提交年度预算内基建项目安排建议，并落实到具体项目；足额保证区委、区政府确定的重点基建投资项目；落实与中央、省市投资项目配套；及时下达预算内基建项目投资计划，提高区级政务设施服务保障能力。</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绩效指标：预算内基本建设投资计划执行率达100%；预算内基本建设资金完成率达100%；固定资产投资计划完成率达100%。</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组织实施全区重点项目和稽查。实施区级重点建设项目，编制全区重点建设项目年度工作计划并执行；按规定权限审批、核准、审核重大建设项目；组织开展对工作活动范围内的项目单位在前期手续、投资计划和资金下达、建设实施、建设管理、进度控制、资金和财务管理、竣工验收等方面实施情况的监督检查；建立投资项目信息报送制度。依法组织开展重点（重大）项目稽查，对市、区投资政策、投资计划执行情况的监督检查。</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加强重点项目谋划、协调，推动重点项目顺利实施。加强项目监管，推动项目顺利实施，处罚项目建设中重大突出违法问题；加强重点项目谋划、协调，推动重点项目顺利实施。加强项目监管，推动项目顺利实施，处罚项目建设中重大突出违法问题。</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绩效指标：项目开工率达90%以上；重点项目监督稽察覆盖率达70%以上。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价格总水平调控和价格管理。根据国民经济发展需要和社会承受能力，监测预测全区价格总水平及其结构变动趋势，提出调控建议。管理全区和人民生活关系重大、资源稀缺、自然垄断经营的商品价格。保持市场价格总水平基本稳定,努力保障改善民生，促进经济持续健康发展和社会和谐稳定。</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商品价格监测。开展日常、突发事件、重要节假日等价格巡查监测，健全应对价格异常波动处理机制，及时启动应急预案，把价格总水平稳定在合理区间。</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绩效目标：开展日常、突发事件、重要节假日等价格巡查监测，提出调控建议。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绩效指标：居民消费价格涨幅合理，有效。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涉案资产价格认证。办理民事、经济、仲裁案件、刑事案件涉案资产价格认证。</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绩效目标：客观、公正、合理出具价格认证结论，维护司法机关公平公正和当事人的合法权益。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绩效指标：办案准确率达90%以上。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粮食和物资储备。负责落实国家、省有关粮食流通和物资储备的法律法规和政策，落实上级粮食流通宏观调控政策和措施，落实国家粮食购销政策。负责粮食、食糖、食盐等物资的收储、轮换、日常管理和相关企业的监督管理工作。负责落实国家、省有关粮食流通和物资储备的法律法规和政策，落实上级粮食流通宏观调控政策和措施，落实国家粮食购销政策。负责粮食、食糖、食盐等物资的收储、轮换、日常管理和相关企业的监督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负责落实国家、省有关粮食流通和物资储备的法律法规和政策。负责落实国家、省有关粮食流通和物资储备的法律法规和政策，落实上级粮食流通宏观调控政策和措施，落实国家粮食购销政策。</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绩效目标：负责落实国家、省有关粮食流通和物资储备的法律法规和政策，落实上级粮食流通宏观调控政策和措施，落实国家粮食购销政策。</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绩效指标：法律法规和政策执行良好；宏观调控政策和措施执行良好；国家粮食购销政策执行良好。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负责粮食、食糖、食盐等物资的收储、轮换、日常管理和相关企业的监督管理工作。负责粮食、食糖、食盐等物资的收储、轮换、日常管理和相关企业的监督管理工作。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绩效目标：负责粮食、食糖、食盐等物资的收储、轮换、日常管理和相关企业的监督管理工作。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绩效指标：粮食收储、轮换、日常管理执行良好；相关企业的监督管理工作执行良好。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（九）发展和改革政务管理。保障发展改革一般性日常业务开展和机关事务的基本运转。保障发展改革一般性日常业务开展和机关事务的基本运转。</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1、综合业务管理。负责全区依法必须招标项目的招标投标公告发布、方案核准以及评标专家库、招标代理机构等实施监督管理；按照区政府政策要求，加强行业协会管理。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绩效目标：招投标管理制度完善，操作实施规范，应依法必须招投标项目覆盖全面；招投标管理制度完善，操作实施规范，应依法必须招投标项目覆盖全面。</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绩效指标：年内督导企业个数达10个及以上；综合业务管理工作完成率达100%。</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综合事务管理。发展改革工作运转保障，包括会议组织、政务督办、档案管理、信访接待、政务信息、行政复议、对外宣传、干部培训、课题研究、调研活动等行政事务；开展党风廉政建设、政府信息公开、行政许可事项受理，信息化建设等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绩效目标：保障发展改革工作正常开展；保障党建工作正常开展。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绩效指标：综合事务管理工作完成率达100%；综合事务管理工作完成率达100%。</w:t>
      </w:r>
    </w:p>
    <w:p>
      <w:pPr>
        <w:spacing w:line="500" w:lineRule="exact"/>
        <w:ind w:firstLine="560"/>
        <w:rPr>
          <w:rFonts w:ascii="仿宋" w:hAnsi="仿宋" w:eastAsia="仿宋" w:cs="仿宋_GB2312"/>
          <w:sz w:val="32"/>
          <w:szCs w:val="32"/>
        </w:rPr>
      </w:pPr>
    </w:p>
    <w:p>
      <w:pPr>
        <w:spacing w:line="500" w:lineRule="exact"/>
        <w:ind w:firstLine="560"/>
        <w:rPr>
          <w:rFonts w:hint="eastAsia" w:ascii="仿宋" w:hAnsi="仿宋" w:eastAsia="仿宋" w:cs="仿宋_GB2312"/>
          <w:sz w:val="32"/>
          <w:szCs w:val="32"/>
        </w:rPr>
      </w:pPr>
    </w:p>
    <w:p>
      <w:pPr>
        <w:jc w:val="left"/>
        <w:rPr>
          <w:rFonts w:hint="eastAsia" w:ascii="仿宋" w:hAnsi="仿宋" w:eastAsia="仿宋" w:cs="仿宋_GB2312"/>
          <w:sz w:val="32"/>
          <w:szCs w:val="32"/>
        </w:rPr>
      </w:pPr>
      <w:r>
        <w:rPr>
          <w:rFonts w:hint="eastAsia" w:ascii="仿宋" w:hAnsi="仿宋" w:eastAsia="仿宋" w:cs="仿宋_GB2312"/>
          <w:sz w:val="32"/>
          <w:szCs w:val="32"/>
        </w:rPr>
        <w:t xml:space="preserve">   三、实现年度发展规划目标的保障措施</w:t>
      </w:r>
    </w:p>
    <w:p>
      <w:pPr>
        <w:spacing w:line="500" w:lineRule="exact"/>
        <w:ind w:firstLine="560"/>
        <w:rPr>
          <w:rFonts w:hint="eastAsia" w:ascii="仿宋" w:hAnsi="仿宋" w:eastAsia="仿宋" w:cs="仿宋_GB2312"/>
          <w:sz w:val="32"/>
          <w:szCs w:val="32"/>
        </w:rPr>
      </w:pPr>
      <w:r>
        <w:rPr>
          <w:rFonts w:hint="eastAsia" w:ascii="仿宋" w:hAnsi="仿宋" w:eastAsia="仿宋" w:cs="仿宋_GB2312"/>
          <w:sz w:val="32"/>
          <w:szCs w:val="32"/>
        </w:rPr>
        <w:t>为确保2020年发展规划目标的有效实施，特制定如下保障措施。</w:t>
      </w:r>
    </w:p>
    <w:p>
      <w:pPr>
        <w:spacing w:line="500" w:lineRule="exact"/>
        <w:ind w:firstLine="560"/>
        <w:rPr>
          <w:rFonts w:hint="eastAsia" w:ascii="仿宋" w:hAnsi="仿宋" w:eastAsia="仿宋" w:cs="仿宋_GB2312"/>
          <w:sz w:val="32"/>
          <w:szCs w:val="32"/>
        </w:rPr>
      </w:pPr>
      <w:r>
        <w:rPr>
          <w:rFonts w:hint="eastAsia" w:ascii="仿宋" w:hAnsi="仿宋" w:eastAsia="仿宋" w:cs="仿宋_GB2312"/>
          <w:sz w:val="32"/>
          <w:szCs w:val="32"/>
        </w:rPr>
        <w:t>1、加大产业结构优化力度，保证主要指标平稳运行</w:t>
      </w:r>
    </w:p>
    <w:p>
      <w:pPr>
        <w:spacing w:line="500" w:lineRule="exact"/>
        <w:ind w:firstLine="560"/>
        <w:rPr>
          <w:rFonts w:hint="eastAsia" w:ascii="仿宋" w:hAnsi="仿宋" w:eastAsia="仿宋" w:cs="仿宋_GB2312"/>
          <w:sz w:val="32"/>
          <w:szCs w:val="32"/>
        </w:rPr>
      </w:pPr>
      <w:r>
        <w:rPr>
          <w:rFonts w:hint="eastAsia" w:ascii="仿宋" w:hAnsi="仿宋" w:eastAsia="仿宋" w:cs="仿宋_GB2312"/>
          <w:sz w:val="32"/>
          <w:szCs w:val="32"/>
        </w:rPr>
        <w:t>围绕产业结构优化调整，全面落实《满城区主导产业规划》，使以高端纸制品深加工为主的传统产业得到巩固发展，使以轨道交通高端装备制造为主的新兴产业加速聚集。充分利用雄安新区、京津冀协同发展等有利因素影响，保障全区总体经济运行平稳。</w:t>
      </w:r>
    </w:p>
    <w:p>
      <w:pPr>
        <w:spacing w:line="500" w:lineRule="exact"/>
        <w:ind w:firstLine="560"/>
        <w:rPr>
          <w:rFonts w:hint="eastAsia" w:ascii="仿宋" w:hAnsi="仿宋" w:eastAsia="仿宋" w:cs="仿宋_GB2312"/>
          <w:sz w:val="32"/>
          <w:szCs w:val="32"/>
        </w:rPr>
      </w:pPr>
      <w:r>
        <w:rPr>
          <w:rFonts w:hint="eastAsia" w:ascii="仿宋" w:hAnsi="仿宋" w:eastAsia="仿宋" w:cs="仿宋_GB2312"/>
          <w:sz w:val="32"/>
          <w:szCs w:val="32"/>
        </w:rPr>
        <w:t>2、协同发展深入推进力度，重点项目实现突破</w:t>
      </w:r>
    </w:p>
    <w:p>
      <w:pPr>
        <w:spacing w:line="580" w:lineRule="exact"/>
        <w:ind w:firstLine="640" w:firstLineChars="200"/>
        <w:rPr>
          <w:rFonts w:hint="eastAsia" w:ascii="仿宋" w:hAnsi="仿宋" w:eastAsia="仿宋"/>
          <w:sz w:val="32"/>
          <w:szCs w:val="32"/>
        </w:rPr>
      </w:pPr>
      <w:r>
        <w:rPr>
          <w:rFonts w:hint="eastAsia" w:ascii="仿宋" w:hAnsi="仿宋" w:eastAsia="仿宋" w:cs="仿宋_GB2312"/>
          <w:sz w:val="32"/>
          <w:szCs w:val="32"/>
        </w:rPr>
        <w:t>全面落实协同发展规划编制、园区平台建设、对接京津项目等方面工作。</w:t>
      </w:r>
      <w:r>
        <w:rPr>
          <w:rFonts w:hint="eastAsia" w:ascii="仿宋" w:hAnsi="仿宋" w:eastAsia="仿宋"/>
          <w:sz w:val="32"/>
          <w:szCs w:val="32"/>
        </w:rPr>
        <w:t>将京津冀协同发展的重心由对接京津拓展到雄安新区，借助雄安新区拓展区的优势在京津冀协同发展中发出满城更大的声音，争取更多的京津和雄安新区外溢产业资源和项目落户满城。着重推动河北京车造车基地、</w:t>
      </w:r>
      <w:r>
        <w:rPr>
          <w:rFonts w:hint="eastAsia" w:ascii="仿宋" w:hAnsi="仿宋" w:eastAsia="仿宋" w:cs="仿宋_GB2312"/>
          <w:sz w:val="32"/>
          <w:szCs w:val="32"/>
        </w:rPr>
        <w:t>航天乐凯新材料工业园、</w:t>
      </w:r>
      <w:r>
        <w:rPr>
          <w:rFonts w:hint="eastAsia" w:ascii="仿宋" w:hAnsi="仿宋" w:eastAsia="仿宋"/>
          <w:sz w:val="32"/>
          <w:szCs w:val="32"/>
        </w:rPr>
        <w:t>中关村丰台园满城分园、</w:t>
      </w:r>
      <w:r>
        <w:rPr>
          <w:rFonts w:hint="eastAsia" w:ascii="仿宋" w:hAnsi="仿宋" w:eastAsia="仿宋" w:cs="宋体"/>
          <w:bCs/>
          <w:spacing w:val="-8"/>
          <w:kern w:val="0"/>
          <w:sz w:val="32"/>
          <w:szCs w:val="32"/>
        </w:rPr>
        <w:t>华源泰盟二期</w:t>
      </w:r>
      <w:r>
        <w:rPr>
          <w:rFonts w:hint="eastAsia" w:ascii="仿宋" w:hAnsi="仿宋" w:eastAsia="仿宋"/>
          <w:sz w:val="32"/>
          <w:szCs w:val="32"/>
        </w:rPr>
        <w:t>等一系列对接成果的发展，为项目园区建设提供政策支持和对外协作平台，不断提升协同发展水平，确保全区协同发展工作在全市保持领先位次。</w:t>
      </w:r>
    </w:p>
    <w:p>
      <w:pPr>
        <w:spacing w:line="500" w:lineRule="exact"/>
        <w:ind w:firstLine="560"/>
        <w:rPr>
          <w:rFonts w:hint="eastAsia" w:ascii="仿宋" w:hAnsi="仿宋" w:eastAsia="仿宋" w:cs="仿宋_GB2312"/>
          <w:sz w:val="32"/>
          <w:szCs w:val="32"/>
        </w:rPr>
      </w:pPr>
      <w:r>
        <w:rPr>
          <w:rFonts w:hint="eastAsia" w:ascii="仿宋" w:hAnsi="仿宋" w:eastAsia="仿宋" w:cs="仿宋_GB2312"/>
          <w:sz w:val="32"/>
          <w:szCs w:val="32"/>
        </w:rPr>
        <w:t>3、扎实开展“双创双服”，有效服务企业民生</w:t>
      </w:r>
    </w:p>
    <w:p>
      <w:pPr>
        <w:spacing w:line="580" w:lineRule="exact"/>
        <w:ind w:firstLine="640" w:firstLineChars="200"/>
        <w:rPr>
          <w:rFonts w:hint="eastAsia" w:ascii="仿宋" w:hAnsi="仿宋" w:eastAsia="仿宋"/>
          <w:sz w:val="32"/>
          <w:szCs w:val="32"/>
        </w:rPr>
      </w:pPr>
      <w:r>
        <w:rPr>
          <w:rFonts w:hint="eastAsia" w:ascii="仿宋" w:hAnsi="仿宋" w:eastAsia="仿宋" w:cs="仿宋_GB2312"/>
          <w:sz w:val="32"/>
          <w:szCs w:val="32"/>
        </w:rPr>
        <w:t>2020年继续按照上级“双创双服”活动安排部署和要求，充分发挥区“双创双服”活动领导小组办公室的职责，</w:t>
      </w:r>
      <w:r>
        <w:rPr>
          <w:rFonts w:hint="eastAsia" w:ascii="仿宋" w:hAnsi="仿宋" w:eastAsia="仿宋"/>
          <w:sz w:val="32"/>
          <w:szCs w:val="32"/>
        </w:rPr>
        <w:t>积极组织协调有关部门有针对性的解决平台上的各类问题，及时对各单位解决问题情况进行汇总通报，确保平台高效有序运行。不断优化完善重点项目、重点企业区领导包联制度，组织好区领导及部门下项目、入企业指导、督促、帮扶、服务工作，完善包联服务台账，切实解决实际问题。定期召开由区领导、有关部门和企业参加的“双创双服”调度会，对各部门“双创双服”及民心工程建设情况进行有针对性的督导考评，总结工作成绩，提出下一步工作思路，促进各项工作落实到位。</w:t>
      </w:r>
    </w:p>
    <w:p>
      <w:pPr>
        <w:overflowPunct w:val="0"/>
        <w:spacing w:line="580" w:lineRule="exact"/>
        <w:ind w:firstLine="640" w:firstLineChars="200"/>
        <w:rPr>
          <w:rFonts w:hint="eastAsia" w:ascii="仿宋" w:hAnsi="仿宋" w:eastAsia="仿宋" w:cs="仿宋_GB2312"/>
          <w:spacing w:val="-8"/>
          <w:sz w:val="32"/>
          <w:szCs w:val="32"/>
        </w:rPr>
      </w:pPr>
      <w:r>
        <w:rPr>
          <w:rFonts w:hint="eastAsia" w:ascii="仿宋" w:hAnsi="仿宋" w:eastAsia="仿宋" w:cs="仿宋_GB2312"/>
          <w:sz w:val="32"/>
          <w:szCs w:val="32"/>
        </w:rPr>
        <w:t>4、</w:t>
      </w:r>
      <w:r>
        <w:rPr>
          <w:rFonts w:hint="eastAsia" w:ascii="仿宋" w:hAnsi="仿宋" w:eastAsia="仿宋" w:cs="楷体"/>
          <w:bCs/>
          <w:spacing w:val="-8"/>
          <w:sz w:val="32"/>
          <w:szCs w:val="32"/>
        </w:rPr>
        <w:t>围绕平原和山区村分散燃煤清零要求，全面实现平原村“无煤化”，山区不宜改造村全部以洁净煤替代的任务目标，着力做好气代煤和型煤保供工作。围绕规范操作、安全运行，如期高质量完成改造任务，进一步总结双代及型煤保供工作经验和教训，理顺相关工作衔接和运行机制，</w:t>
      </w:r>
      <w:r>
        <w:rPr>
          <w:rFonts w:hint="eastAsia" w:ascii="仿宋" w:hAnsi="仿宋" w:eastAsia="仿宋"/>
          <w:sz w:val="32"/>
          <w:szCs w:val="32"/>
        </w:rPr>
        <w:t>对于气代煤工作，督促协调各乡镇结合新奥公司加快工作进度，</w:t>
      </w:r>
      <w:r>
        <w:rPr>
          <w:rFonts w:hint="eastAsia" w:ascii="仿宋" w:hAnsi="仿宋" w:eastAsia="仿宋" w:cs="仿宋_GB2312"/>
          <w:spacing w:val="-8"/>
          <w:sz w:val="32"/>
          <w:szCs w:val="32"/>
        </w:rPr>
        <w:t>针对平原地区和浅山区共56个村约2.5万户的改造任务，</w:t>
      </w:r>
      <w:r>
        <w:rPr>
          <w:rFonts w:hint="eastAsia" w:ascii="仿宋" w:hAnsi="仿宋" w:eastAsia="仿宋"/>
          <w:sz w:val="32"/>
          <w:szCs w:val="32"/>
        </w:rPr>
        <w:t>立即进入实质性建设阶段，力争</w:t>
      </w:r>
      <w:r>
        <w:rPr>
          <w:rFonts w:ascii="仿宋" w:hAnsi="仿宋" w:eastAsia="仿宋" w:cs="仿宋_GB2312"/>
          <w:spacing w:val="-8"/>
          <w:sz w:val="32"/>
          <w:szCs w:val="32"/>
        </w:rPr>
        <w:t>2020</w:t>
      </w:r>
      <w:r>
        <w:rPr>
          <w:rFonts w:hint="eastAsia" w:ascii="仿宋" w:hAnsi="仿宋" w:eastAsia="仿宋" w:cs="仿宋_GB2312"/>
          <w:spacing w:val="-8"/>
          <w:sz w:val="32"/>
          <w:szCs w:val="32"/>
        </w:rPr>
        <w:t>年</w:t>
      </w:r>
      <w:r>
        <w:rPr>
          <w:rFonts w:ascii="仿宋" w:hAnsi="仿宋" w:eastAsia="仿宋" w:cs="仿宋_GB2312"/>
          <w:spacing w:val="-8"/>
          <w:sz w:val="32"/>
          <w:szCs w:val="32"/>
        </w:rPr>
        <w:t>6</w:t>
      </w:r>
      <w:r>
        <w:rPr>
          <w:rFonts w:hint="eastAsia" w:ascii="仿宋" w:hAnsi="仿宋" w:eastAsia="仿宋" w:cs="仿宋_GB2312"/>
          <w:spacing w:val="-8"/>
          <w:sz w:val="32"/>
          <w:szCs w:val="32"/>
        </w:rPr>
        <w:t>月底前完成工程性建设，确保</w:t>
      </w:r>
      <w:r>
        <w:rPr>
          <w:rFonts w:ascii="仿宋" w:hAnsi="仿宋" w:eastAsia="仿宋" w:cs="仿宋_GB2312"/>
          <w:spacing w:val="-8"/>
          <w:sz w:val="32"/>
          <w:szCs w:val="32"/>
        </w:rPr>
        <w:t>2020-2021</w:t>
      </w:r>
      <w:r>
        <w:rPr>
          <w:rFonts w:hint="eastAsia" w:ascii="仿宋" w:hAnsi="仿宋" w:eastAsia="仿宋" w:cs="仿宋_GB2312"/>
          <w:spacing w:val="-8"/>
          <w:sz w:val="32"/>
          <w:szCs w:val="32"/>
        </w:rPr>
        <w:t>年采暖季全部投入使用；</w:t>
      </w:r>
      <w:r>
        <w:rPr>
          <w:rFonts w:hint="eastAsia" w:ascii="仿宋" w:hAnsi="仿宋" w:eastAsia="仿宋"/>
          <w:sz w:val="32"/>
          <w:szCs w:val="32"/>
        </w:rPr>
        <w:t>对于型煤保供工作，在不断加大宣传的基础上，与散煤管控有机结合，全面提高居民对型煤的知晓率和认可度，加大对乡镇的督导调度力度，督促型煤厂做好生产保供工作，保证完成年度型煤保供任务目标。同时，鉴于双代工作体系存在着省、市、区不一致的问题，导致工作推动难度较大，发改作为综合部门既不专业也不负责燃气行业管理，建议由燃气主管部门承担双代改造任务较为合理。</w:t>
      </w:r>
    </w:p>
    <w:p>
      <w:pPr>
        <w:widowControl/>
        <w:adjustRightInd w:val="0"/>
        <w:spacing w:line="58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5、持续推进价格重点改革任务落实</w:t>
      </w:r>
    </w:p>
    <w:p>
      <w:pPr>
        <w:widowControl/>
        <w:adjustRightInd w:val="0"/>
        <w:spacing w:line="580" w:lineRule="exact"/>
        <w:ind w:firstLine="640" w:firstLineChars="200"/>
        <w:jc w:val="left"/>
        <w:rPr>
          <w:rFonts w:hint="eastAsia" w:ascii="仿宋" w:hAnsi="仿宋" w:eastAsia="仿宋"/>
          <w:sz w:val="32"/>
          <w:szCs w:val="32"/>
        </w:rPr>
      </w:pPr>
      <w:r>
        <w:rPr>
          <w:rFonts w:hint="eastAsia" w:ascii="仿宋" w:hAnsi="仿宋" w:eastAsia="仿宋"/>
          <w:sz w:val="32"/>
          <w:szCs w:val="32"/>
        </w:rPr>
        <w:t>持续抓好涉企收费清理规范，加快建立落实长效监管制度，真正做到目录清单外无收费。严格按照《成本监审办法》《政府制定价格行为规则》规范定价行为，严禁目录之外和价权之外定调价。密切监测价格波动状况，按照要求制定调整好人民群众普遍关心的水价、气价、物业服务收费等价格，坚决把放给市场的价格权力放足、放到位，把政府该管的价格事项管好、管到位。</w:t>
      </w:r>
    </w:p>
    <w:p>
      <w:pPr>
        <w:widowControl/>
        <w:adjustRightInd w:val="0"/>
        <w:spacing w:line="58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6、抓好粮食和物资储备年度重点工作</w:t>
      </w:r>
    </w:p>
    <w:p>
      <w:pPr>
        <w:spacing w:line="580" w:lineRule="exact"/>
        <w:ind w:firstLine="630"/>
        <w:rPr>
          <w:rFonts w:hint="eastAsia" w:ascii="仿宋" w:hAnsi="仿宋" w:eastAsia="仿宋" w:cs="仿宋_GB2312"/>
          <w:sz w:val="32"/>
          <w:szCs w:val="32"/>
        </w:rPr>
      </w:pPr>
      <w:r>
        <w:rPr>
          <w:rFonts w:hint="eastAsia" w:ascii="仿宋" w:hAnsi="仿宋" w:eastAsia="仿宋"/>
          <w:sz w:val="32"/>
          <w:szCs w:val="32"/>
        </w:rPr>
        <w:t>针对我区实际情况，积极争取各方面政策支持，围绕夏秋季粮食购销着重做好托市收购的各项准备工作，协调农发行加大对符合要求的民营粮食收购企业资金扶持力度，确保粮食收购平稳推进。按照规定步骤实施政策性粮食库存数量和质量大清查工作。</w:t>
      </w:r>
    </w:p>
    <w:p>
      <w:pPr>
        <w:spacing w:line="5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7、抓好党风廉政建设，确保工作目标健康有效实施</w:t>
      </w:r>
    </w:p>
    <w:p>
      <w:pPr>
        <w:spacing w:line="500" w:lineRule="exact"/>
        <w:ind w:firstLine="560"/>
        <w:rPr>
          <w:rFonts w:hint="eastAsia" w:ascii="仿宋" w:hAnsi="仿宋" w:eastAsia="仿宋" w:cs="仿宋_GB2312"/>
          <w:sz w:val="32"/>
          <w:szCs w:val="32"/>
        </w:rPr>
      </w:pPr>
      <w:r>
        <w:rPr>
          <w:rFonts w:hint="eastAsia" w:ascii="仿宋" w:hAnsi="仿宋" w:eastAsia="仿宋" w:cs="仿宋_GB2312"/>
          <w:sz w:val="32"/>
          <w:szCs w:val="32"/>
        </w:rPr>
        <w:t>着力抓好党风廉政建设。认真落实上级有关党风廉政建设的规定和要求，党风廉政建设从班子做起，全面贯彻落实党风廉政建设责任制，坚持常抓不懈，切实做到了责任明确、目标明确、落实到位。严格要求每名班子成员和党员干部按照有关规定真抓实干，自觉学习和贯彻领导干部廉洁自律等规定，自律意识不断提高。在工作中以勤廉为本，要求全体干部说实话、办实</w:t>
      </w:r>
      <w:r>
        <w:rPr>
          <w:rFonts w:hint="eastAsia" w:ascii="仿宋" w:hAnsi="仿宋" w:eastAsia="仿宋" w:cs="仿宋_GB2312"/>
          <w:sz w:val="32"/>
          <w:szCs w:val="32"/>
          <w:lang w:eastAsia="zh-CN"/>
        </w:rPr>
        <w:t>事</w:t>
      </w:r>
      <w:r>
        <w:rPr>
          <w:rFonts w:hint="eastAsia" w:ascii="仿宋" w:hAnsi="仿宋" w:eastAsia="仿宋" w:cs="仿宋_GB2312"/>
          <w:sz w:val="32"/>
          <w:szCs w:val="32"/>
        </w:rPr>
        <w:t>，求实效，琢磨事、不琢磨人，用政治、纪律、法律来规范自己的行为。强抓惩治和预防腐败体系建设。深入贯彻各级《关于进一步加强廉政风险防控深化权力运行监控机制的意见》，制定切实可行的落实意见及制度，加强行政权力监控机制建设，做好前期预防环节，定期组织廉政谈话、个别谈心，实行公开承诺。优化并公开行政权力运行流程，强化风险前期处置，确保行政权力运行监控机制工作落到实处。通过开展惩治和预防腐败体系建设工作，形成了以人为点、以工作程序为线、以制度为面、环环相扣的廉政风险防控机制，做到了提醒在前、建章立制在前、约束在前，防范了廉政风险，全面提高了机关行政效能。落实专门科室和人员岗位工作责任制，结合学习十九大以及各级纪委治理商业贿赂意见精神，认真落实中央八项规定，组织单位干部职工学习治理商业贿赂的有关文件材料，通过电视、网络、警示教育等各种形式和途径广泛宣传，提高广大干部职工对商业贿赂危害性的认识，纠正错误观念，切实纠正行业不正之风。</w:t>
      </w:r>
    </w:p>
    <w:p>
      <w:pPr>
        <w:spacing w:line="520" w:lineRule="exact"/>
        <w:ind w:firstLine="560"/>
        <w:rPr>
          <w:rFonts w:hint="eastAsia" w:ascii="仿宋" w:hAnsi="仿宋" w:eastAsia="仿宋" w:cs="仿宋_GB2312"/>
          <w:sz w:val="32"/>
          <w:szCs w:val="32"/>
        </w:rPr>
        <w:sectPr>
          <w:pgSz w:w="11907" w:h="16839"/>
          <w:pgMar w:top="1134" w:right="1134" w:bottom="1134" w:left="1134" w:header="851" w:footer="992" w:gutter="0"/>
          <w:cols w:space="720" w:num="1"/>
          <w:docGrid w:linePitch="312" w:charSpace="0"/>
        </w:sectPr>
      </w:pPr>
    </w:p>
    <w:p>
      <w:pPr>
        <w:rPr>
          <w:rFonts w:hint="eastAsia" w:ascii="方正小标宋简体" w:hAnsi="宋体" w:eastAsia="方正小标宋简体"/>
          <w:sz w:val="52"/>
        </w:rPr>
      </w:pPr>
      <w:r>
        <w:rPr>
          <w:rFonts w:hint="eastAsia" w:ascii="方正小标宋简体" w:eastAsia="方正小标宋简体"/>
          <w:sz w:val="44"/>
        </w:rPr>
        <w:t>专项资金绩效目标</w:t>
      </w:r>
    </w:p>
    <w:p>
      <w:pPr>
        <w:rPr>
          <w:rFonts w:hint="eastAsia" w:ascii="方正小标宋_GBK" w:eastAsia="方正小标宋_GBK"/>
          <w:sz w:val="44"/>
        </w:rPr>
      </w:pPr>
    </w:p>
    <w:p>
      <w:pPr>
        <w:jc w:val="left"/>
        <w:outlineLvl w:val="1"/>
        <w:rPr>
          <w:rFonts w:ascii="仿宋" w:hAnsi="仿宋" w:eastAsia="仿宋"/>
          <w:b/>
          <w:sz w:val="28"/>
        </w:rPr>
      </w:pPr>
      <w:r>
        <w:rPr>
          <w:rFonts w:hint="eastAsia" w:ascii="仿宋" w:hAnsi="仿宋" w:eastAsia="仿宋"/>
          <w:b/>
          <w:sz w:val="28"/>
        </w:rPr>
        <w:t>1、节能和循环经济及新能源推广事务绩效目标表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2" w:name="_Toc44495006"/>
      <w:r>
        <w:rPr>
          <w:rFonts w:hint="eastAsia" w:ascii="仿宋" w:hAnsi="仿宋" w:eastAsia="仿宋"/>
          <w:b/>
          <w:sz w:val="28"/>
        </w:rPr>
        <w:instrText xml:space="preserve">1、节能和循环经济及新能源推广事务绩效目标表</w:instrText>
      </w:r>
      <w:bookmarkEnd w:id="2"/>
      <w:r>
        <w:rPr>
          <w:rFonts w:hint="eastAsia" w:ascii="仿宋" w:hAnsi="仿宋" w:eastAsia="仿宋"/>
          <w:b/>
          <w:sz w:val="28"/>
        </w:rPr>
        <w:instrText xml:space="preserve"> \f B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000-9999-JSN-2R40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专项资金名称</w:t>
            </w:r>
          </w:p>
        </w:tc>
        <w:tc>
          <w:tcPr>
            <w:tcW w:w="4281" w:type="dxa"/>
            <w:gridSpan w:val="3"/>
            <w:noWrap w:val="0"/>
            <w:vAlign w:val="center"/>
          </w:tcPr>
          <w:p>
            <w:pPr>
              <w:spacing w:line="300" w:lineRule="exact"/>
              <w:jc w:val="left"/>
              <w:rPr>
                <w:rFonts w:ascii="仿宋" w:hAnsi="仿宋" w:eastAsia="仿宋"/>
              </w:rPr>
            </w:pPr>
            <w:r>
              <w:rPr>
                <w:rFonts w:hint="eastAsia" w:ascii="仿宋" w:hAnsi="仿宋" w:eastAsia="仿宋"/>
              </w:rPr>
              <w:t>节能和循环经济及新能源推广事务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863.83</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863.83</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p>
        </w:tc>
        <w:tc>
          <w:tcPr>
            <w:tcW w:w="1587" w:type="dxa"/>
            <w:tcBorders>
              <w:bottom w:val="single" w:color="000000" w:sz="6" w:space="0"/>
            </w:tcBorders>
            <w:noWrap w:val="0"/>
            <w:vAlign w:val="center"/>
          </w:tcPr>
          <w:p>
            <w:pPr>
              <w:spacing w:line="300" w:lineRule="exact"/>
              <w:jc w:val="center"/>
              <w:rPr>
                <w:rFonts w:ascii="仿宋" w:hAnsi="仿宋" w:eastAsia="仿宋"/>
              </w:rPr>
            </w:pPr>
          </w:p>
        </w:tc>
        <w:tc>
          <w:tcPr>
            <w:tcW w:w="1304" w:type="dxa"/>
            <w:tcBorders>
              <w:bottom w:val="single" w:color="000000" w:sz="6" w:space="0"/>
            </w:tcBorders>
            <w:noWrap w:val="0"/>
            <w:vAlign w:val="center"/>
          </w:tcPr>
          <w:p>
            <w:pPr>
              <w:spacing w:line="300" w:lineRule="exact"/>
              <w:jc w:val="center"/>
              <w:rPr>
                <w:rFonts w:ascii="仿宋" w:hAnsi="仿宋" w:eastAsia="仿宋"/>
              </w:rPr>
            </w:pP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仿宋" w:hAnsi="仿宋" w:eastAsia="仿宋"/>
              </w:rPr>
            </w:pPr>
          </w:p>
        </w:tc>
        <w:tc>
          <w:tcPr>
            <w:tcW w:w="1134" w:type="dxa"/>
            <w:noWrap w:val="0"/>
            <w:vAlign w:val="center"/>
          </w:tcPr>
          <w:p>
            <w:pPr>
              <w:spacing w:line="300" w:lineRule="exact"/>
              <w:jc w:val="left"/>
              <w:rPr>
                <w:rFonts w:ascii="仿宋" w:hAnsi="仿宋" w:eastAsia="仿宋"/>
              </w:rPr>
            </w:pPr>
          </w:p>
        </w:tc>
        <w:tc>
          <w:tcPr>
            <w:tcW w:w="1276" w:type="dxa"/>
            <w:noWrap w:val="0"/>
            <w:vAlign w:val="center"/>
          </w:tcPr>
          <w:p>
            <w:pPr>
              <w:spacing w:line="300" w:lineRule="exact"/>
              <w:jc w:val="left"/>
              <w:rPr>
                <w:rFonts w:ascii="仿宋" w:hAnsi="仿宋" w:eastAsia="仿宋"/>
              </w:rPr>
            </w:pPr>
          </w:p>
        </w:tc>
        <w:tc>
          <w:tcPr>
            <w:tcW w:w="2891" w:type="dxa"/>
            <w:noWrap w:val="0"/>
            <w:vAlign w:val="center"/>
          </w:tcPr>
          <w:p>
            <w:pPr>
              <w:spacing w:line="300" w:lineRule="exact"/>
              <w:jc w:val="left"/>
              <w:rPr>
                <w:rFonts w:ascii="仿宋" w:hAnsi="仿宋" w:eastAsia="仿宋"/>
              </w:rPr>
            </w:pPr>
          </w:p>
        </w:tc>
        <w:tc>
          <w:tcPr>
            <w:tcW w:w="1276" w:type="dxa"/>
            <w:noWrap w:val="0"/>
            <w:vAlign w:val="center"/>
          </w:tcPr>
          <w:p>
            <w:pPr>
              <w:spacing w:line="300" w:lineRule="exact"/>
              <w:jc w:val="left"/>
              <w:rPr>
                <w:rFonts w:ascii="仿宋" w:hAnsi="仿宋" w:eastAsia="仿宋"/>
              </w:rPr>
            </w:pPr>
          </w:p>
        </w:tc>
        <w:tc>
          <w:tcPr>
            <w:tcW w:w="1701" w:type="dxa"/>
            <w:noWrap w:val="0"/>
            <w:vAlign w:val="center"/>
          </w:tcPr>
          <w:p>
            <w:pPr>
              <w:spacing w:line="300" w:lineRule="exact"/>
              <w:jc w:val="left"/>
              <w:rPr>
                <w:rFonts w:ascii="仿宋" w:hAnsi="仿宋" w:eastAsia="仿宋"/>
              </w:rPr>
            </w:pPr>
          </w:p>
        </w:tc>
      </w:tr>
    </w:tbl>
    <w:p>
      <w:pPr>
        <w:rPr>
          <w:rFonts w:hint="eastAsia" w:ascii="仿宋" w:hAnsi="仿宋" w:eastAsia="仿宋"/>
          <w:sz w:val="52"/>
        </w:rPr>
      </w:pPr>
    </w:p>
    <w:p>
      <w:pPr>
        <w:rPr>
          <w:rFonts w:hAnsi="宋体"/>
        </w:rPr>
        <w:sectPr>
          <w:pgSz w:w="11907" w:h="16839"/>
          <w:pgMar w:top="1984" w:right="1304" w:bottom="1134" w:left="1304" w:header="851" w:footer="992" w:gutter="0"/>
          <w:cols w:space="720" w:num="1"/>
          <w:docGrid w:type="lines" w:linePitch="312" w:charSpace="0"/>
        </w:sectPr>
      </w:pPr>
    </w:p>
    <w:p>
      <w:pPr>
        <w:rPr>
          <w:rFonts w:hint="eastAsia" w:ascii="方正小标宋_GBK" w:eastAsia="方正小标宋_GBK"/>
          <w:sz w:val="44"/>
        </w:rPr>
      </w:pPr>
    </w:p>
    <w:p>
      <w:pPr>
        <w:ind w:firstLine="562" w:firstLineChars="200"/>
        <w:jc w:val="left"/>
        <w:outlineLvl w:val="1"/>
        <w:rPr>
          <w:rFonts w:ascii="仿宋" w:hAnsi="仿宋" w:eastAsia="仿宋"/>
          <w:b/>
          <w:sz w:val="28"/>
        </w:rPr>
      </w:pPr>
      <w:r>
        <w:rPr>
          <w:rFonts w:hint="eastAsia" w:ascii="仿宋" w:hAnsi="仿宋" w:eastAsia="仿宋"/>
          <w:b/>
          <w:sz w:val="28"/>
        </w:rPr>
        <w:t>1、2019-2020年“双代”工程区级补贴项目资金绩效目标表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3" w:name="_Toc44495007"/>
      <w:r>
        <w:rPr>
          <w:rFonts w:hint="eastAsia" w:ascii="仿宋" w:hAnsi="仿宋" w:eastAsia="仿宋"/>
          <w:b/>
          <w:sz w:val="28"/>
        </w:rPr>
        <w:instrText xml:space="preserve">1、2019-2020年\“双代\”工程区级补贴项目资金绩效目标表</w:instrText>
      </w:r>
      <w:bookmarkEnd w:id="3"/>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303-0504-JXN-F0MG</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ascii="仿宋" w:hAnsi="仿宋" w:eastAsia="仿宋"/>
              </w:rPr>
              <w:t>2019-2020</w:t>
            </w:r>
            <w:r>
              <w:rPr>
                <w:rFonts w:hint="eastAsia" w:ascii="仿宋" w:hAnsi="仿宋" w:eastAsia="仿宋"/>
              </w:rPr>
              <w:t>年</w:t>
            </w:r>
            <w:r>
              <w:rPr>
                <w:rFonts w:hint="cs" w:ascii="仿宋" w:hAnsi="仿宋" w:eastAsia="仿宋"/>
                <w:cs/>
              </w:rPr>
              <w:t>“</w:t>
            </w:r>
            <w:r>
              <w:rPr>
                <w:rFonts w:hint="eastAsia" w:ascii="仿宋" w:hAnsi="仿宋" w:eastAsia="仿宋"/>
              </w:rPr>
              <w:t>双代</w:t>
            </w:r>
            <w:r>
              <w:rPr>
                <w:rFonts w:hint="cs" w:ascii="仿宋" w:hAnsi="仿宋" w:eastAsia="仿宋"/>
                <w:cs/>
              </w:rPr>
              <w:t>”</w:t>
            </w:r>
            <w:r>
              <w:rPr>
                <w:rFonts w:hint="eastAsia" w:ascii="仿宋" w:hAnsi="仿宋" w:eastAsia="仿宋"/>
              </w:rPr>
              <w:t>工程区级补贴项目资金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3500.00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3500.00</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hint="eastAsia" w:ascii="仿宋" w:hAnsi="仿宋" w:eastAsia="仿宋"/>
              </w:rPr>
              <w:t>按工程完成进度，拨付补贴资金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p>
        </w:tc>
        <w:tc>
          <w:tcPr>
            <w:tcW w:w="1587"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50.00</w:t>
            </w:r>
          </w:p>
        </w:tc>
        <w:tc>
          <w:tcPr>
            <w:tcW w:w="1304" w:type="dxa"/>
            <w:tcBorders>
              <w:bottom w:val="single" w:color="000000" w:sz="6" w:space="0"/>
            </w:tcBorders>
            <w:noWrap w:val="0"/>
            <w:vAlign w:val="center"/>
          </w:tcPr>
          <w:p>
            <w:pPr>
              <w:spacing w:line="300" w:lineRule="exact"/>
              <w:jc w:val="center"/>
              <w:rPr>
                <w:rFonts w:ascii="仿宋" w:hAnsi="仿宋" w:eastAsia="仿宋"/>
              </w:rPr>
            </w:pP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、按时拨付补贴资金</w:t>
            </w:r>
          </w:p>
          <w:p>
            <w:pPr>
              <w:spacing w:line="300" w:lineRule="exact"/>
              <w:jc w:val="left"/>
              <w:rPr>
                <w:rFonts w:ascii="仿宋" w:hAnsi="仿宋" w:eastAsia="仿宋"/>
              </w:rPr>
            </w:pPr>
            <w:r>
              <w:rPr>
                <w:rFonts w:ascii="仿宋" w:hAnsi="仿宋" w:eastAsia="仿宋"/>
              </w:rPr>
              <w:t>2</w:t>
            </w:r>
            <w:r>
              <w:rPr>
                <w:rFonts w:hint="eastAsia" w:ascii="仿宋" w:hAnsi="仿宋" w:eastAsia="仿宋"/>
              </w:rPr>
              <w:t>、保障工程进度，达到受益对象满意</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时效指标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完成率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工程进度占总任务</w:t>
            </w:r>
            <w:r>
              <w:rPr>
                <w:rFonts w:ascii="仿宋" w:hAnsi="仿宋" w:eastAsia="仿宋"/>
              </w:rPr>
              <w:t xml:space="preserve"> </w:t>
            </w:r>
            <w:r>
              <w:rPr>
                <w:rFonts w:hint="eastAsia" w:ascii="仿宋" w:hAnsi="仿宋" w:eastAsia="仿宋"/>
              </w:rPr>
              <w:t>的比例（百分比）</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90</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效果指标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补贴发放率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发放补贴资金完成率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享受补贴的服务对象满意程度</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工作要求</w:t>
            </w:r>
          </w:p>
        </w:tc>
      </w:tr>
    </w:tbl>
    <w:p>
      <w:pPr>
        <w:spacing w:line="300" w:lineRule="exact"/>
        <w:ind w:firstLine="420" w:firstLineChars="200"/>
        <w:jc w:val="left"/>
        <w:rPr>
          <w:rFonts w:ascii="仿宋" w:hAnsi="仿宋" w:eastAsia="仿宋"/>
        </w:rPr>
        <w:sectPr>
          <w:pgSz w:w="11907" w:h="16839"/>
          <w:pgMar w:top="1984" w:right="1304" w:bottom="1134" w:left="1304" w:header="851" w:footer="992" w:gutter="0"/>
          <w:cols w:space="720" w:num="1"/>
          <w:docGrid w:type="lines" w:linePitch="312" w:charSpace="0"/>
        </w:sectPr>
      </w:pPr>
    </w:p>
    <w:p>
      <w:pPr>
        <w:ind w:firstLine="562" w:firstLineChars="200"/>
        <w:jc w:val="left"/>
        <w:outlineLvl w:val="1"/>
        <w:rPr>
          <w:rFonts w:ascii="仿宋" w:hAnsi="仿宋" w:eastAsia="仿宋"/>
          <w:b/>
          <w:sz w:val="28"/>
        </w:rPr>
      </w:pPr>
      <w:r>
        <w:rPr>
          <w:rFonts w:hint="eastAsia" w:ascii="仿宋" w:hAnsi="仿宋" w:eastAsia="仿宋"/>
          <w:b/>
          <w:sz w:val="28"/>
        </w:rPr>
        <w:t>2、2019-2020年采暖季居民使用洁净型煤区级补贴项目资金绩效目标表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4" w:name="_Toc44495008"/>
      <w:r>
        <w:rPr>
          <w:rFonts w:hint="eastAsia" w:ascii="仿宋" w:hAnsi="仿宋" w:eastAsia="仿宋"/>
          <w:b/>
          <w:sz w:val="28"/>
        </w:rPr>
        <w:instrText xml:space="preserve">2、2019-2020年采暖季居民使用洁净型煤区级补贴项目资金绩效目标表</w:instrText>
      </w:r>
      <w:bookmarkEnd w:id="4"/>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303-0504-JXN-UF2W</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ascii="仿宋" w:hAnsi="仿宋" w:eastAsia="仿宋"/>
              </w:rPr>
              <w:t>2019-2020</w:t>
            </w:r>
            <w:r>
              <w:rPr>
                <w:rFonts w:hint="eastAsia" w:ascii="仿宋" w:hAnsi="仿宋" w:eastAsia="仿宋"/>
              </w:rPr>
              <w:t>年采暖季居民使用洁净型煤区级补贴项目资金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1500.00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1500.00</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hint="eastAsia" w:ascii="仿宋" w:hAnsi="仿宋" w:eastAsia="仿宋"/>
              </w:rPr>
              <w:t>按推广洁净型煤数量，拨付补贴资金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c>
          <w:tcPr>
            <w:tcW w:w="1587" w:type="dxa"/>
            <w:tcBorders>
              <w:bottom w:val="single" w:color="000000" w:sz="6" w:space="0"/>
            </w:tcBorders>
            <w:noWrap w:val="0"/>
            <w:vAlign w:val="center"/>
          </w:tcPr>
          <w:p>
            <w:pPr>
              <w:spacing w:line="300" w:lineRule="exact"/>
              <w:jc w:val="center"/>
              <w:rPr>
                <w:rFonts w:ascii="仿宋" w:hAnsi="仿宋" w:eastAsia="仿宋"/>
              </w:rPr>
            </w:pPr>
          </w:p>
        </w:tc>
        <w:tc>
          <w:tcPr>
            <w:tcW w:w="1304" w:type="dxa"/>
            <w:tcBorders>
              <w:bottom w:val="single" w:color="000000" w:sz="6" w:space="0"/>
            </w:tcBorders>
            <w:noWrap w:val="0"/>
            <w:vAlign w:val="center"/>
          </w:tcPr>
          <w:p>
            <w:pPr>
              <w:spacing w:line="300" w:lineRule="exact"/>
              <w:jc w:val="center"/>
              <w:rPr>
                <w:rFonts w:ascii="仿宋" w:hAnsi="仿宋" w:eastAsia="仿宋"/>
              </w:rPr>
            </w:pP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、完成推广任务</w:t>
            </w:r>
          </w:p>
          <w:p>
            <w:pPr>
              <w:spacing w:line="300" w:lineRule="exact"/>
              <w:jc w:val="left"/>
              <w:rPr>
                <w:rFonts w:ascii="仿宋" w:hAnsi="仿宋" w:eastAsia="仿宋"/>
              </w:rPr>
            </w:pPr>
            <w:r>
              <w:rPr>
                <w:rFonts w:ascii="仿宋" w:hAnsi="仿宋" w:eastAsia="仿宋"/>
              </w:rPr>
              <w:t>2</w:t>
            </w:r>
            <w:r>
              <w:rPr>
                <w:rFonts w:hint="eastAsia" w:ascii="仿宋" w:hAnsi="仿宋" w:eastAsia="仿宋"/>
              </w:rPr>
              <w:t>、拨付补贴资金，达到受益对象满意</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时效指标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完成率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推广数量占任务数量的比例</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100</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效果指标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补贴发放率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补贴资金发放完成率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100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接受补贴资金的服务的满意程度</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100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bl>
    <w:p>
      <w:pPr>
        <w:spacing w:line="300" w:lineRule="exact"/>
        <w:ind w:firstLine="420" w:firstLineChars="200"/>
        <w:jc w:val="left"/>
        <w:rPr>
          <w:rFonts w:ascii="仿宋" w:hAnsi="仿宋" w:eastAsia="仿宋"/>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仿宋" w:hAnsi="仿宋" w:eastAsia="仿宋"/>
        </w:rPr>
      </w:pPr>
    </w:p>
    <w:p>
      <w:pPr>
        <w:ind w:firstLine="562" w:firstLineChars="200"/>
        <w:jc w:val="left"/>
        <w:outlineLvl w:val="1"/>
        <w:rPr>
          <w:rFonts w:ascii="仿宋" w:hAnsi="仿宋" w:eastAsia="仿宋"/>
          <w:b/>
          <w:sz w:val="28"/>
        </w:rPr>
      </w:pPr>
      <w:r>
        <w:rPr>
          <w:rFonts w:hint="eastAsia" w:ascii="仿宋" w:hAnsi="仿宋" w:eastAsia="仿宋"/>
          <w:b/>
          <w:sz w:val="28"/>
        </w:rPr>
        <w:t>3、2020年大气污染防治（节能与循环经济）专项资金（保财建[2019]76号）绩效目标表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5" w:name="_Toc44495009"/>
      <w:r>
        <w:rPr>
          <w:rFonts w:hint="eastAsia" w:ascii="仿宋" w:hAnsi="仿宋" w:eastAsia="仿宋"/>
          <w:b/>
          <w:sz w:val="28"/>
        </w:rPr>
        <w:instrText xml:space="preserve">3、2020年大气污染防治（节能与循环经济）专项资金（保财建[2019]76号）绩效目标表</w:instrText>
      </w:r>
      <w:bookmarkEnd w:id="5"/>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303-0504-YSN-TPG3</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年大气污染防治（节能与循环经济）专项资金（保财建</w:t>
            </w:r>
            <w:r>
              <w:rPr>
                <w:rFonts w:ascii="仿宋" w:hAnsi="仿宋" w:eastAsia="仿宋"/>
              </w:rPr>
              <w:t>[2019]76</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841.00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841.00</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年省级大气污染防治（节能与循环经济）专项资金，专项用于保定市润城新型建材科技有限公司建设新型建筑材料生产线。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25.00</w:t>
            </w:r>
          </w:p>
        </w:tc>
        <w:tc>
          <w:tcPr>
            <w:tcW w:w="1587"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50.00</w:t>
            </w:r>
          </w:p>
        </w:tc>
        <w:tc>
          <w:tcPr>
            <w:tcW w:w="1304"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w:t>
            </w:r>
            <w:r>
              <w:rPr>
                <w:rFonts w:ascii="仿宋" w:hAnsi="仿宋" w:eastAsia="仿宋"/>
              </w:rPr>
              <w:t>2020</w:t>
            </w:r>
            <w:r>
              <w:rPr>
                <w:rFonts w:hint="eastAsia" w:ascii="仿宋" w:hAnsi="仿宋" w:eastAsia="仿宋"/>
              </w:rPr>
              <w:t>年</w:t>
            </w:r>
            <w:r>
              <w:rPr>
                <w:rFonts w:ascii="仿宋" w:hAnsi="仿宋" w:eastAsia="仿宋"/>
              </w:rPr>
              <w:t>10</w:t>
            </w:r>
            <w:r>
              <w:rPr>
                <w:rFonts w:hint="eastAsia" w:ascii="仿宋" w:hAnsi="仿宋" w:eastAsia="仿宋"/>
              </w:rPr>
              <w:t>月底前，完成投资，项目投入正常生产。</w:t>
            </w:r>
          </w:p>
          <w:p>
            <w:pPr>
              <w:spacing w:line="300" w:lineRule="exact"/>
              <w:jc w:val="left"/>
              <w:rPr>
                <w:rFonts w:ascii="仿宋" w:hAnsi="仿宋" w:eastAsia="仿宋"/>
              </w:rPr>
            </w:pPr>
            <w:r>
              <w:rPr>
                <w:rFonts w:ascii="仿宋" w:hAnsi="仿宋" w:eastAsia="仿宋"/>
              </w:rPr>
              <w:t>2</w:t>
            </w:r>
            <w:r>
              <w:rPr>
                <w:rFonts w:hint="eastAsia" w:ascii="仿宋" w:hAnsi="仿宋" w:eastAsia="仿宋"/>
              </w:rPr>
              <w:t>、专项资金按项目进度拨付企业，达到企业满意，促进能源节约利用。</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数量指标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总投资完成率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实际投资额占项目总投资额的比例</w:t>
            </w:r>
          </w:p>
        </w:tc>
        <w:tc>
          <w:tcPr>
            <w:tcW w:w="1276" w:type="dxa"/>
            <w:noWrap w:val="0"/>
            <w:vAlign w:val="center"/>
          </w:tcPr>
          <w:p>
            <w:pPr>
              <w:spacing w:line="300" w:lineRule="exact"/>
              <w:jc w:val="left"/>
              <w:rPr>
                <w:rFonts w:ascii="仿宋" w:hAnsi="仿宋" w:eastAsia="仿宋"/>
              </w:rPr>
            </w:pPr>
            <w:r>
              <w:rPr>
                <w:rFonts w:ascii="仿宋" w:hAnsi="仿宋" w:eastAsia="仿宋"/>
              </w:rPr>
              <w:t>100</w:t>
            </w:r>
            <w:r>
              <w:rPr>
                <w:rFonts w:hint="eastAsia" w:ascii="仿宋" w:hAnsi="仿宋" w:eastAsia="仿宋"/>
              </w:rPr>
              <w:t>百分比</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账面实际投资额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仿宋" w:hAnsi="仿宋" w:eastAsia="仿宋"/>
              </w:rPr>
            </w:pP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数量指标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年处理完成率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年实际处理建筑废弃物占项目设计处理能力的吨数比例</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100</w:t>
            </w:r>
            <w:r>
              <w:rPr>
                <w:rFonts w:hint="eastAsia" w:ascii="仿宋" w:hAnsi="仿宋" w:eastAsia="仿宋"/>
              </w:rPr>
              <w:t>百分比</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实际处理台帐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效果指标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社会影响力</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在全国或全省产生的重要影响，得到广大受众的充分认可。</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明显提高</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提供服务的满意程度</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满意</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bl>
    <w:p>
      <w:pPr>
        <w:spacing w:line="300" w:lineRule="exact"/>
        <w:ind w:firstLine="420" w:firstLineChars="200"/>
        <w:jc w:val="left"/>
        <w:rPr>
          <w:rFonts w:ascii="仿宋" w:hAnsi="仿宋" w:eastAsia="仿宋"/>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仿宋" w:hAnsi="仿宋" w:eastAsia="仿宋"/>
        </w:rPr>
      </w:pPr>
    </w:p>
    <w:p>
      <w:pPr>
        <w:ind w:firstLine="562" w:firstLineChars="200"/>
        <w:jc w:val="left"/>
        <w:outlineLvl w:val="1"/>
        <w:rPr>
          <w:rFonts w:ascii="仿宋" w:hAnsi="仿宋" w:eastAsia="仿宋"/>
          <w:b/>
          <w:sz w:val="28"/>
        </w:rPr>
      </w:pPr>
      <w:r>
        <w:rPr>
          <w:rFonts w:hint="eastAsia" w:ascii="仿宋" w:hAnsi="仿宋" w:eastAsia="仿宋"/>
          <w:b/>
          <w:sz w:val="28"/>
        </w:rPr>
        <w:t>4、2020年军粮供应和集约化保障建设资金（保财建【2019】70号绩效目标表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6" w:name="_Toc44495010"/>
      <w:r>
        <w:rPr>
          <w:rFonts w:hint="eastAsia" w:ascii="仿宋" w:hAnsi="仿宋" w:eastAsia="仿宋"/>
          <w:b/>
          <w:sz w:val="28"/>
        </w:rPr>
        <w:instrText xml:space="preserve">4、2020年军粮供应和集约化保障建设资金（保财建【2019】70号绩效目标表</w:instrText>
      </w:r>
      <w:bookmarkEnd w:id="6"/>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303-0703-YSN-0Z39</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年军粮供应和集约化保障建设资金（保财建【</w:t>
            </w:r>
            <w:r>
              <w:rPr>
                <w:rFonts w:ascii="仿宋" w:hAnsi="仿宋" w:eastAsia="仿宋"/>
              </w:rPr>
              <w:t>2019</w:t>
            </w:r>
            <w:r>
              <w:rPr>
                <w:rFonts w:hint="eastAsia" w:ascii="仿宋" w:hAnsi="仿宋" w:eastAsia="仿宋"/>
              </w:rPr>
              <w:t>】</w:t>
            </w:r>
            <w:r>
              <w:rPr>
                <w:rFonts w:ascii="仿宋" w:hAnsi="仿宋" w:eastAsia="仿宋"/>
              </w:rPr>
              <w:t>70</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16.00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16.00</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年军粮供应和集约化保障建设资金，专项用于保定市满城区军粮供应有限公司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25.00</w:t>
            </w:r>
          </w:p>
        </w:tc>
        <w:tc>
          <w:tcPr>
            <w:tcW w:w="1587"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50.00</w:t>
            </w:r>
          </w:p>
        </w:tc>
        <w:tc>
          <w:tcPr>
            <w:tcW w:w="1304"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、保障军粮供应，服务对象满意</w:t>
            </w:r>
          </w:p>
          <w:p>
            <w:pPr>
              <w:spacing w:line="300" w:lineRule="exact"/>
              <w:jc w:val="left"/>
              <w:rPr>
                <w:rFonts w:ascii="仿宋" w:hAnsi="仿宋" w:eastAsia="仿宋"/>
              </w:rPr>
            </w:pPr>
            <w:r>
              <w:rPr>
                <w:rFonts w:ascii="仿宋" w:hAnsi="仿宋" w:eastAsia="仿宋"/>
              </w:rPr>
              <w:t>2</w:t>
            </w:r>
            <w:r>
              <w:rPr>
                <w:rFonts w:hint="eastAsia" w:ascii="仿宋" w:hAnsi="仿宋" w:eastAsia="仿宋"/>
              </w:rPr>
              <w:t>、专项资金拨付到位，促进企业发展</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时效指标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完成率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按照要求拨付资金在所有专项资金项目中的比例（百分比）</w:t>
            </w:r>
          </w:p>
        </w:tc>
        <w:tc>
          <w:tcPr>
            <w:tcW w:w="1276" w:type="dxa"/>
            <w:noWrap w:val="0"/>
            <w:vAlign w:val="center"/>
          </w:tcPr>
          <w:p>
            <w:pPr>
              <w:spacing w:line="300" w:lineRule="exact"/>
              <w:jc w:val="left"/>
              <w:rPr>
                <w:rFonts w:ascii="仿宋" w:hAnsi="仿宋" w:eastAsia="仿宋"/>
              </w:rPr>
            </w:pPr>
            <w:r>
              <w:rPr>
                <w:rFonts w:ascii="仿宋" w:hAnsi="仿宋" w:eastAsia="仿宋"/>
              </w:rPr>
              <w:t>100</w:t>
            </w:r>
            <w:r>
              <w:rPr>
                <w:rFonts w:hint="eastAsia" w:ascii="仿宋" w:hAnsi="仿宋" w:eastAsia="仿宋"/>
              </w:rPr>
              <w:t>百分比</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效果指标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经济效益指标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利润率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实现利润完成比率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百分比</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服务的满意程度</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满意</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bl>
    <w:p>
      <w:pPr>
        <w:spacing w:line="300" w:lineRule="exact"/>
        <w:ind w:firstLine="420" w:firstLineChars="200"/>
        <w:jc w:val="left"/>
        <w:rPr>
          <w:rFonts w:ascii="仿宋" w:hAnsi="仿宋" w:eastAsia="仿宋"/>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仿宋" w:hAnsi="仿宋" w:eastAsia="仿宋"/>
        </w:rPr>
      </w:pPr>
    </w:p>
    <w:p>
      <w:pPr>
        <w:ind w:firstLine="562" w:firstLineChars="200"/>
        <w:jc w:val="left"/>
        <w:outlineLvl w:val="1"/>
        <w:rPr>
          <w:rFonts w:ascii="仿宋" w:hAnsi="仿宋" w:eastAsia="仿宋"/>
          <w:b/>
          <w:sz w:val="28"/>
        </w:rPr>
      </w:pPr>
      <w:r>
        <w:rPr>
          <w:rFonts w:hint="eastAsia" w:ascii="仿宋" w:hAnsi="仿宋" w:eastAsia="仿宋"/>
          <w:b/>
          <w:sz w:val="28"/>
        </w:rPr>
        <w:t>5、2020年省级大气污染防治资金（用于农村地区清洁取暖2016、2017、2018年任务运行补贴）（保财资环【2019】151号）绩效目标表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7" w:name="_Toc44495011"/>
      <w:r>
        <w:rPr>
          <w:rFonts w:hint="eastAsia" w:ascii="仿宋" w:hAnsi="仿宋" w:eastAsia="仿宋"/>
          <w:b/>
          <w:sz w:val="28"/>
        </w:rPr>
        <w:instrText xml:space="preserve">5、2020年省级大气污染防治资金（用于农村地区清洁取暖2016、2017、2018年任务运行补贴）（保财资环【2019】151号）绩效目标表</w:instrText>
      </w:r>
      <w:bookmarkEnd w:id="7"/>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303-0504-JXN-1807</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年省级大气污染防治资金（用于农村地区清洁取暖</w:t>
            </w:r>
            <w:r>
              <w:rPr>
                <w:rFonts w:ascii="仿宋" w:hAnsi="仿宋" w:eastAsia="仿宋"/>
              </w:rPr>
              <w:t>2016</w:t>
            </w:r>
            <w:r>
              <w:rPr>
                <w:rFonts w:hint="eastAsia" w:ascii="仿宋" w:hAnsi="仿宋" w:eastAsia="仿宋"/>
              </w:rPr>
              <w:t>、</w:t>
            </w:r>
            <w:r>
              <w:rPr>
                <w:rFonts w:ascii="仿宋" w:hAnsi="仿宋" w:eastAsia="仿宋"/>
              </w:rPr>
              <w:t>2017</w:t>
            </w:r>
            <w:r>
              <w:rPr>
                <w:rFonts w:hint="eastAsia" w:ascii="仿宋" w:hAnsi="仿宋" w:eastAsia="仿宋"/>
              </w:rPr>
              <w:t>、</w:t>
            </w:r>
            <w:r>
              <w:rPr>
                <w:rFonts w:ascii="仿宋" w:hAnsi="仿宋" w:eastAsia="仿宋"/>
              </w:rPr>
              <w:t>2018</w:t>
            </w:r>
            <w:r>
              <w:rPr>
                <w:rFonts w:hint="eastAsia" w:ascii="仿宋" w:hAnsi="仿宋" w:eastAsia="仿宋"/>
              </w:rPr>
              <w:t>年任务运行补贴）（保财资环【</w:t>
            </w:r>
            <w:r>
              <w:rPr>
                <w:rFonts w:ascii="仿宋" w:hAnsi="仿宋" w:eastAsia="仿宋"/>
              </w:rPr>
              <w:t>2019</w:t>
            </w:r>
            <w:r>
              <w:rPr>
                <w:rFonts w:hint="eastAsia" w:ascii="仿宋" w:hAnsi="仿宋" w:eastAsia="仿宋"/>
              </w:rPr>
              <w:t>】</w:t>
            </w:r>
            <w:r>
              <w:rPr>
                <w:rFonts w:ascii="仿宋" w:hAnsi="仿宋" w:eastAsia="仿宋"/>
              </w:rPr>
              <w:t>151</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7.00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7.00</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hint="eastAsia" w:ascii="仿宋" w:hAnsi="仿宋" w:eastAsia="仿宋"/>
              </w:rPr>
              <w:t>气代煤改造完成户取暖季运行补贴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50.00</w:t>
            </w:r>
          </w:p>
        </w:tc>
        <w:tc>
          <w:tcPr>
            <w:tcW w:w="1587"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c>
          <w:tcPr>
            <w:tcW w:w="1304" w:type="dxa"/>
            <w:tcBorders>
              <w:bottom w:val="single" w:color="000000" w:sz="6" w:space="0"/>
            </w:tcBorders>
            <w:noWrap w:val="0"/>
            <w:vAlign w:val="center"/>
          </w:tcPr>
          <w:p>
            <w:pPr>
              <w:spacing w:line="300" w:lineRule="exact"/>
              <w:jc w:val="center"/>
              <w:rPr>
                <w:rFonts w:ascii="仿宋" w:hAnsi="仿宋" w:eastAsia="仿宋"/>
              </w:rPr>
            </w:pP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、补贴发放到位，用户满意</w:t>
            </w:r>
          </w:p>
          <w:p>
            <w:pPr>
              <w:spacing w:line="300" w:lineRule="exact"/>
              <w:jc w:val="left"/>
              <w:rPr>
                <w:rFonts w:ascii="仿宋" w:hAnsi="仿宋" w:eastAsia="仿宋"/>
              </w:rPr>
            </w:pPr>
            <w:r>
              <w:rPr>
                <w:rFonts w:ascii="仿宋" w:hAnsi="仿宋" w:eastAsia="仿宋"/>
              </w:rPr>
              <w:t>2</w:t>
            </w:r>
            <w:r>
              <w:rPr>
                <w:rFonts w:hint="eastAsia" w:ascii="仿宋" w:hAnsi="仿宋" w:eastAsia="仿宋"/>
              </w:rPr>
              <w:t>、大气污染得到改善</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时效指标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拨付资金到位率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实际拨付补贴资金占应拨付补贴资金率</w:t>
            </w:r>
          </w:p>
        </w:tc>
        <w:tc>
          <w:tcPr>
            <w:tcW w:w="1276" w:type="dxa"/>
            <w:noWrap w:val="0"/>
            <w:vAlign w:val="center"/>
          </w:tcPr>
          <w:p>
            <w:pPr>
              <w:spacing w:line="300" w:lineRule="exact"/>
              <w:jc w:val="left"/>
              <w:rPr>
                <w:rFonts w:ascii="仿宋" w:hAnsi="仿宋" w:eastAsia="仿宋"/>
              </w:rPr>
            </w:pPr>
            <w:r>
              <w:rPr>
                <w:rFonts w:ascii="仿宋" w:hAnsi="仿宋" w:eastAsia="仿宋"/>
              </w:rPr>
              <w:t>100%</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效果指标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补贴发放率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发放补贴完成率</w:t>
            </w:r>
          </w:p>
        </w:tc>
        <w:tc>
          <w:tcPr>
            <w:tcW w:w="1276" w:type="dxa"/>
            <w:noWrap w:val="0"/>
            <w:vAlign w:val="center"/>
          </w:tcPr>
          <w:p>
            <w:pPr>
              <w:spacing w:line="300" w:lineRule="exact"/>
              <w:jc w:val="left"/>
              <w:rPr>
                <w:rFonts w:ascii="仿宋" w:hAnsi="仿宋" w:eastAsia="仿宋"/>
              </w:rPr>
            </w:pPr>
            <w:r>
              <w:rPr>
                <w:rFonts w:ascii="仿宋" w:hAnsi="仿宋" w:eastAsia="仿宋"/>
              </w:rPr>
              <w:t>100%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群众满意度</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群众整体满意度</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bl>
    <w:p>
      <w:pPr>
        <w:spacing w:line="300" w:lineRule="exact"/>
        <w:ind w:firstLine="420" w:firstLineChars="200"/>
        <w:jc w:val="left"/>
        <w:rPr>
          <w:rFonts w:ascii="仿宋" w:hAnsi="仿宋" w:eastAsia="仿宋"/>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仿宋" w:hAnsi="仿宋" w:eastAsia="仿宋"/>
        </w:rPr>
      </w:pPr>
    </w:p>
    <w:p>
      <w:pPr>
        <w:ind w:firstLine="562" w:firstLineChars="200"/>
        <w:jc w:val="left"/>
        <w:outlineLvl w:val="1"/>
        <w:rPr>
          <w:rFonts w:ascii="仿宋" w:hAnsi="仿宋" w:eastAsia="仿宋"/>
          <w:b/>
          <w:sz w:val="28"/>
        </w:rPr>
      </w:pPr>
      <w:r>
        <w:rPr>
          <w:rFonts w:hint="eastAsia" w:ascii="仿宋" w:hAnsi="仿宋" w:eastAsia="仿宋"/>
          <w:b/>
          <w:sz w:val="28"/>
        </w:rPr>
        <w:t>6、2020年省级大气污染防治资金（用于农村地区清洁取暖2016、2017、2018年任务运行补贴）保财资环【2019】151号绩效目标表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8" w:name="_Toc44495012"/>
      <w:r>
        <w:rPr>
          <w:rFonts w:hint="eastAsia" w:ascii="仿宋" w:hAnsi="仿宋" w:eastAsia="仿宋"/>
          <w:b/>
          <w:sz w:val="28"/>
        </w:rPr>
        <w:instrText xml:space="preserve">6、2020年省级大气污染防治资金（用于农村地区清洁取暖2016、2017、2018年任务运行补贴）保财资环【2019】151号绩效目标表</w:instrText>
      </w:r>
      <w:bookmarkEnd w:id="8"/>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303-0504-JXN-SIXX</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年省级大气污染防治资金（用于农村地区清洁取暖</w:t>
            </w:r>
            <w:r>
              <w:rPr>
                <w:rFonts w:ascii="仿宋" w:hAnsi="仿宋" w:eastAsia="仿宋"/>
              </w:rPr>
              <w:t>2016</w:t>
            </w:r>
            <w:r>
              <w:rPr>
                <w:rFonts w:hint="eastAsia" w:ascii="仿宋" w:hAnsi="仿宋" w:eastAsia="仿宋"/>
              </w:rPr>
              <w:t>、</w:t>
            </w:r>
            <w:r>
              <w:rPr>
                <w:rFonts w:ascii="仿宋" w:hAnsi="仿宋" w:eastAsia="仿宋"/>
              </w:rPr>
              <w:t>2017</w:t>
            </w:r>
            <w:r>
              <w:rPr>
                <w:rFonts w:hint="eastAsia" w:ascii="仿宋" w:hAnsi="仿宋" w:eastAsia="仿宋"/>
              </w:rPr>
              <w:t>、</w:t>
            </w:r>
            <w:r>
              <w:rPr>
                <w:rFonts w:ascii="仿宋" w:hAnsi="仿宋" w:eastAsia="仿宋"/>
              </w:rPr>
              <w:t>2018</w:t>
            </w:r>
            <w:r>
              <w:rPr>
                <w:rFonts w:hint="eastAsia" w:ascii="仿宋" w:hAnsi="仿宋" w:eastAsia="仿宋"/>
              </w:rPr>
              <w:t>年任务运行补贴）保财资环【</w:t>
            </w:r>
            <w:r>
              <w:rPr>
                <w:rFonts w:ascii="仿宋" w:hAnsi="仿宋" w:eastAsia="仿宋"/>
              </w:rPr>
              <w:t>2019</w:t>
            </w:r>
            <w:r>
              <w:rPr>
                <w:rFonts w:hint="eastAsia" w:ascii="仿宋" w:hAnsi="仿宋" w:eastAsia="仿宋"/>
              </w:rPr>
              <w:t>】</w:t>
            </w:r>
            <w:r>
              <w:rPr>
                <w:rFonts w:ascii="仿宋" w:hAnsi="仿宋" w:eastAsia="仿宋"/>
              </w:rPr>
              <w:t>151</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518.00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518.00</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hint="eastAsia" w:ascii="仿宋" w:hAnsi="仿宋" w:eastAsia="仿宋"/>
              </w:rPr>
              <w:t>用于农村地区清洁取暖</w:t>
            </w:r>
            <w:r>
              <w:rPr>
                <w:rFonts w:ascii="仿宋" w:hAnsi="仿宋" w:eastAsia="仿宋"/>
              </w:rPr>
              <w:t>2018</w:t>
            </w:r>
            <w:r>
              <w:rPr>
                <w:rFonts w:hint="eastAsia" w:ascii="仿宋" w:hAnsi="仿宋" w:eastAsia="仿宋"/>
              </w:rPr>
              <w:t>年任务的</w:t>
            </w:r>
            <w:r>
              <w:rPr>
                <w:rFonts w:ascii="仿宋" w:hAnsi="仿宋" w:eastAsia="仿宋"/>
              </w:rPr>
              <w:t>2020</w:t>
            </w:r>
            <w:r>
              <w:rPr>
                <w:rFonts w:hint="eastAsia" w:ascii="仿宋" w:hAnsi="仿宋" w:eastAsia="仿宋"/>
              </w:rPr>
              <w:t>年取暖季省级运行补贴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p>
        </w:tc>
        <w:tc>
          <w:tcPr>
            <w:tcW w:w="1587"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c>
          <w:tcPr>
            <w:tcW w:w="1304" w:type="dxa"/>
            <w:tcBorders>
              <w:bottom w:val="single" w:color="000000" w:sz="6" w:space="0"/>
            </w:tcBorders>
            <w:noWrap w:val="0"/>
            <w:vAlign w:val="center"/>
          </w:tcPr>
          <w:p>
            <w:pPr>
              <w:spacing w:line="300" w:lineRule="exact"/>
              <w:jc w:val="center"/>
              <w:rPr>
                <w:rFonts w:ascii="仿宋" w:hAnsi="仿宋" w:eastAsia="仿宋"/>
              </w:rPr>
            </w:pP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、运行补贴资金发放到位</w:t>
            </w:r>
          </w:p>
          <w:p>
            <w:pPr>
              <w:spacing w:line="300" w:lineRule="exact"/>
              <w:jc w:val="left"/>
              <w:rPr>
                <w:rFonts w:ascii="仿宋" w:hAnsi="仿宋" w:eastAsia="仿宋"/>
              </w:rPr>
            </w:pPr>
            <w:r>
              <w:rPr>
                <w:rFonts w:ascii="仿宋" w:hAnsi="仿宋" w:eastAsia="仿宋"/>
              </w:rPr>
              <w:t>2</w:t>
            </w:r>
            <w:r>
              <w:rPr>
                <w:rFonts w:hint="eastAsia" w:ascii="仿宋" w:hAnsi="仿宋" w:eastAsia="仿宋"/>
              </w:rPr>
              <w:t>、用户满意</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时效指标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拨付资金到位率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实际拨付补贴资金到位占应拨付补贴资金的比例</w:t>
            </w:r>
          </w:p>
        </w:tc>
        <w:tc>
          <w:tcPr>
            <w:tcW w:w="1276" w:type="dxa"/>
            <w:noWrap w:val="0"/>
            <w:vAlign w:val="center"/>
          </w:tcPr>
          <w:p>
            <w:pPr>
              <w:spacing w:line="300" w:lineRule="exact"/>
              <w:jc w:val="left"/>
              <w:rPr>
                <w:rFonts w:ascii="仿宋" w:hAnsi="仿宋" w:eastAsia="仿宋"/>
              </w:rPr>
            </w:pPr>
            <w:r>
              <w:rPr>
                <w:rFonts w:ascii="仿宋" w:hAnsi="仿宋" w:eastAsia="仿宋"/>
              </w:rPr>
              <w:t>100%</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效果指标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补贴发放率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发放运行补贴发放完成率</w:t>
            </w:r>
          </w:p>
        </w:tc>
        <w:tc>
          <w:tcPr>
            <w:tcW w:w="1276" w:type="dxa"/>
            <w:noWrap w:val="0"/>
            <w:vAlign w:val="center"/>
          </w:tcPr>
          <w:p>
            <w:pPr>
              <w:spacing w:line="300" w:lineRule="exact"/>
              <w:jc w:val="left"/>
              <w:rPr>
                <w:rFonts w:ascii="仿宋" w:hAnsi="仿宋" w:eastAsia="仿宋"/>
              </w:rPr>
            </w:pPr>
            <w:r>
              <w:rPr>
                <w:rFonts w:ascii="仿宋" w:hAnsi="仿宋" w:eastAsia="仿宋"/>
              </w:rPr>
              <w:t>100%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群众满意度</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群众满意数量占总数的比例。</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bl>
    <w:p>
      <w:pPr>
        <w:spacing w:line="300" w:lineRule="exact"/>
        <w:ind w:firstLine="420" w:firstLineChars="200"/>
        <w:jc w:val="left"/>
        <w:rPr>
          <w:rFonts w:ascii="仿宋" w:hAnsi="仿宋" w:eastAsia="仿宋"/>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仿宋" w:hAnsi="仿宋" w:eastAsia="仿宋"/>
        </w:rPr>
      </w:pPr>
    </w:p>
    <w:p>
      <w:pPr>
        <w:ind w:firstLine="562" w:firstLineChars="200"/>
        <w:jc w:val="left"/>
        <w:outlineLvl w:val="1"/>
        <w:rPr>
          <w:rFonts w:ascii="仿宋" w:hAnsi="仿宋" w:eastAsia="仿宋"/>
          <w:b/>
          <w:sz w:val="28"/>
        </w:rPr>
      </w:pPr>
      <w:r>
        <w:rPr>
          <w:rFonts w:hint="eastAsia" w:ascii="仿宋" w:hAnsi="仿宋" w:eastAsia="仿宋"/>
          <w:b/>
          <w:sz w:val="28"/>
        </w:rPr>
        <w:t>7、2020年省级大气污染防治资金（用于农村地区清洁取暖2019年任务运行补贴）（保财资环【2019】149号）绩效目标表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9" w:name="_Toc44495013"/>
      <w:r>
        <w:rPr>
          <w:rFonts w:hint="eastAsia" w:ascii="仿宋" w:hAnsi="仿宋" w:eastAsia="仿宋"/>
          <w:b/>
          <w:sz w:val="28"/>
        </w:rPr>
        <w:instrText xml:space="preserve">7、2020年省级大气污染防治资金（用于农村地区清洁取暖2019年任务运行补贴）（保财资环【2019】149号）绩效目标表</w:instrText>
      </w:r>
      <w:bookmarkEnd w:id="9"/>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303-0504-JXN-6Z60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年省级大气污染防治资金（用于农村地区清洁取暖</w:t>
            </w:r>
            <w:r>
              <w:rPr>
                <w:rFonts w:ascii="仿宋" w:hAnsi="仿宋" w:eastAsia="仿宋"/>
              </w:rPr>
              <w:t>2019</w:t>
            </w:r>
            <w:r>
              <w:rPr>
                <w:rFonts w:hint="eastAsia" w:ascii="仿宋" w:hAnsi="仿宋" w:eastAsia="仿宋"/>
              </w:rPr>
              <w:t>年任务运行补贴）（保财资环【</w:t>
            </w:r>
            <w:r>
              <w:rPr>
                <w:rFonts w:ascii="仿宋" w:hAnsi="仿宋" w:eastAsia="仿宋"/>
              </w:rPr>
              <w:t>2019</w:t>
            </w:r>
            <w:r>
              <w:rPr>
                <w:rFonts w:hint="eastAsia" w:ascii="仿宋" w:hAnsi="仿宋" w:eastAsia="仿宋"/>
              </w:rPr>
              <w:t>】</w:t>
            </w:r>
            <w:r>
              <w:rPr>
                <w:rFonts w:ascii="仿宋" w:hAnsi="仿宋" w:eastAsia="仿宋"/>
              </w:rPr>
              <w:t>149</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34.00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34.00</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hint="eastAsia" w:ascii="仿宋" w:hAnsi="仿宋" w:eastAsia="仿宋"/>
              </w:rPr>
              <w:t>气代煤改造完成户取暖季运行补贴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50.00</w:t>
            </w:r>
          </w:p>
        </w:tc>
        <w:tc>
          <w:tcPr>
            <w:tcW w:w="1587"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c>
          <w:tcPr>
            <w:tcW w:w="1304" w:type="dxa"/>
            <w:tcBorders>
              <w:bottom w:val="single" w:color="000000" w:sz="6" w:space="0"/>
            </w:tcBorders>
            <w:noWrap w:val="0"/>
            <w:vAlign w:val="center"/>
          </w:tcPr>
          <w:p>
            <w:pPr>
              <w:spacing w:line="300" w:lineRule="exact"/>
              <w:jc w:val="center"/>
              <w:rPr>
                <w:rFonts w:ascii="仿宋" w:hAnsi="仿宋" w:eastAsia="仿宋"/>
              </w:rPr>
            </w:pP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、拨付补贴资金，用户满意</w:t>
            </w:r>
          </w:p>
          <w:p>
            <w:pPr>
              <w:spacing w:line="300" w:lineRule="exact"/>
              <w:jc w:val="left"/>
              <w:rPr>
                <w:rFonts w:ascii="仿宋" w:hAnsi="仿宋" w:eastAsia="仿宋"/>
              </w:rPr>
            </w:pPr>
            <w:r>
              <w:rPr>
                <w:rFonts w:ascii="仿宋" w:hAnsi="仿宋" w:eastAsia="仿宋"/>
              </w:rPr>
              <w:t>2</w:t>
            </w:r>
            <w:r>
              <w:rPr>
                <w:rFonts w:hint="eastAsia" w:ascii="仿宋" w:hAnsi="仿宋" w:eastAsia="仿宋"/>
              </w:rPr>
              <w:t>、大气污染得到改善</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时效指标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完成率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拨付资金完成比例</w:t>
            </w:r>
          </w:p>
        </w:tc>
        <w:tc>
          <w:tcPr>
            <w:tcW w:w="1276" w:type="dxa"/>
            <w:noWrap w:val="0"/>
            <w:vAlign w:val="center"/>
          </w:tcPr>
          <w:p>
            <w:pPr>
              <w:spacing w:line="300" w:lineRule="exact"/>
              <w:jc w:val="left"/>
              <w:rPr>
                <w:rFonts w:ascii="仿宋" w:hAnsi="仿宋" w:eastAsia="仿宋"/>
              </w:rPr>
            </w:pPr>
            <w:r>
              <w:rPr>
                <w:rFonts w:ascii="仿宋" w:hAnsi="仿宋" w:eastAsia="仿宋"/>
              </w:rPr>
              <w:t>100</w:t>
            </w:r>
            <w:r>
              <w:rPr>
                <w:rFonts w:hint="eastAsia" w:ascii="仿宋" w:hAnsi="仿宋" w:eastAsia="仿宋"/>
              </w:rPr>
              <w:t>百分比</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效果指标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补贴发放率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发放生活补贴发放完成率</w:t>
            </w:r>
          </w:p>
        </w:tc>
        <w:tc>
          <w:tcPr>
            <w:tcW w:w="1276" w:type="dxa"/>
            <w:noWrap w:val="0"/>
            <w:vAlign w:val="center"/>
          </w:tcPr>
          <w:p>
            <w:pPr>
              <w:spacing w:line="300" w:lineRule="exact"/>
              <w:jc w:val="left"/>
              <w:rPr>
                <w:rFonts w:ascii="仿宋" w:hAnsi="仿宋" w:eastAsia="仿宋"/>
              </w:rPr>
            </w:pPr>
            <w:r>
              <w:rPr>
                <w:rFonts w:ascii="仿宋" w:hAnsi="仿宋" w:eastAsia="仿宋"/>
              </w:rPr>
              <w:t>95</w:t>
            </w:r>
            <w:r>
              <w:rPr>
                <w:rFonts w:hint="eastAsia" w:ascii="仿宋" w:hAnsi="仿宋" w:eastAsia="仿宋"/>
              </w:rPr>
              <w:t>百分比</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群众满意度</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群众对当年整体满意度</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满意</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bl>
    <w:p>
      <w:pPr>
        <w:spacing w:line="300" w:lineRule="exact"/>
        <w:ind w:firstLine="420" w:firstLineChars="200"/>
        <w:jc w:val="left"/>
        <w:rPr>
          <w:rFonts w:ascii="仿宋" w:hAnsi="仿宋" w:eastAsia="仿宋"/>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仿宋" w:hAnsi="仿宋" w:eastAsia="仿宋"/>
        </w:rPr>
      </w:pPr>
    </w:p>
    <w:p>
      <w:pPr>
        <w:ind w:firstLine="562" w:firstLineChars="200"/>
        <w:jc w:val="left"/>
        <w:outlineLvl w:val="1"/>
        <w:rPr>
          <w:rFonts w:ascii="仿宋" w:hAnsi="仿宋" w:eastAsia="仿宋"/>
          <w:b/>
          <w:sz w:val="28"/>
        </w:rPr>
      </w:pPr>
      <w:r>
        <w:rPr>
          <w:rFonts w:hint="eastAsia" w:ascii="仿宋" w:hAnsi="仿宋" w:eastAsia="仿宋"/>
          <w:b/>
          <w:sz w:val="28"/>
        </w:rPr>
        <w:t>8、2020年省级大气污染防治资金（用于农村地区清洁取暖计划）（保财资环【2019】150号）绩效目标表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10" w:name="_Toc44495014"/>
      <w:r>
        <w:rPr>
          <w:rFonts w:hint="eastAsia" w:ascii="仿宋" w:hAnsi="仿宋" w:eastAsia="仿宋"/>
          <w:b/>
          <w:sz w:val="28"/>
        </w:rPr>
        <w:instrText xml:space="preserve">8、2020年省级大气污染防治资金（用于农村地区清洁取暖计划）（保财资环【2019】150号）绩效目标表</w:instrText>
      </w:r>
      <w:bookmarkEnd w:id="10"/>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303-0504-JXN-M22A</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年省级大气污染防治资金（用于农村地区清洁取暖计划）（保财资环【</w:t>
            </w:r>
            <w:r>
              <w:rPr>
                <w:rFonts w:ascii="仿宋" w:hAnsi="仿宋" w:eastAsia="仿宋"/>
              </w:rPr>
              <w:t>2019</w:t>
            </w:r>
            <w:r>
              <w:rPr>
                <w:rFonts w:hint="eastAsia" w:ascii="仿宋" w:hAnsi="仿宋" w:eastAsia="仿宋"/>
              </w:rPr>
              <w:t>】</w:t>
            </w:r>
            <w:r>
              <w:rPr>
                <w:rFonts w:ascii="仿宋" w:hAnsi="仿宋" w:eastAsia="仿宋"/>
              </w:rPr>
              <w:t>150</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114.00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114.00</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hint="eastAsia" w:ascii="仿宋" w:hAnsi="仿宋" w:eastAsia="仿宋"/>
              </w:rPr>
              <w:t>气代煤改造一次性补贴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50.00</w:t>
            </w:r>
          </w:p>
        </w:tc>
        <w:tc>
          <w:tcPr>
            <w:tcW w:w="1587"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c>
          <w:tcPr>
            <w:tcW w:w="1304" w:type="dxa"/>
            <w:tcBorders>
              <w:bottom w:val="single" w:color="000000" w:sz="6" w:space="0"/>
            </w:tcBorders>
            <w:noWrap w:val="0"/>
            <w:vAlign w:val="center"/>
          </w:tcPr>
          <w:p>
            <w:pPr>
              <w:spacing w:line="300" w:lineRule="exact"/>
              <w:jc w:val="center"/>
              <w:rPr>
                <w:rFonts w:ascii="仿宋" w:hAnsi="仿宋" w:eastAsia="仿宋"/>
              </w:rPr>
            </w:pP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、补贴发放到位，用户满意</w:t>
            </w:r>
          </w:p>
          <w:p>
            <w:pPr>
              <w:spacing w:line="300" w:lineRule="exact"/>
              <w:jc w:val="left"/>
              <w:rPr>
                <w:rFonts w:ascii="仿宋" w:hAnsi="仿宋" w:eastAsia="仿宋"/>
              </w:rPr>
            </w:pPr>
            <w:r>
              <w:rPr>
                <w:rFonts w:ascii="仿宋" w:hAnsi="仿宋" w:eastAsia="仿宋"/>
              </w:rPr>
              <w:t>2</w:t>
            </w:r>
            <w:r>
              <w:rPr>
                <w:rFonts w:hint="eastAsia" w:ascii="仿宋" w:hAnsi="仿宋" w:eastAsia="仿宋"/>
              </w:rPr>
              <w:t>、大气污染得到改善</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时效指标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拨付资金到位率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实际拨付补贴资金占应拨付补贴资金比例</w:t>
            </w:r>
          </w:p>
        </w:tc>
        <w:tc>
          <w:tcPr>
            <w:tcW w:w="1276" w:type="dxa"/>
            <w:noWrap w:val="0"/>
            <w:vAlign w:val="center"/>
          </w:tcPr>
          <w:p>
            <w:pPr>
              <w:spacing w:line="300" w:lineRule="exact"/>
              <w:jc w:val="left"/>
              <w:rPr>
                <w:rFonts w:ascii="仿宋" w:hAnsi="仿宋" w:eastAsia="仿宋"/>
              </w:rPr>
            </w:pPr>
            <w:r>
              <w:rPr>
                <w:rFonts w:ascii="仿宋" w:hAnsi="仿宋" w:eastAsia="仿宋"/>
              </w:rPr>
              <w:t>100</w:t>
            </w:r>
            <w:r>
              <w:rPr>
                <w:rFonts w:hint="eastAsia" w:ascii="仿宋" w:hAnsi="仿宋" w:eastAsia="仿宋"/>
              </w:rPr>
              <w:t>百分比</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效果指标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补贴发放率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发放补贴发放完成率</w:t>
            </w:r>
          </w:p>
        </w:tc>
        <w:tc>
          <w:tcPr>
            <w:tcW w:w="1276" w:type="dxa"/>
            <w:noWrap w:val="0"/>
            <w:vAlign w:val="center"/>
          </w:tcPr>
          <w:p>
            <w:pPr>
              <w:spacing w:line="300" w:lineRule="exact"/>
              <w:jc w:val="left"/>
              <w:rPr>
                <w:rFonts w:ascii="仿宋" w:hAnsi="仿宋" w:eastAsia="仿宋"/>
              </w:rPr>
            </w:pPr>
            <w:r>
              <w:rPr>
                <w:rFonts w:ascii="仿宋" w:hAnsi="仿宋" w:eastAsia="仿宋"/>
              </w:rPr>
              <w:t>100</w:t>
            </w:r>
            <w:r>
              <w:rPr>
                <w:rFonts w:hint="eastAsia" w:ascii="仿宋" w:hAnsi="仿宋" w:eastAsia="仿宋"/>
              </w:rPr>
              <w:t>百分比</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群众满意度</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群众整体满意度</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90</w:t>
            </w:r>
            <w:r>
              <w:rPr>
                <w:rFonts w:hint="eastAsia" w:ascii="仿宋" w:hAnsi="仿宋" w:eastAsia="仿宋"/>
              </w:rPr>
              <w:t>百分比</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bl>
    <w:p>
      <w:pPr>
        <w:spacing w:line="300" w:lineRule="exact"/>
        <w:ind w:firstLine="420" w:firstLineChars="200"/>
        <w:jc w:val="left"/>
        <w:rPr>
          <w:rFonts w:ascii="仿宋" w:hAnsi="仿宋" w:eastAsia="仿宋"/>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仿宋" w:hAnsi="仿宋" w:eastAsia="仿宋"/>
        </w:rPr>
      </w:pPr>
    </w:p>
    <w:p>
      <w:pPr>
        <w:ind w:firstLine="562" w:firstLineChars="200"/>
        <w:jc w:val="left"/>
        <w:outlineLvl w:val="1"/>
        <w:rPr>
          <w:rFonts w:ascii="仿宋" w:hAnsi="仿宋" w:eastAsia="仿宋"/>
          <w:b/>
          <w:sz w:val="28"/>
        </w:rPr>
      </w:pPr>
      <w:r>
        <w:rPr>
          <w:rFonts w:hint="eastAsia" w:ascii="仿宋" w:hAnsi="仿宋" w:eastAsia="仿宋"/>
          <w:b/>
          <w:sz w:val="28"/>
        </w:rPr>
        <w:t>9、2020年中央大气污染防治资金（用于农村地区清洁取暖2017年、2018年任务省级运行补贴）保财资环【2019】138号绩效目标表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11" w:name="_Toc44495015"/>
      <w:r>
        <w:rPr>
          <w:rFonts w:hint="eastAsia" w:ascii="仿宋" w:hAnsi="仿宋" w:eastAsia="仿宋"/>
          <w:b/>
          <w:sz w:val="28"/>
        </w:rPr>
        <w:instrText xml:space="preserve">9、2020年中央大气污染防治资金（用于农村地区清洁取暖2017年、2018年任务省级运行补贴）保财资环【2019】138号绩效目标表</w:instrText>
      </w:r>
      <w:bookmarkEnd w:id="11"/>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303-0504-JXN-0SML</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年中央大气污染防治资金（用于农村地区清洁取暖</w:t>
            </w:r>
            <w:r>
              <w:rPr>
                <w:rFonts w:ascii="仿宋" w:hAnsi="仿宋" w:eastAsia="仿宋"/>
              </w:rPr>
              <w:t>2017</w:t>
            </w:r>
            <w:r>
              <w:rPr>
                <w:rFonts w:hint="eastAsia" w:ascii="仿宋" w:hAnsi="仿宋" w:eastAsia="仿宋"/>
              </w:rPr>
              <w:t>年、</w:t>
            </w:r>
            <w:r>
              <w:rPr>
                <w:rFonts w:ascii="仿宋" w:hAnsi="仿宋" w:eastAsia="仿宋"/>
              </w:rPr>
              <w:t>2018</w:t>
            </w:r>
            <w:r>
              <w:rPr>
                <w:rFonts w:hint="eastAsia" w:ascii="仿宋" w:hAnsi="仿宋" w:eastAsia="仿宋"/>
              </w:rPr>
              <w:t>年任务省级运行补贴）保财资环【</w:t>
            </w:r>
            <w:r>
              <w:rPr>
                <w:rFonts w:ascii="仿宋" w:hAnsi="仿宋" w:eastAsia="仿宋"/>
              </w:rPr>
              <w:t>2019</w:t>
            </w:r>
            <w:r>
              <w:rPr>
                <w:rFonts w:hint="eastAsia" w:ascii="仿宋" w:hAnsi="仿宋" w:eastAsia="仿宋"/>
              </w:rPr>
              <w:t>】</w:t>
            </w:r>
            <w:r>
              <w:rPr>
                <w:rFonts w:ascii="仿宋" w:hAnsi="仿宋" w:eastAsia="仿宋"/>
              </w:rPr>
              <w:t>138</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519.00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519.00</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ascii="仿宋" w:hAnsi="仿宋" w:eastAsia="仿宋"/>
              </w:rPr>
              <w:t>2018</w:t>
            </w:r>
            <w:r>
              <w:rPr>
                <w:rFonts w:hint="eastAsia" w:ascii="仿宋" w:hAnsi="仿宋" w:eastAsia="仿宋"/>
              </w:rPr>
              <w:t>年气代煤改造完成户</w:t>
            </w:r>
            <w:r>
              <w:rPr>
                <w:rFonts w:ascii="仿宋" w:hAnsi="仿宋" w:eastAsia="仿宋"/>
              </w:rPr>
              <w:t>2019</w:t>
            </w:r>
            <w:r>
              <w:rPr>
                <w:rFonts w:hint="eastAsia" w:ascii="仿宋" w:hAnsi="仿宋" w:eastAsia="仿宋"/>
              </w:rPr>
              <w:t>年供暖季省级运行补助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p>
        </w:tc>
        <w:tc>
          <w:tcPr>
            <w:tcW w:w="1587"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c>
          <w:tcPr>
            <w:tcW w:w="1304" w:type="dxa"/>
            <w:tcBorders>
              <w:bottom w:val="single" w:color="000000" w:sz="6" w:space="0"/>
            </w:tcBorders>
            <w:noWrap w:val="0"/>
            <w:vAlign w:val="center"/>
          </w:tcPr>
          <w:p>
            <w:pPr>
              <w:spacing w:line="300" w:lineRule="exact"/>
              <w:jc w:val="center"/>
              <w:rPr>
                <w:rFonts w:ascii="仿宋" w:hAnsi="仿宋" w:eastAsia="仿宋"/>
              </w:rPr>
            </w:pP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、补贴发放到位</w:t>
            </w:r>
          </w:p>
          <w:p>
            <w:pPr>
              <w:spacing w:line="300" w:lineRule="exact"/>
              <w:jc w:val="left"/>
              <w:rPr>
                <w:rFonts w:ascii="仿宋" w:hAnsi="仿宋" w:eastAsia="仿宋"/>
              </w:rPr>
            </w:pPr>
            <w:r>
              <w:rPr>
                <w:rFonts w:ascii="仿宋" w:hAnsi="仿宋" w:eastAsia="仿宋"/>
              </w:rPr>
              <w:t>2</w:t>
            </w:r>
            <w:r>
              <w:rPr>
                <w:rFonts w:hint="eastAsia" w:ascii="仿宋" w:hAnsi="仿宋" w:eastAsia="仿宋"/>
              </w:rPr>
              <w:t>、气代煤改造完成用户满意</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时效指标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拨付资金到位率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实际拨付补贴到位资金占应拨付资金的比例</w:t>
            </w:r>
          </w:p>
        </w:tc>
        <w:tc>
          <w:tcPr>
            <w:tcW w:w="1276" w:type="dxa"/>
            <w:noWrap w:val="0"/>
            <w:vAlign w:val="center"/>
          </w:tcPr>
          <w:p>
            <w:pPr>
              <w:spacing w:line="300" w:lineRule="exact"/>
              <w:jc w:val="left"/>
              <w:rPr>
                <w:rFonts w:ascii="仿宋" w:hAnsi="仿宋" w:eastAsia="仿宋"/>
              </w:rPr>
            </w:pPr>
            <w:r>
              <w:rPr>
                <w:rFonts w:ascii="仿宋" w:hAnsi="仿宋" w:eastAsia="仿宋"/>
              </w:rPr>
              <w:t>100%</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效果指标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补贴发放率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发放补贴完成率</w:t>
            </w:r>
          </w:p>
        </w:tc>
        <w:tc>
          <w:tcPr>
            <w:tcW w:w="1276" w:type="dxa"/>
            <w:noWrap w:val="0"/>
            <w:vAlign w:val="center"/>
          </w:tcPr>
          <w:p>
            <w:pPr>
              <w:spacing w:line="300" w:lineRule="exact"/>
              <w:jc w:val="left"/>
              <w:rPr>
                <w:rFonts w:ascii="仿宋" w:hAnsi="仿宋" w:eastAsia="仿宋"/>
              </w:rPr>
            </w:pPr>
            <w:r>
              <w:rPr>
                <w:rFonts w:ascii="仿宋" w:hAnsi="仿宋" w:eastAsia="仿宋"/>
              </w:rPr>
              <w:t>100%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群众满意度</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群众整体满意度</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bl>
    <w:p>
      <w:pPr>
        <w:spacing w:line="300" w:lineRule="exact"/>
        <w:ind w:firstLine="420" w:firstLineChars="200"/>
        <w:jc w:val="left"/>
        <w:rPr>
          <w:rFonts w:ascii="仿宋" w:hAnsi="仿宋" w:eastAsia="仿宋"/>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仿宋" w:hAnsi="仿宋" w:eastAsia="仿宋"/>
        </w:rPr>
      </w:pPr>
    </w:p>
    <w:p>
      <w:pPr>
        <w:ind w:firstLine="562" w:firstLineChars="200"/>
        <w:jc w:val="left"/>
        <w:outlineLvl w:val="1"/>
        <w:rPr>
          <w:rFonts w:ascii="仿宋" w:hAnsi="仿宋" w:eastAsia="仿宋"/>
          <w:b/>
          <w:sz w:val="28"/>
        </w:rPr>
      </w:pPr>
      <w:r>
        <w:rPr>
          <w:rFonts w:hint="eastAsia" w:ascii="仿宋" w:hAnsi="仿宋" w:eastAsia="仿宋"/>
          <w:b/>
          <w:sz w:val="28"/>
        </w:rPr>
        <w:t>10、2020年中央大气污染防治资金（用于农村地区清洁取暖2017年、2018年任务省级运行补助）（保财资环【2019】138号）绩效目标表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12" w:name="_Toc44495016"/>
      <w:r>
        <w:rPr>
          <w:rFonts w:hint="eastAsia" w:ascii="仿宋" w:hAnsi="仿宋" w:eastAsia="仿宋"/>
          <w:b/>
          <w:sz w:val="28"/>
        </w:rPr>
        <w:instrText xml:space="preserve">10、2020年中央大气污染防治资金（用于农村地区清洁取暖2017年、2018年任务省级运行补助）（保财资环【2019】138号）绩效目标表</w:instrText>
      </w:r>
      <w:bookmarkEnd w:id="12"/>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303-0504-JXN-0NOH</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ascii="仿宋" w:hAnsi="仿宋" w:eastAsia="仿宋"/>
              </w:rPr>
              <w:t>2020</w:t>
            </w:r>
            <w:r>
              <w:rPr>
                <w:rFonts w:hint="eastAsia" w:ascii="仿宋" w:hAnsi="仿宋" w:eastAsia="仿宋"/>
              </w:rPr>
              <w:t>年中央大气污染防治资金（用于农村地区清洁取暖</w:t>
            </w:r>
            <w:r>
              <w:rPr>
                <w:rFonts w:ascii="仿宋" w:hAnsi="仿宋" w:eastAsia="仿宋"/>
              </w:rPr>
              <w:t>2017</w:t>
            </w:r>
            <w:r>
              <w:rPr>
                <w:rFonts w:hint="eastAsia" w:ascii="仿宋" w:hAnsi="仿宋" w:eastAsia="仿宋"/>
              </w:rPr>
              <w:t>年、</w:t>
            </w:r>
            <w:r>
              <w:rPr>
                <w:rFonts w:ascii="仿宋" w:hAnsi="仿宋" w:eastAsia="仿宋"/>
              </w:rPr>
              <w:t>2018</w:t>
            </w:r>
            <w:r>
              <w:rPr>
                <w:rFonts w:hint="eastAsia" w:ascii="仿宋" w:hAnsi="仿宋" w:eastAsia="仿宋"/>
              </w:rPr>
              <w:t>年任务省级运行补助）（保财资环【</w:t>
            </w:r>
            <w:r>
              <w:rPr>
                <w:rFonts w:ascii="仿宋" w:hAnsi="仿宋" w:eastAsia="仿宋"/>
              </w:rPr>
              <w:t>2019</w:t>
            </w:r>
            <w:r>
              <w:rPr>
                <w:rFonts w:hint="eastAsia" w:ascii="仿宋" w:hAnsi="仿宋" w:eastAsia="仿宋"/>
              </w:rPr>
              <w:t>】</w:t>
            </w:r>
            <w:r>
              <w:rPr>
                <w:rFonts w:ascii="仿宋" w:hAnsi="仿宋" w:eastAsia="仿宋"/>
              </w:rPr>
              <w:t>138</w:t>
            </w:r>
            <w:r>
              <w:rPr>
                <w:rFonts w:hint="eastAsia" w:ascii="仿宋" w:hAnsi="仿宋" w:eastAsia="仿宋"/>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6.00</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6.00</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hint="eastAsia" w:ascii="仿宋" w:hAnsi="仿宋" w:eastAsia="仿宋"/>
              </w:rPr>
              <w:t>气代煤改造完成取暖季运行补贴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50.00</w:t>
            </w:r>
          </w:p>
        </w:tc>
        <w:tc>
          <w:tcPr>
            <w:tcW w:w="1587"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c>
          <w:tcPr>
            <w:tcW w:w="1304" w:type="dxa"/>
            <w:tcBorders>
              <w:bottom w:val="single" w:color="000000" w:sz="6" w:space="0"/>
            </w:tcBorders>
            <w:noWrap w:val="0"/>
            <w:vAlign w:val="center"/>
          </w:tcPr>
          <w:p>
            <w:pPr>
              <w:spacing w:line="300" w:lineRule="exact"/>
              <w:jc w:val="center"/>
              <w:rPr>
                <w:rFonts w:ascii="仿宋" w:hAnsi="仿宋" w:eastAsia="仿宋"/>
              </w:rPr>
            </w:pP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、补贴发放到位，用户满意</w:t>
            </w:r>
          </w:p>
          <w:p>
            <w:pPr>
              <w:spacing w:line="300" w:lineRule="exact"/>
              <w:jc w:val="left"/>
              <w:rPr>
                <w:rFonts w:ascii="仿宋" w:hAnsi="仿宋" w:eastAsia="仿宋"/>
              </w:rPr>
            </w:pPr>
            <w:r>
              <w:rPr>
                <w:rFonts w:ascii="仿宋" w:hAnsi="仿宋" w:eastAsia="仿宋"/>
              </w:rPr>
              <w:t>2</w:t>
            </w:r>
            <w:r>
              <w:rPr>
                <w:rFonts w:hint="eastAsia" w:ascii="仿宋" w:hAnsi="仿宋" w:eastAsia="仿宋"/>
              </w:rPr>
              <w:t>、大气污染得到改善</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时效指标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拨付资金到位率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实际拨付补贴资金占应拨付资金的比例</w:t>
            </w:r>
          </w:p>
        </w:tc>
        <w:tc>
          <w:tcPr>
            <w:tcW w:w="1276" w:type="dxa"/>
            <w:noWrap w:val="0"/>
            <w:vAlign w:val="center"/>
          </w:tcPr>
          <w:p>
            <w:pPr>
              <w:spacing w:line="300" w:lineRule="exact"/>
              <w:jc w:val="left"/>
              <w:rPr>
                <w:rFonts w:ascii="仿宋" w:hAnsi="仿宋" w:eastAsia="仿宋"/>
              </w:rPr>
            </w:pPr>
            <w:r>
              <w:rPr>
                <w:rFonts w:ascii="仿宋" w:hAnsi="仿宋" w:eastAsia="仿宋"/>
              </w:rPr>
              <w:t>100</w:t>
            </w:r>
            <w:r>
              <w:rPr>
                <w:rFonts w:hint="eastAsia" w:ascii="仿宋" w:hAnsi="仿宋" w:eastAsia="仿宋"/>
              </w:rPr>
              <w:t>百分比</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效果指标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补贴发放率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发放补贴完成率</w:t>
            </w:r>
          </w:p>
        </w:tc>
        <w:tc>
          <w:tcPr>
            <w:tcW w:w="1276" w:type="dxa"/>
            <w:noWrap w:val="0"/>
            <w:vAlign w:val="center"/>
          </w:tcPr>
          <w:p>
            <w:pPr>
              <w:spacing w:line="300" w:lineRule="exact"/>
              <w:jc w:val="left"/>
              <w:rPr>
                <w:rFonts w:ascii="仿宋" w:hAnsi="仿宋" w:eastAsia="仿宋"/>
              </w:rPr>
            </w:pPr>
            <w:r>
              <w:rPr>
                <w:rFonts w:ascii="仿宋" w:hAnsi="仿宋" w:eastAsia="仿宋"/>
              </w:rPr>
              <w:t>100</w:t>
            </w:r>
            <w:r>
              <w:rPr>
                <w:rFonts w:hint="eastAsia" w:ascii="仿宋" w:hAnsi="仿宋" w:eastAsia="仿宋"/>
              </w:rPr>
              <w:t>百分比</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群众满意度</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群众整体满意度</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90</w:t>
            </w:r>
            <w:r>
              <w:rPr>
                <w:rFonts w:hint="eastAsia" w:ascii="仿宋" w:hAnsi="仿宋" w:eastAsia="仿宋"/>
              </w:rPr>
              <w:t>百分比</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工作需要</w:t>
            </w:r>
          </w:p>
        </w:tc>
      </w:tr>
    </w:tbl>
    <w:p>
      <w:pPr>
        <w:spacing w:line="300" w:lineRule="exact"/>
        <w:ind w:firstLine="420" w:firstLineChars="200"/>
        <w:jc w:val="left"/>
        <w:rPr>
          <w:rFonts w:ascii="仿宋" w:hAnsi="仿宋" w:eastAsia="仿宋"/>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仿宋" w:hAnsi="仿宋" w:eastAsia="仿宋"/>
        </w:rPr>
      </w:pPr>
    </w:p>
    <w:p>
      <w:pPr>
        <w:ind w:firstLine="562" w:firstLineChars="200"/>
        <w:jc w:val="left"/>
        <w:outlineLvl w:val="1"/>
        <w:rPr>
          <w:rFonts w:ascii="仿宋" w:hAnsi="仿宋" w:eastAsia="仿宋"/>
          <w:b/>
          <w:sz w:val="28"/>
        </w:rPr>
      </w:pPr>
      <w:r>
        <w:rPr>
          <w:rFonts w:hint="eastAsia" w:ascii="仿宋" w:hAnsi="仿宋" w:eastAsia="仿宋"/>
          <w:b/>
          <w:sz w:val="28"/>
        </w:rPr>
        <w:t>11、光伏发电扶贫2019年5-8月发电补贴绩效目标表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13" w:name="_Toc44495017"/>
      <w:r>
        <w:rPr>
          <w:rFonts w:hint="eastAsia" w:ascii="仿宋" w:hAnsi="仿宋" w:eastAsia="仿宋"/>
          <w:b/>
          <w:sz w:val="28"/>
        </w:rPr>
        <w:instrText xml:space="preserve">11、光伏发电扶贫2019年5-8月发电补贴绩效目标表</w:instrText>
      </w:r>
      <w:bookmarkEnd w:id="13"/>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303-0504-YSN-IFPC</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hint="eastAsia" w:ascii="仿宋" w:hAnsi="仿宋" w:eastAsia="仿宋"/>
              </w:rPr>
              <w:t>光伏发电扶贫</w:t>
            </w:r>
            <w:r>
              <w:rPr>
                <w:rFonts w:ascii="仿宋" w:hAnsi="仿宋" w:eastAsia="仿宋"/>
              </w:rPr>
              <w:t>2019</w:t>
            </w:r>
            <w:r>
              <w:rPr>
                <w:rFonts w:hint="eastAsia" w:ascii="仿宋" w:hAnsi="仿宋" w:eastAsia="仿宋"/>
              </w:rPr>
              <w:t>年</w:t>
            </w:r>
            <w:r>
              <w:rPr>
                <w:rFonts w:ascii="仿宋" w:hAnsi="仿宋" w:eastAsia="仿宋"/>
              </w:rPr>
              <w:t>5-8</w:t>
            </w:r>
            <w:r>
              <w:rPr>
                <w:rFonts w:hint="eastAsia" w:ascii="仿宋" w:hAnsi="仿宋" w:eastAsia="仿宋"/>
              </w:rPr>
              <w:t>月发电补贴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22.83</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22.83</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hint="eastAsia" w:ascii="仿宋" w:hAnsi="仿宋" w:eastAsia="仿宋"/>
              </w:rPr>
              <w:t>光伏扶贫项目电价差价区财政补贴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c>
          <w:tcPr>
            <w:tcW w:w="1587" w:type="dxa"/>
            <w:tcBorders>
              <w:bottom w:val="single" w:color="000000" w:sz="6" w:space="0"/>
            </w:tcBorders>
            <w:noWrap w:val="0"/>
            <w:vAlign w:val="center"/>
          </w:tcPr>
          <w:p>
            <w:pPr>
              <w:spacing w:line="300" w:lineRule="exact"/>
              <w:jc w:val="center"/>
              <w:rPr>
                <w:rFonts w:ascii="仿宋" w:hAnsi="仿宋" w:eastAsia="仿宋"/>
              </w:rPr>
            </w:pPr>
          </w:p>
        </w:tc>
        <w:tc>
          <w:tcPr>
            <w:tcW w:w="1304" w:type="dxa"/>
            <w:tcBorders>
              <w:bottom w:val="single" w:color="000000" w:sz="6" w:space="0"/>
            </w:tcBorders>
            <w:noWrap w:val="0"/>
            <w:vAlign w:val="center"/>
          </w:tcPr>
          <w:p>
            <w:pPr>
              <w:spacing w:line="300" w:lineRule="exact"/>
              <w:jc w:val="center"/>
              <w:rPr>
                <w:rFonts w:ascii="仿宋" w:hAnsi="仿宋" w:eastAsia="仿宋"/>
              </w:rPr>
            </w:pP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、电价差价补贴发放到位，受益对象满意</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数量指标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村村级光伏电站年总发电量</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村村级光伏电站年总发电量</w:t>
            </w:r>
          </w:p>
        </w:tc>
        <w:tc>
          <w:tcPr>
            <w:tcW w:w="1276" w:type="dxa"/>
            <w:noWrap w:val="0"/>
            <w:vAlign w:val="center"/>
          </w:tcPr>
          <w:p>
            <w:pPr>
              <w:spacing w:line="300" w:lineRule="exact"/>
              <w:jc w:val="left"/>
              <w:rPr>
                <w:rFonts w:ascii="仿宋" w:hAnsi="仿宋" w:eastAsia="仿宋"/>
              </w:rPr>
            </w:pPr>
            <w:r>
              <w:rPr>
                <w:rFonts w:ascii="仿宋" w:hAnsi="仿宋" w:eastAsia="仿宋"/>
              </w:rPr>
              <w:t>592011.8</w:t>
            </w:r>
            <w:r>
              <w:rPr>
                <w:rFonts w:hint="eastAsia" w:ascii="仿宋" w:hAnsi="仿宋" w:eastAsia="仿宋"/>
              </w:rPr>
              <w:t>千瓦时</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抄表发电量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仿宋" w:hAnsi="仿宋" w:eastAsia="仿宋"/>
              </w:rPr>
            </w:pP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质量指标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光伏扶贫项目验收合格率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光伏扶贫项目实际完成并验收占应完成的比例</w:t>
            </w:r>
          </w:p>
        </w:tc>
        <w:tc>
          <w:tcPr>
            <w:tcW w:w="1276" w:type="dxa"/>
            <w:noWrap w:val="0"/>
            <w:vAlign w:val="center"/>
          </w:tcPr>
          <w:p>
            <w:pPr>
              <w:spacing w:line="300" w:lineRule="exact"/>
              <w:jc w:val="left"/>
              <w:rPr>
                <w:rFonts w:ascii="仿宋" w:hAnsi="仿宋" w:eastAsia="仿宋"/>
              </w:rPr>
            </w:pPr>
            <w:r>
              <w:rPr>
                <w:rFonts w:ascii="仿宋" w:hAnsi="仿宋" w:eastAsia="仿宋"/>
              </w:rPr>
              <w:t>100%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效果指标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社会效益指标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带动人口脱贫数</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带动人口数</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w:t>
            </w:r>
            <w:r>
              <w:rPr>
                <w:rFonts w:ascii="仿宋" w:hAnsi="仿宋" w:eastAsia="仿宋"/>
              </w:rPr>
              <w:t>445</w:t>
            </w:r>
            <w:r>
              <w:rPr>
                <w:rFonts w:hint="eastAsia" w:ascii="仿宋" w:hAnsi="仿宋" w:eastAsia="仿宋"/>
              </w:rPr>
              <w:t>人</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受益人口满意度</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受益对象满意率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w:t>
            </w:r>
            <w:r>
              <w:rPr>
                <w:rFonts w:ascii="仿宋" w:hAnsi="仿宋" w:eastAsia="仿宋"/>
              </w:rPr>
              <w:t>95%</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工作要求</w:t>
            </w:r>
          </w:p>
        </w:tc>
      </w:tr>
    </w:tbl>
    <w:p>
      <w:pPr>
        <w:spacing w:line="300" w:lineRule="exact"/>
        <w:ind w:firstLine="420" w:firstLineChars="200"/>
        <w:jc w:val="left"/>
        <w:rPr>
          <w:rFonts w:ascii="仿宋" w:hAnsi="仿宋" w:eastAsia="仿宋"/>
        </w:rPr>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rPr>
          <w:rFonts w:ascii="仿宋" w:hAnsi="仿宋" w:eastAsia="仿宋"/>
        </w:rPr>
      </w:pPr>
    </w:p>
    <w:p>
      <w:pPr>
        <w:ind w:firstLine="562" w:firstLineChars="200"/>
        <w:jc w:val="left"/>
        <w:outlineLvl w:val="1"/>
        <w:rPr>
          <w:rFonts w:ascii="仿宋" w:hAnsi="仿宋" w:eastAsia="仿宋"/>
          <w:b/>
          <w:sz w:val="28"/>
        </w:rPr>
      </w:pPr>
      <w:r>
        <w:rPr>
          <w:rFonts w:hint="eastAsia" w:ascii="仿宋" w:hAnsi="仿宋" w:eastAsia="仿宋"/>
          <w:b/>
          <w:sz w:val="28"/>
        </w:rPr>
        <w:t>12、机关后勤人员经费绩效目标表</w:t>
      </w:r>
      <w: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14" w:name="_Toc44495018"/>
      <w:r>
        <w:rPr>
          <w:rFonts w:hint="eastAsia" w:ascii="仿宋" w:hAnsi="仿宋" w:eastAsia="仿宋"/>
          <w:b/>
          <w:sz w:val="28"/>
        </w:rPr>
        <w:instrText xml:space="preserve">12、机关后勤人员经费绩效目标表</w:instrText>
      </w:r>
      <w:bookmarkEnd w:id="14"/>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仿宋" w:hAnsi="仿宋" w:eastAsia="仿宋"/>
                <w:b/>
              </w:rPr>
            </w:pPr>
            <w:r>
              <w:rPr>
                <w:rFonts w:ascii="仿宋" w:hAnsi="仿宋" w:eastAsia="仿宋"/>
                <w:b/>
              </w:rPr>
              <w:t>303002</w:t>
            </w:r>
            <w:r>
              <w:rPr>
                <w:rFonts w:hint="eastAsia" w:ascii="仿宋" w:hAnsi="仿宋" w:eastAsia="仿宋"/>
                <w:b/>
              </w:rPr>
              <w:t>保定市满城区发展和改革局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仿宋" w:hAnsi="仿宋" w:eastAsia="仿宋"/>
              </w:rPr>
            </w:pPr>
            <w:r>
              <w:rPr>
                <w:rFonts w:hint="eastAsia" w:ascii="仿宋" w:hAnsi="仿宋" w:eastAsia="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项目编码</w:t>
            </w:r>
          </w:p>
        </w:tc>
        <w:tc>
          <w:tcPr>
            <w:tcW w:w="2410" w:type="dxa"/>
            <w:gridSpan w:val="2"/>
            <w:noWrap w:val="0"/>
            <w:vAlign w:val="center"/>
          </w:tcPr>
          <w:p>
            <w:pPr>
              <w:spacing w:line="300" w:lineRule="exact"/>
              <w:jc w:val="left"/>
              <w:rPr>
                <w:rFonts w:ascii="仿宋" w:hAnsi="仿宋" w:eastAsia="仿宋"/>
              </w:rPr>
            </w:pPr>
            <w:r>
              <w:rPr>
                <w:rFonts w:ascii="仿宋" w:hAnsi="仿宋" w:eastAsia="仿宋"/>
              </w:rPr>
              <w:t>303-0504-JXN-73L2</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项目名称</w:t>
            </w:r>
          </w:p>
        </w:tc>
        <w:tc>
          <w:tcPr>
            <w:tcW w:w="4281" w:type="dxa"/>
            <w:gridSpan w:val="3"/>
            <w:noWrap w:val="0"/>
            <w:vAlign w:val="center"/>
          </w:tcPr>
          <w:p>
            <w:pPr>
              <w:spacing w:line="300" w:lineRule="exact"/>
              <w:jc w:val="left"/>
              <w:rPr>
                <w:rFonts w:ascii="仿宋" w:hAnsi="仿宋" w:eastAsia="仿宋"/>
              </w:rPr>
            </w:pPr>
            <w:r>
              <w:rPr>
                <w:rFonts w:hint="eastAsia" w:ascii="仿宋" w:hAnsi="仿宋" w:eastAsia="仿宋"/>
              </w:rPr>
              <w:t>机关后勤人员经费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预算规模及资金用途</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预算数</w:t>
            </w:r>
          </w:p>
        </w:tc>
        <w:tc>
          <w:tcPr>
            <w:tcW w:w="1276" w:type="dxa"/>
            <w:noWrap w:val="0"/>
            <w:vAlign w:val="center"/>
          </w:tcPr>
          <w:p>
            <w:pPr>
              <w:spacing w:line="300" w:lineRule="exact"/>
              <w:jc w:val="left"/>
              <w:rPr>
                <w:rFonts w:ascii="仿宋" w:hAnsi="仿宋" w:eastAsia="仿宋"/>
              </w:rPr>
            </w:pPr>
            <w:r>
              <w:rPr>
                <w:rFonts w:ascii="仿宋" w:hAnsi="仿宋" w:eastAsia="仿宋"/>
              </w:rPr>
              <w:t>5.28</w:t>
            </w:r>
          </w:p>
        </w:tc>
        <w:tc>
          <w:tcPr>
            <w:tcW w:w="1587" w:type="dxa"/>
            <w:noWrap w:val="0"/>
            <w:vAlign w:val="center"/>
          </w:tcPr>
          <w:p>
            <w:pPr>
              <w:spacing w:line="300" w:lineRule="exact"/>
              <w:jc w:val="center"/>
              <w:rPr>
                <w:rFonts w:ascii="仿宋" w:hAnsi="仿宋" w:eastAsia="仿宋"/>
                <w:b/>
              </w:rPr>
            </w:pPr>
            <w:r>
              <w:rPr>
                <w:rFonts w:hint="eastAsia" w:ascii="仿宋" w:hAnsi="仿宋" w:eastAsia="仿宋"/>
                <w:b/>
              </w:rPr>
              <w:t>其中：财政资金</w:t>
            </w:r>
          </w:p>
        </w:tc>
        <w:tc>
          <w:tcPr>
            <w:tcW w:w="1304" w:type="dxa"/>
            <w:noWrap w:val="0"/>
            <w:vAlign w:val="center"/>
          </w:tcPr>
          <w:p>
            <w:pPr>
              <w:spacing w:line="300" w:lineRule="exact"/>
              <w:jc w:val="left"/>
              <w:rPr>
                <w:rFonts w:ascii="仿宋" w:hAnsi="仿宋" w:eastAsia="仿宋"/>
              </w:rPr>
            </w:pPr>
            <w:r>
              <w:rPr>
                <w:rFonts w:ascii="仿宋" w:hAnsi="仿宋" w:eastAsia="仿宋"/>
              </w:rPr>
              <w:t>5.28</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其他资金</w:t>
            </w:r>
          </w:p>
        </w:tc>
        <w:tc>
          <w:tcPr>
            <w:tcW w:w="1701" w:type="dxa"/>
            <w:noWrap w:val="0"/>
            <w:vAlign w:val="center"/>
          </w:tcPr>
          <w:p>
            <w:pPr>
              <w:spacing w:line="300" w:lineRule="exact"/>
              <w:jc w:val="left"/>
              <w:rPr>
                <w:rFonts w:ascii="仿宋" w:hAns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rPr>
                <w:rFonts w:ascii="仿宋" w:hAnsi="仿宋" w:eastAsia="仿宋"/>
              </w:rPr>
            </w:pPr>
          </w:p>
        </w:tc>
        <w:tc>
          <w:tcPr>
            <w:tcW w:w="8278" w:type="dxa"/>
            <w:gridSpan w:val="6"/>
            <w:noWrap w:val="0"/>
            <w:vAlign w:val="center"/>
          </w:tcPr>
          <w:p>
            <w:pPr>
              <w:spacing w:line="300" w:lineRule="exact"/>
              <w:jc w:val="left"/>
              <w:rPr>
                <w:rFonts w:ascii="仿宋" w:hAnsi="仿宋" w:eastAsia="仿宋"/>
              </w:rPr>
            </w:pPr>
            <w:r>
              <w:rPr>
                <w:rFonts w:hint="eastAsia" w:ascii="仿宋" w:hAnsi="仿宋" w:eastAsia="仿宋"/>
              </w:rPr>
              <w:t>用于机关后勤保安和保洁</w:t>
            </w:r>
            <w:r>
              <w:rPr>
                <w:rFonts w:ascii="仿宋" w:hAnsi="仿宋" w:eastAsia="仿宋"/>
              </w:rPr>
              <w:t>2</w:t>
            </w:r>
            <w:r>
              <w:rPr>
                <w:rFonts w:hint="eastAsia" w:ascii="仿宋" w:hAnsi="仿宋" w:eastAsia="仿宋"/>
              </w:rPr>
              <w:t>名人员劳务费。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仿宋" w:hAnsi="仿宋" w:eastAsia="仿宋"/>
                <w:b/>
              </w:rPr>
            </w:pPr>
            <w:r>
              <w:rPr>
                <w:rFonts w:hint="eastAsia" w:ascii="仿宋" w:hAnsi="仿宋" w:eastAsia="仿宋"/>
                <w:b/>
              </w:rPr>
              <w:t>资金支出计划（</w:t>
            </w:r>
            <w:r>
              <w:rPr>
                <w:rFonts w:ascii="仿宋" w:hAnsi="仿宋" w:eastAsia="仿宋"/>
                <w:b/>
              </w:rPr>
              <w:t>%</w:t>
            </w:r>
            <w:r>
              <w:rPr>
                <w:rFonts w:hint="eastAsia" w:ascii="仿宋" w:hAnsi="仿宋" w:eastAsia="仿宋"/>
                <w:b/>
              </w:rPr>
              <w:t>）</w:t>
            </w:r>
          </w:p>
        </w:tc>
        <w:tc>
          <w:tcPr>
            <w:tcW w:w="2410" w:type="dxa"/>
            <w:gridSpan w:val="2"/>
            <w:noWrap w:val="0"/>
            <w:vAlign w:val="center"/>
          </w:tcPr>
          <w:p>
            <w:pPr>
              <w:spacing w:line="300" w:lineRule="exact"/>
              <w:jc w:val="center"/>
              <w:rPr>
                <w:rFonts w:ascii="仿宋" w:hAnsi="仿宋" w:eastAsia="仿宋"/>
                <w:b/>
              </w:rPr>
            </w:pPr>
            <w:r>
              <w:rPr>
                <w:rFonts w:ascii="仿宋" w:hAnsi="仿宋" w:eastAsia="仿宋"/>
                <w:b/>
              </w:rPr>
              <w:t>3</w:t>
            </w:r>
            <w:r>
              <w:rPr>
                <w:rFonts w:hint="eastAsia" w:ascii="仿宋" w:hAnsi="仿宋" w:eastAsia="仿宋"/>
                <w:b/>
              </w:rPr>
              <w:t>月底</w:t>
            </w:r>
          </w:p>
        </w:tc>
        <w:tc>
          <w:tcPr>
            <w:tcW w:w="1587" w:type="dxa"/>
            <w:noWrap w:val="0"/>
            <w:vAlign w:val="center"/>
          </w:tcPr>
          <w:p>
            <w:pPr>
              <w:spacing w:line="300" w:lineRule="exact"/>
              <w:jc w:val="center"/>
              <w:rPr>
                <w:rFonts w:ascii="仿宋" w:hAnsi="仿宋" w:eastAsia="仿宋"/>
                <w:b/>
              </w:rPr>
            </w:pPr>
            <w:r>
              <w:rPr>
                <w:rFonts w:ascii="仿宋" w:hAnsi="仿宋" w:eastAsia="仿宋"/>
                <w:b/>
              </w:rPr>
              <w:t>6</w:t>
            </w:r>
            <w:r>
              <w:rPr>
                <w:rFonts w:hint="eastAsia" w:ascii="仿宋" w:hAnsi="仿宋" w:eastAsia="仿宋"/>
                <w:b/>
              </w:rPr>
              <w:t>月底</w:t>
            </w:r>
          </w:p>
        </w:tc>
        <w:tc>
          <w:tcPr>
            <w:tcW w:w="1304" w:type="dxa"/>
            <w:noWrap w:val="0"/>
            <w:vAlign w:val="center"/>
          </w:tcPr>
          <w:p>
            <w:pPr>
              <w:spacing w:line="300" w:lineRule="exact"/>
              <w:jc w:val="center"/>
              <w:rPr>
                <w:rFonts w:ascii="仿宋" w:hAnsi="仿宋" w:eastAsia="仿宋"/>
                <w:b/>
              </w:rPr>
            </w:pPr>
            <w:r>
              <w:rPr>
                <w:rFonts w:ascii="仿宋" w:hAnsi="仿宋" w:eastAsia="仿宋"/>
                <w:b/>
              </w:rPr>
              <w:t>10</w:t>
            </w:r>
            <w:r>
              <w:rPr>
                <w:rFonts w:hint="eastAsia" w:ascii="仿宋" w:hAnsi="仿宋" w:eastAsia="仿宋"/>
                <w:b/>
              </w:rPr>
              <w:t>月底</w:t>
            </w:r>
          </w:p>
        </w:tc>
        <w:tc>
          <w:tcPr>
            <w:tcW w:w="2977" w:type="dxa"/>
            <w:gridSpan w:val="2"/>
            <w:noWrap w:val="0"/>
            <w:vAlign w:val="center"/>
          </w:tcPr>
          <w:p>
            <w:pPr>
              <w:spacing w:line="300" w:lineRule="exact"/>
              <w:jc w:val="center"/>
              <w:rPr>
                <w:rFonts w:ascii="仿宋" w:hAnsi="仿宋" w:eastAsia="仿宋"/>
                <w:b/>
              </w:rPr>
            </w:pPr>
            <w:r>
              <w:rPr>
                <w:rFonts w:ascii="仿宋" w:hAnsi="仿宋" w:eastAsia="仿宋"/>
                <w:b/>
              </w:rPr>
              <w:t>12</w:t>
            </w:r>
            <w:r>
              <w:rPr>
                <w:rFonts w:hint="eastAsia" w:ascii="仿宋" w:hAnsi="仿宋" w:eastAsia="仿宋"/>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rPr>
                <w:rFonts w:ascii="仿宋" w:hAnsi="仿宋" w:eastAsia="仿宋"/>
              </w:rPr>
            </w:pPr>
          </w:p>
        </w:tc>
        <w:tc>
          <w:tcPr>
            <w:tcW w:w="2410" w:type="dxa"/>
            <w:gridSpan w:val="2"/>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25.00</w:t>
            </w:r>
          </w:p>
        </w:tc>
        <w:tc>
          <w:tcPr>
            <w:tcW w:w="1587"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50.00</w:t>
            </w:r>
          </w:p>
        </w:tc>
        <w:tc>
          <w:tcPr>
            <w:tcW w:w="1304" w:type="dxa"/>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75.00</w:t>
            </w:r>
          </w:p>
        </w:tc>
        <w:tc>
          <w:tcPr>
            <w:tcW w:w="2977" w:type="dxa"/>
            <w:gridSpan w:val="2"/>
            <w:tcBorders>
              <w:bottom w:val="single" w:color="000000" w:sz="6" w:space="0"/>
            </w:tcBorders>
            <w:noWrap w:val="0"/>
            <w:vAlign w:val="center"/>
          </w:tcPr>
          <w:p>
            <w:pPr>
              <w:spacing w:line="300" w:lineRule="exact"/>
              <w:jc w:val="center"/>
              <w:rPr>
                <w:rFonts w:ascii="仿宋" w:hAnsi="仿宋" w:eastAsia="仿宋"/>
              </w:rPr>
            </w:pPr>
            <w:r>
              <w:rPr>
                <w:rFonts w:ascii="仿宋" w:hAnsi="仿宋" w:eastAsia="仿宋"/>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仿宋" w:hAnsi="仿宋" w:eastAsia="仿宋"/>
                <w:b/>
              </w:rPr>
            </w:pPr>
            <w:r>
              <w:rPr>
                <w:rFonts w:hint="eastAsia" w:ascii="仿宋" w:hAnsi="仿宋" w:eastAsia="仿宋"/>
                <w:b/>
              </w:rPr>
              <w:t>绩效目标</w:t>
            </w:r>
          </w:p>
        </w:tc>
        <w:tc>
          <w:tcPr>
            <w:tcW w:w="8278" w:type="dxa"/>
            <w:gridSpan w:val="6"/>
            <w:tcBorders>
              <w:bottom w:val="nil"/>
            </w:tcBorders>
            <w:noWrap w:val="0"/>
            <w:vAlign w:val="center"/>
          </w:tcPr>
          <w:p>
            <w:pPr>
              <w:spacing w:line="300" w:lineRule="exact"/>
              <w:jc w:val="left"/>
              <w:rPr>
                <w:rFonts w:ascii="仿宋" w:hAnsi="仿宋" w:eastAsia="仿宋"/>
              </w:rPr>
            </w:pPr>
            <w:r>
              <w:rPr>
                <w:rFonts w:ascii="仿宋" w:hAnsi="仿宋" w:eastAsia="仿宋"/>
              </w:rPr>
              <w:t>1</w:t>
            </w:r>
            <w:r>
              <w:rPr>
                <w:rFonts w:hint="eastAsia" w:ascii="仿宋" w:hAnsi="仿宋" w:eastAsia="仿宋"/>
              </w:rPr>
              <w:t>、按要求配备人员</w:t>
            </w:r>
          </w:p>
          <w:p>
            <w:pPr>
              <w:spacing w:line="300" w:lineRule="exact"/>
              <w:jc w:val="left"/>
              <w:rPr>
                <w:rFonts w:ascii="仿宋" w:hAnsi="仿宋" w:eastAsia="仿宋"/>
              </w:rPr>
            </w:pPr>
            <w:r>
              <w:rPr>
                <w:rFonts w:ascii="仿宋" w:hAnsi="仿宋" w:eastAsia="仿宋"/>
              </w:rPr>
              <w:t>2</w:t>
            </w:r>
            <w:r>
              <w:rPr>
                <w:rFonts w:hint="eastAsia" w:ascii="仿宋" w:hAnsi="仿宋" w:eastAsia="仿宋"/>
              </w:rPr>
              <w:t>、按时发放劳务费</w:t>
            </w:r>
          </w:p>
        </w:tc>
      </w:tr>
    </w:tbl>
    <w:p>
      <w:pPr>
        <w:spacing w:line="14" w:lineRule="exact"/>
        <w:ind w:firstLine="420" w:firstLineChars="200"/>
        <w:jc w:val="center"/>
        <w:rPr>
          <w:rFonts w:ascii="仿宋" w:hAnsi="仿宋" w:eastAsia="仿宋"/>
        </w:rPr>
      </w:pPr>
      <w:r>
        <w:rPr>
          <w:rFonts w:ascii="仿宋" w:hAnsi="仿宋" w:eastAsia="仿宋"/>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仿宋" w:hAnsi="仿宋" w:eastAsia="仿宋"/>
                <w:b/>
              </w:rPr>
            </w:pPr>
            <w:r>
              <w:rPr>
                <w:rFonts w:hint="eastAsia" w:ascii="仿宋" w:hAnsi="仿宋" w:eastAsia="仿宋"/>
                <w:b/>
              </w:rPr>
              <w:t>一级指标</w:t>
            </w:r>
          </w:p>
        </w:tc>
        <w:tc>
          <w:tcPr>
            <w:tcW w:w="1134" w:type="dxa"/>
            <w:noWrap w:val="0"/>
            <w:vAlign w:val="center"/>
          </w:tcPr>
          <w:p>
            <w:pPr>
              <w:spacing w:line="300" w:lineRule="exact"/>
              <w:jc w:val="center"/>
              <w:rPr>
                <w:rFonts w:ascii="仿宋" w:hAnsi="仿宋" w:eastAsia="仿宋"/>
                <w:b/>
              </w:rPr>
            </w:pPr>
            <w:r>
              <w:rPr>
                <w:rFonts w:hint="eastAsia" w:ascii="仿宋" w:hAnsi="仿宋" w:eastAsia="仿宋"/>
                <w:b/>
              </w:rPr>
              <w:t>二级指标</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三级指标</w:t>
            </w:r>
          </w:p>
        </w:tc>
        <w:tc>
          <w:tcPr>
            <w:tcW w:w="2891" w:type="dxa"/>
            <w:noWrap w:val="0"/>
            <w:vAlign w:val="center"/>
          </w:tcPr>
          <w:p>
            <w:pPr>
              <w:spacing w:line="300" w:lineRule="exact"/>
              <w:jc w:val="center"/>
              <w:rPr>
                <w:rFonts w:ascii="仿宋" w:hAnsi="仿宋" w:eastAsia="仿宋"/>
                <w:b/>
              </w:rPr>
            </w:pPr>
            <w:r>
              <w:rPr>
                <w:rFonts w:hint="eastAsia" w:ascii="仿宋" w:hAnsi="仿宋" w:eastAsia="仿宋"/>
                <w:b/>
              </w:rPr>
              <w:t>绩效指标描述</w:t>
            </w:r>
          </w:p>
        </w:tc>
        <w:tc>
          <w:tcPr>
            <w:tcW w:w="1276" w:type="dxa"/>
            <w:noWrap w:val="0"/>
            <w:vAlign w:val="center"/>
          </w:tcPr>
          <w:p>
            <w:pPr>
              <w:spacing w:line="300" w:lineRule="exact"/>
              <w:jc w:val="center"/>
              <w:rPr>
                <w:rFonts w:ascii="仿宋" w:hAnsi="仿宋" w:eastAsia="仿宋"/>
                <w:b/>
              </w:rPr>
            </w:pPr>
            <w:r>
              <w:rPr>
                <w:rFonts w:hint="eastAsia" w:ascii="仿宋" w:hAnsi="仿宋" w:eastAsia="仿宋"/>
                <w:b/>
              </w:rPr>
              <w:t>指标值</w:t>
            </w:r>
          </w:p>
        </w:tc>
        <w:tc>
          <w:tcPr>
            <w:tcW w:w="1701" w:type="dxa"/>
            <w:noWrap w:val="0"/>
            <w:vAlign w:val="center"/>
          </w:tcPr>
          <w:p>
            <w:pPr>
              <w:spacing w:line="300" w:lineRule="exact"/>
              <w:jc w:val="center"/>
              <w:rPr>
                <w:rFonts w:ascii="仿宋" w:hAnsi="仿宋" w:eastAsia="仿宋"/>
                <w:b/>
              </w:rPr>
            </w:pPr>
            <w:r>
              <w:rPr>
                <w:rFonts w:hint="eastAsia" w:ascii="仿宋" w:hAnsi="仿宋" w:eastAsia="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仿宋" w:hAnsi="仿宋" w:eastAsia="仿宋"/>
              </w:rPr>
            </w:pPr>
            <w:r>
              <w:rPr>
                <w:rFonts w:hint="eastAsia" w:ascii="仿宋" w:hAnsi="仿宋" w:eastAsia="仿宋"/>
              </w:rPr>
              <w:t>产出指标</w:t>
            </w:r>
          </w:p>
        </w:tc>
        <w:tc>
          <w:tcPr>
            <w:tcW w:w="1134" w:type="dxa"/>
            <w:noWrap w:val="0"/>
            <w:vAlign w:val="center"/>
          </w:tcPr>
          <w:p>
            <w:pPr>
              <w:spacing w:line="300" w:lineRule="exact"/>
              <w:jc w:val="left"/>
              <w:rPr>
                <w:rFonts w:ascii="仿宋" w:hAnsi="仿宋" w:eastAsia="仿宋"/>
              </w:rPr>
            </w:pPr>
            <w:r>
              <w:rPr>
                <w:rFonts w:hint="eastAsia" w:ascii="仿宋" w:hAnsi="仿宋" w:eastAsia="仿宋"/>
              </w:rPr>
              <w:t>数量指标</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配备人员</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配备人员数量</w:t>
            </w:r>
          </w:p>
        </w:tc>
        <w:tc>
          <w:tcPr>
            <w:tcW w:w="1276" w:type="dxa"/>
            <w:noWrap w:val="0"/>
            <w:vAlign w:val="center"/>
          </w:tcPr>
          <w:p>
            <w:pPr>
              <w:spacing w:line="300" w:lineRule="exact"/>
              <w:jc w:val="left"/>
              <w:rPr>
                <w:rFonts w:ascii="仿宋" w:hAnsi="仿宋" w:eastAsia="仿宋"/>
              </w:rPr>
            </w:pPr>
            <w:r>
              <w:rPr>
                <w:rFonts w:ascii="仿宋" w:hAnsi="仿宋" w:eastAsia="仿宋"/>
              </w:rPr>
              <w:t>2</w:t>
            </w:r>
            <w:r>
              <w:rPr>
                <w:rFonts w:hint="eastAsia" w:ascii="仿宋" w:hAnsi="仿宋" w:eastAsia="仿宋"/>
              </w:rPr>
              <w:t>名</w:t>
            </w:r>
          </w:p>
        </w:tc>
        <w:tc>
          <w:tcPr>
            <w:tcW w:w="1701" w:type="dxa"/>
            <w:noWrap w:val="0"/>
            <w:vAlign w:val="center"/>
          </w:tcPr>
          <w:p>
            <w:pPr>
              <w:spacing w:line="300" w:lineRule="exact"/>
              <w:jc w:val="left"/>
              <w:rPr>
                <w:rFonts w:ascii="仿宋" w:hAnsi="仿宋" w:eastAsia="仿宋"/>
              </w:rPr>
            </w:pPr>
            <w:r>
              <w:rPr>
                <w:rFonts w:hint="eastAsia" w:ascii="仿宋" w:hAnsi="仿宋" w:eastAsia="仿宋"/>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仿宋" w:hAnsi="仿宋" w:eastAsia="仿宋"/>
              </w:rPr>
            </w:pP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时效指标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发放率</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劳务费按时发放占应发放比例</w:t>
            </w:r>
          </w:p>
        </w:tc>
        <w:tc>
          <w:tcPr>
            <w:tcW w:w="1276" w:type="dxa"/>
            <w:noWrap w:val="0"/>
            <w:vAlign w:val="center"/>
          </w:tcPr>
          <w:p>
            <w:pPr>
              <w:spacing w:line="300" w:lineRule="exact"/>
              <w:jc w:val="left"/>
              <w:rPr>
                <w:rFonts w:ascii="仿宋" w:hAnsi="仿宋" w:eastAsia="仿宋"/>
              </w:rPr>
            </w:pPr>
            <w:r>
              <w:rPr>
                <w:rFonts w:ascii="仿宋" w:hAnsi="仿宋" w:eastAsia="仿宋"/>
              </w:rPr>
              <w:t>100%</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仿宋" w:hAnsi="仿宋" w:eastAsia="仿宋"/>
              </w:rPr>
            </w:pPr>
            <w:r>
              <w:rPr>
                <w:rFonts w:hint="eastAsia" w:ascii="仿宋" w:hAnsi="仿宋" w:eastAsia="仿宋"/>
              </w:rPr>
              <w:t>满意度指标</w:t>
            </w:r>
          </w:p>
        </w:tc>
        <w:tc>
          <w:tcPr>
            <w:tcW w:w="1134" w:type="dxa"/>
            <w:noWrap w:val="0"/>
            <w:vAlign w:val="center"/>
          </w:tcPr>
          <w:p>
            <w:pPr>
              <w:spacing w:line="300" w:lineRule="exact"/>
              <w:jc w:val="left"/>
              <w:rPr>
                <w:rFonts w:hint="eastAsia" w:ascii="仿宋" w:hAnsi="仿宋" w:eastAsia="仿宋"/>
              </w:rPr>
            </w:pPr>
            <w:r>
              <w:rPr>
                <w:rFonts w:hint="eastAsia" w:ascii="仿宋" w:hAnsi="仿宋" w:eastAsia="仿宋"/>
              </w:rPr>
              <w:t>服务对象满意度指标</w:t>
            </w:r>
          </w:p>
        </w:tc>
        <w:tc>
          <w:tcPr>
            <w:tcW w:w="1276" w:type="dxa"/>
            <w:noWrap w:val="0"/>
            <w:vAlign w:val="center"/>
          </w:tcPr>
          <w:p>
            <w:pPr>
              <w:spacing w:line="300" w:lineRule="exact"/>
              <w:jc w:val="left"/>
              <w:rPr>
                <w:rFonts w:hint="eastAsia" w:ascii="仿宋" w:hAnsi="仿宋" w:eastAsia="仿宋"/>
              </w:rPr>
            </w:pPr>
            <w:r>
              <w:rPr>
                <w:rFonts w:hint="eastAsia" w:ascii="仿宋" w:hAnsi="仿宋" w:eastAsia="仿宋"/>
              </w:rPr>
              <w:t>工作人员对单位满意情况</w:t>
            </w:r>
          </w:p>
        </w:tc>
        <w:tc>
          <w:tcPr>
            <w:tcW w:w="2891" w:type="dxa"/>
            <w:noWrap w:val="0"/>
            <w:vAlign w:val="center"/>
          </w:tcPr>
          <w:p>
            <w:pPr>
              <w:spacing w:line="300" w:lineRule="exact"/>
              <w:jc w:val="left"/>
              <w:rPr>
                <w:rFonts w:ascii="仿宋" w:hAnsi="仿宋" w:eastAsia="仿宋"/>
              </w:rPr>
            </w:pPr>
            <w:r>
              <w:rPr>
                <w:rFonts w:hint="eastAsia" w:ascii="仿宋" w:hAnsi="仿宋" w:eastAsia="仿宋"/>
              </w:rPr>
              <w:t>工作人员对服务单位的满意情况</w:t>
            </w:r>
          </w:p>
        </w:tc>
        <w:tc>
          <w:tcPr>
            <w:tcW w:w="1276" w:type="dxa"/>
            <w:noWrap w:val="0"/>
            <w:vAlign w:val="center"/>
          </w:tcPr>
          <w:p>
            <w:pPr>
              <w:spacing w:line="300" w:lineRule="exact"/>
              <w:jc w:val="left"/>
              <w:rPr>
                <w:rFonts w:ascii="仿宋" w:hAnsi="仿宋" w:eastAsia="仿宋"/>
              </w:rPr>
            </w:pPr>
            <w:r>
              <w:rPr>
                <w:rFonts w:hint="eastAsia" w:ascii="仿宋" w:hAnsi="仿宋" w:eastAsia="仿宋"/>
              </w:rPr>
              <w:t>满意</w:t>
            </w:r>
          </w:p>
        </w:tc>
        <w:tc>
          <w:tcPr>
            <w:tcW w:w="1701" w:type="dxa"/>
            <w:noWrap w:val="0"/>
            <w:vAlign w:val="center"/>
          </w:tcPr>
          <w:p>
            <w:pPr>
              <w:spacing w:line="300" w:lineRule="exact"/>
              <w:jc w:val="left"/>
              <w:rPr>
                <w:rFonts w:hint="eastAsia" w:ascii="仿宋" w:hAnsi="仿宋" w:eastAsia="仿宋"/>
              </w:rPr>
            </w:pPr>
            <w:r>
              <w:rPr>
                <w:rFonts w:hint="eastAsia" w:ascii="仿宋" w:hAnsi="仿宋" w:eastAsia="仿宋"/>
              </w:rPr>
              <w:t>工作要求</w:t>
            </w:r>
          </w:p>
        </w:tc>
      </w:tr>
    </w:tbl>
    <w:p>
      <w:pPr>
        <w:spacing w:line="300" w:lineRule="exact"/>
        <w:jc w:val="left"/>
        <w:rPr>
          <w:rFonts w:ascii="仿宋" w:hAnsi="仿宋" w:eastAsia="仿宋"/>
        </w:rPr>
        <w:sectPr>
          <w:pgSz w:w="11907" w:h="16839"/>
          <w:pgMar w:top="1984" w:right="1304" w:bottom="1134" w:left="1304" w:header="851" w:footer="992" w:gutter="0"/>
          <w:cols w:space="720" w:num="1"/>
          <w:docGrid w:type="lines" w:linePitch="312" w:charSpace="0"/>
        </w:sectPr>
      </w:pPr>
    </w:p>
    <w:p>
      <w:pPr>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第六部分：政府采购预算情况</w:t>
      </w:r>
    </w:p>
    <w:p>
      <w:pPr>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2020年，我部门没有安排采购预算，空表列示。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8"/>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Cs w:val="24"/>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sz w:val="22"/>
                <w:szCs w:val="24"/>
              </w:rPr>
              <w:t>0</w:t>
            </w:r>
          </w:p>
        </w:tc>
      </w:tr>
    </w:tbl>
    <w:p>
      <w:pPr>
        <w:jc w:val="left"/>
        <w:outlineLvl w:val="0"/>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第七部分：国有资产信息情况说明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保定市满城区发展改革局2019年末固定资产总金额80.7872万元（详见下表）。 2020年我部门无国有资产购置计划。</w:t>
      </w:r>
    </w:p>
    <w:tbl>
      <w:tblPr>
        <w:tblStyle w:val="8"/>
        <w:tblW w:w="8804" w:type="dxa"/>
        <w:tblInd w:w="93" w:type="dxa"/>
        <w:tblLayout w:type="autofit"/>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32"/>
                <w:szCs w:val="32"/>
              </w:rPr>
              <w:t>保定市满城区发展改革局固定资产占用情况表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 xml:space="preserve">                           截止时间：2019年12月31日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项　　目</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数量</w:t>
            </w:r>
          </w:p>
        </w:tc>
        <w:tc>
          <w:tcPr>
            <w:tcW w:w="3402"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固定资产总额</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3402"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80.7872</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3402"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3402"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3402"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61.0152</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3402"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3402"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19.7720</w:t>
            </w:r>
          </w:p>
        </w:tc>
      </w:tr>
    </w:tbl>
    <w:p>
      <w:pPr>
        <w:spacing w:line="520" w:lineRule="exact"/>
        <w:ind w:firstLine="640" w:firstLineChars="200"/>
        <w:jc w:val="center"/>
        <w:rPr>
          <w:rFonts w:hint="eastAsia" w:ascii="仿宋_GB2312" w:hAnsi="仿宋_GB2312" w:eastAsia="仿宋_GB2312" w:cs="仿宋_GB2312"/>
          <w:sz w:val="32"/>
          <w:szCs w:val="32"/>
        </w:rPr>
      </w:pPr>
    </w:p>
    <w:p>
      <w:pPr>
        <w:spacing w:line="520" w:lineRule="exact"/>
        <w:jc w:val="center"/>
        <w:outlineLvl w:val="0"/>
        <w:rPr>
          <w:rFonts w:hint="eastAsia" w:ascii="仿宋_GB2312" w:hAnsi="仿宋_GB2312" w:eastAsia="仿宋_GB2312" w:cs="仿宋_GB2312"/>
          <w:sz w:val="32"/>
          <w:szCs w:val="32"/>
        </w:rPr>
      </w:pPr>
    </w:p>
    <w:p>
      <w:pPr>
        <w:spacing w:line="520" w:lineRule="exact"/>
        <w:ind w:firstLine="640" w:firstLineChars="200"/>
        <w:jc w:val="left"/>
        <w:outlineLvl w:val="0"/>
        <w:rPr>
          <w:rFonts w:hint="eastAsia" w:ascii="仿宋_GB2312" w:hAnsi="仿宋_GB2312" w:eastAsia="仿宋_GB2312" w:cs="仿宋_GB2312"/>
          <w:sz w:val="32"/>
          <w:szCs w:val="32"/>
        </w:rPr>
      </w:pPr>
    </w:p>
    <w:p>
      <w:pPr>
        <w:spacing w:line="50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第八部分：名词解释</w:t>
      </w:r>
    </w:p>
    <w:p>
      <w:pPr>
        <w:spacing w:line="500" w:lineRule="exact"/>
        <w:jc w:val="center"/>
        <w:outlineLvl w:val="0"/>
        <w:rPr>
          <w:rFonts w:hint="eastAsia" w:ascii="仿宋_GB2312" w:hAnsi="仿宋_GB2312" w:eastAsia="仿宋_GB2312" w:cs="仿宋_GB2312"/>
          <w:b/>
          <w:sz w:val="32"/>
          <w:szCs w:val="32"/>
        </w:rPr>
      </w:pPr>
    </w:p>
    <w:p>
      <w:pPr>
        <w:spacing w:line="500" w:lineRule="exact"/>
        <w:ind w:firstLine="643"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1、财政拨款收入：</w:t>
      </w:r>
      <w:r>
        <w:rPr>
          <w:rFonts w:hint="eastAsia" w:ascii="仿宋_GB2312" w:hAnsi="仿宋_GB2312" w:eastAsia="仿宋_GB2312" w:cs="仿宋_GB2312"/>
          <w:sz w:val="32"/>
          <w:szCs w:val="32"/>
        </w:rPr>
        <w:t>指区级财政当年拨付的资金。</w:t>
      </w:r>
    </w:p>
    <w:p>
      <w:pPr>
        <w:spacing w:line="500" w:lineRule="exact"/>
        <w:ind w:firstLine="643"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2、基本支出：</w:t>
      </w:r>
      <w:r>
        <w:rPr>
          <w:rFonts w:hint="eastAsia" w:ascii="仿宋_GB2312" w:hAnsi="仿宋_GB2312" w:eastAsia="仿宋_GB2312" w:cs="仿宋_GB2312"/>
          <w:sz w:val="32"/>
          <w:szCs w:val="32"/>
        </w:rPr>
        <w:t>指为保障机构正常运转、完成日常工作任务而发生的人员支出和公用支出。</w:t>
      </w:r>
    </w:p>
    <w:p>
      <w:pPr>
        <w:spacing w:line="500" w:lineRule="exact"/>
        <w:ind w:firstLine="643"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3、项目支出：</w:t>
      </w:r>
      <w:r>
        <w:rPr>
          <w:rFonts w:hint="eastAsia" w:ascii="仿宋_GB2312" w:hAnsi="仿宋_GB2312" w:eastAsia="仿宋_GB2312" w:cs="仿宋_GB2312"/>
          <w:sz w:val="32"/>
          <w:szCs w:val="32"/>
        </w:rPr>
        <w:t>指在基本支出之外为完成特定行政任务和事业发展目标所发生的支出。</w:t>
      </w:r>
    </w:p>
    <w:p>
      <w:pPr>
        <w:spacing w:line="500" w:lineRule="exact"/>
        <w:ind w:firstLine="643"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4、“三公”经费：</w:t>
      </w:r>
      <w:r>
        <w:rPr>
          <w:rFonts w:hint="eastAsia" w:ascii="仿宋_GB2312" w:hAnsi="仿宋_GB2312" w:eastAsia="仿宋_GB2312" w:cs="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6、机关运行费：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7、日常公用经费：</w:t>
      </w:r>
      <w:r>
        <w:rPr>
          <w:rFonts w:hint="eastAsia" w:ascii="仿宋_GB2312" w:hAnsi="仿宋_GB2312" w:eastAsia="仿宋_GB2312" w:cs="仿宋_GB2312"/>
          <w:sz w:val="32"/>
          <w:szCs w:val="32"/>
        </w:rPr>
        <w:t>包括办公费、水电费、邮电费、取暖费、交通费、一般会议费和物业管理费之和。</w:t>
      </w:r>
    </w:p>
    <w:p>
      <w:pPr>
        <w:spacing w:line="500" w:lineRule="exact"/>
        <w:ind w:firstLine="627" w:firstLineChars="196"/>
        <w:jc w:val="center"/>
        <w:outlineLvl w:val="0"/>
        <w:rPr>
          <w:rFonts w:hint="eastAsia" w:ascii="仿宋_GB2312" w:hAnsi="仿宋_GB2312" w:eastAsia="仿宋_GB2312" w:cs="仿宋_GB2312"/>
          <w:sz w:val="32"/>
          <w:szCs w:val="32"/>
        </w:rPr>
      </w:pPr>
    </w:p>
    <w:p>
      <w:pPr>
        <w:spacing w:line="50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第九部分：其他需说明的事项</w:t>
      </w:r>
    </w:p>
    <w:p>
      <w:pPr>
        <w:spacing w:line="500" w:lineRule="exact"/>
        <w:ind w:firstLine="1264" w:firstLineChars="395"/>
        <w:jc w:val="left"/>
        <w:outlineLvl w:val="0"/>
        <w:rPr>
          <w:rFonts w:hint="eastAsia" w:ascii="仿宋_GB2312" w:hAnsi="仿宋_GB2312" w:eastAsia="仿宋_GB2312" w:cs="仿宋_GB2312"/>
          <w:sz w:val="32"/>
          <w:szCs w:val="32"/>
        </w:rPr>
      </w:pPr>
    </w:p>
    <w:p>
      <w:pPr>
        <w:spacing w:line="500" w:lineRule="exact"/>
        <w:ind w:firstLine="640" w:firstLineChars="200"/>
        <w:jc w:val="left"/>
        <w:outlineLvl w:val="0"/>
        <w:rPr>
          <w:rFonts w:ascii="仿宋_GB2312" w:hAnsi="仿宋_GB2312" w:eastAsia="仿宋_GB2312" w:cs="仿宋_GB2312"/>
          <w:sz w:val="32"/>
          <w:szCs w:val="32"/>
        </w:rPr>
        <w:sectPr>
          <w:pgSz w:w="11907" w:h="16839"/>
          <w:pgMar w:top="1984" w:right="1304" w:bottom="1134" w:left="1304" w:header="851" w:footer="992" w:gutter="0"/>
          <w:cols w:space="720" w:num="1"/>
          <w:docGrid w:type="lines" w:linePitch="312" w:charSpace="0"/>
        </w:sectPr>
      </w:pPr>
      <w:r>
        <w:rPr>
          <w:rFonts w:hint="eastAsia" w:ascii="仿宋_GB2312" w:hAnsi="仿宋_GB2312" w:eastAsia="仿宋_GB2312" w:cs="仿宋_GB2312"/>
          <w:sz w:val="32"/>
          <w:szCs w:val="32"/>
        </w:rPr>
        <w:t>无其他需说明的事项。</w:t>
      </w:r>
    </w:p>
    <w:p>
      <w:pPr>
        <w:spacing w:line="300" w:lineRule="exact"/>
        <w:jc w:val="left"/>
        <w:sectPr>
          <w:pgSz w:w="11907" w:h="16839"/>
          <w:pgMar w:top="1984" w:right="1304" w:bottom="1134" w:left="1304" w:header="851" w:footer="992" w:gutter="0"/>
          <w:cols w:space="720" w:num="1"/>
          <w:docGrid w:type="lines" w:linePitch="312" w:charSpace="0"/>
        </w:sectPr>
      </w:pPr>
    </w:p>
    <w:p>
      <w:pPr>
        <w:outlineLvl w:val="0"/>
        <w:rPr>
          <w:rFonts w:hint="eastAsia" w:ascii="仿宋_GB2312" w:hAnsi="仿宋_GB2312" w:eastAsia="仿宋_GB2312" w:cs="仿宋_GB2312"/>
          <w:color w:val="FFFFFF"/>
          <w:sz w:val="32"/>
        </w:rPr>
        <w:sectPr>
          <w:pgSz w:w="11907" w:h="16839"/>
          <w:pgMar w:top="1361" w:right="1021" w:bottom="1361" w:left="1021" w:header="851" w:footer="992" w:gutter="0"/>
          <w:cols w:space="720" w:num="1"/>
          <w:docGrid w:type="lines" w:linePitch="312" w:charSpace="0"/>
        </w:sectPr>
      </w:pPr>
    </w:p>
    <w:p>
      <w:pPr>
        <w:rPr>
          <w:rFonts w:hint="eastAsia" w:ascii="仿宋_GB2312" w:hAnsi="仿宋_GB2312" w:eastAsia="仿宋_GB2312" w:cs="仿宋_GB2312"/>
          <w:sz w:val="32"/>
          <w:szCs w:val="32"/>
        </w:rPr>
      </w:pP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NTVhNjM4NzlkMzdkMjBlM2U5NTBiN2YyZTIxZjUifQ=="/>
  </w:docVars>
  <w:rsids>
    <w:rsidRoot w:val="00CB60A0"/>
    <w:rsid w:val="00015C36"/>
    <w:rsid w:val="0002241E"/>
    <w:rsid w:val="00027501"/>
    <w:rsid w:val="000A13B3"/>
    <w:rsid w:val="000A6D4E"/>
    <w:rsid w:val="000B0138"/>
    <w:rsid w:val="000C6570"/>
    <w:rsid w:val="000C6A64"/>
    <w:rsid w:val="000E0F9A"/>
    <w:rsid w:val="000F373C"/>
    <w:rsid w:val="000F5E7D"/>
    <w:rsid w:val="00111F39"/>
    <w:rsid w:val="00120705"/>
    <w:rsid w:val="0012577A"/>
    <w:rsid w:val="001631F6"/>
    <w:rsid w:val="00193698"/>
    <w:rsid w:val="001A0B89"/>
    <w:rsid w:val="001D5E49"/>
    <w:rsid w:val="001F6A3F"/>
    <w:rsid w:val="001F7961"/>
    <w:rsid w:val="00227EB5"/>
    <w:rsid w:val="00261931"/>
    <w:rsid w:val="00280335"/>
    <w:rsid w:val="002A2666"/>
    <w:rsid w:val="002D4820"/>
    <w:rsid w:val="002D4851"/>
    <w:rsid w:val="002F0279"/>
    <w:rsid w:val="0031096A"/>
    <w:rsid w:val="00330114"/>
    <w:rsid w:val="00337D2A"/>
    <w:rsid w:val="0034678A"/>
    <w:rsid w:val="00357490"/>
    <w:rsid w:val="003A609B"/>
    <w:rsid w:val="003A6ADC"/>
    <w:rsid w:val="003B5509"/>
    <w:rsid w:val="0040217F"/>
    <w:rsid w:val="00404251"/>
    <w:rsid w:val="00421293"/>
    <w:rsid w:val="004226CB"/>
    <w:rsid w:val="00435EF2"/>
    <w:rsid w:val="00455FF5"/>
    <w:rsid w:val="004641A1"/>
    <w:rsid w:val="00473635"/>
    <w:rsid w:val="0049258C"/>
    <w:rsid w:val="0049622D"/>
    <w:rsid w:val="004C7932"/>
    <w:rsid w:val="004D0BF0"/>
    <w:rsid w:val="004D7BFB"/>
    <w:rsid w:val="004E0B11"/>
    <w:rsid w:val="004E5EA1"/>
    <w:rsid w:val="004F6252"/>
    <w:rsid w:val="00502ECF"/>
    <w:rsid w:val="005229F0"/>
    <w:rsid w:val="00524B25"/>
    <w:rsid w:val="005267DC"/>
    <w:rsid w:val="0053244C"/>
    <w:rsid w:val="00587E61"/>
    <w:rsid w:val="005C5456"/>
    <w:rsid w:val="005E6A6D"/>
    <w:rsid w:val="005E6D30"/>
    <w:rsid w:val="005F3A08"/>
    <w:rsid w:val="00623B95"/>
    <w:rsid w:val="0062631B"/>
    <w:rsid w:val="0063487B"/>
    <w:rsid w:val="0063786E"/>
    <w:rsid w:val="00655A14"/>
    <w:rsid w:val="00682A88"/>
    <w:rsid w:val="00691848"/>
    <w:rsid w:val="00693789"/>
    <w:rsid w:val="006A7697"/>
    <w:rsid w:val="006B24DA"/>
    <w:rsid w:val="006B5CD3"/>
    <w:rsid w:val="0070502F"/>
    <w:rsid w:val="00733E67"/>
    <w:rsid w:val="0073562D"/>
    <w:rsid w:val="007405DF"/>
    <w:rsid w:val="00741245"/>
    <w:rsid w:val="00742AF8"/>
    <w:rsid w:val="00752A9A"/>
    <w:rsid w:val="00755A57"/>
    <w:rsid w:val="00757848"/>
    <w:rsid w:val="00761B0E"/>
    <w:rsid w:val="0077741B"/>
    <w:rsid w:val="007C01CA"/>
    <w:rsid w:val="007C7EEA"/>
    <w:rsid w:val="007E29E0"/>
    <w:rsid w:val="007E3E18"/>
    <w:rsid w:val="007F51EC"/>
    <w:rsid w:val="008257EB"/>
    <w:rsid w:val="008362B4"/>
    <w:rsid w:val="008472F5"/>
    <w:rsid w:val="00847BB8"/>
    <w:rsid w:val="00860ADB"/>
    <w:rsid w:val="008C22EC"/>
    <w:rsid w:val="008C7D90"/>
    <w:rsid w:val="008E58B2"/>
    <w:rsid w:val="008F5C6B"/>
    <w:rsid w:val="0091487A"/>
    <w:rsid w:val="009210D0"/>
    <w:rsid w:val="00966566"/>
    <w:rsid w:val="009723B2"/>
    <w:rsid w:val="0097283A"/>
    <w:rsid w:val="00975025"/>
    <w:rsid w:val="0098017F"/>
    <w:rsid w:val="00997160"/>
    <w:rsid w:val="009C0521"/>
    <w:rsid w:val="009C0F36"/>
    <w:rsid w:val="009C1C6E"/>
    <w:rsid w:val="009D3D40"/>
    <w:rsid w:val="009D7185"/>
    <w:rsid w:val="009E16AC"/>
    <w:rsid w:val="009E5FAA"/>
    <w:rsid w:val="00A1436D"/>
    <w:rsid w:val="00A42CC5"/>
    <w:rsid w:val="00A72D49"/>
    <w:rsid w:val="00A7420E"/>
    <w:rsid w:val="00A87C81"/>
    <w:rsid w:val="00AA2330"/>
    <w:rsid w:val="00B13960"/>
    <w:rsid w:val="00B27D35"/>
    <w:rsid w:val="00B353E4"/>
    <w:rsid w:val="00B40DBD"/>
    <w:rsid w:val="00B64CA7"/>
    <w:rsid w:val="00B84A64"/>
    <w:rsid w:val="00B86E9A"/>
    <w:rsid w:val="00BA079F"/>
    <w:rsid w:val="00BA0FDD"/>
    <w:rsid w:val="00BB6827"/>
    <w:rsid w:val="00BC3641"/>
    <w:rsid w:val="00BE2B2D"/>
    <w:rsid w:val="00BF4FF8"/>
    <w:rsid w:val="00C417EB"/>
    <w:rsid w:val="00C67481"/>
    <w:rsid w:val="00C81DE0"/>
    <w:rsid w:val="00CA742F"/>
    <w:rsid w:val="00CB60A0"/>
    <w:rsid w:val="00CF149D"/>
    <w:rsid w:val="00D42A2C"/>
    <w:rsid w:val="00D50E53"/>
    <w:rsid w:val="00D92117"/>
    <w:rsid w:val="00DC703A"/>
    <w:rsid w:val="00DF001D"/>
    <w:rsid w:val="00E42877"/>
    <w:rsid w:val="00E527DA"/>
    <w:rsid w:val="00E96B61"/>
    <w:rsid w:val="00EA3466"/>
    <w:rsid w:val="00EC30C7"/>
    <w:rsid w:val="00EF7345"/>
    <w:rsid w:val="00F02138"/>
    <w:rsid w:val="00F06CFF"/>
    <w:rsid w:val="00F12C3E"/>
    <w:rsid w:val="00F200F7"/>
    <w:rsid w:val="00F43746"/>
    <w:rsid w:val="00F817AB"/>
    <w:rsid w:val="00F82021"/>
    <w:rsid w:val="00F841A4"/>
    <w:rsid w:val="00FA448E"/>
    <w:rsid w:val="04092B32"/>
    <w:rsid w:val="0CC77793"/>
    <w:rsid w:val="0F5D1AE7"/>
    <w:rsid w:val="13685F9A"/>
    <w:rsid w:val="15C27171"/>
    <w:rsid w:val="17246E95"/>
    <w:rsid w:val="1BE25E29"/>
    <w:rsid w:val="23A62A06"/>
    <w:rsid w:val="242B4134"/>
    <w:rsid w:val="260B5488"/>
    <w:rsid w:val="2DCD1FD5"/>
    <w:rsid w:val="2ED0220D"/>
    <w:rsid w:val="2F617BF3"/>
    <w:rsid w:val="31C87844"/>
    <w:rsid w:val="32D701EA"/>
    <w:rsid w:val="33665A34"/>
    <w:rsid w:val="36306A58"/>
    <w:rsid w:val="422E7E3C"/>
    <w:rsid w:val="4813499E"/>
    <w:rsid w:val="6BD25C09"/>
    <w:rsid w:val="6C4D2B99"/>
    <w:rsid w:val="73087BED"/>
    <w:rsid w:val="75B321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1"/>
    <w:uiPriority w:val="0"/>
    <w:pPr>
      <w:spacing w:line="420" w:lineRule="exact"/>
      <w:ind w:firstLine="630"/>
    </w:pPr>
    <w:rPr>
      <w:rFonts w:eastAsia="仿宋_GB2312"/>
      <w:sz w:val="32"/>
      <w:szCs w:val="24"/>
    </w:rPr>
  </w:style>
  <w:style w:type="paragraph" w:styleId="3">
    <w:name w:val="footer"/>
    <w:basedOn w:val="1"/>
    <w:link w:val="12"/>
    <w:unhideWhenUsed/>
    <w:uiPriority w:val="99"/>
    <w:pPr>
      <w:tabs>
        <w:tab w:val="center" w:pos="4153"/>
        <w:tab w:val="right" w:pos="8306"/>
      </w:tabs>
      <w:snapToGrid w:val="0"/>
      <w:jc w:val="left"/>
    </w:pPr>
    <w:rPr>
      <w:kern w:val="0"/>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unhideWhenUsed/>
    <w:uiPriority w:val="0"/>
  </w:style>
  <w:style w:type="paragraph" w:styleId="6">
    <w:name w:val="footnote text"/>
    <w:basedOn w:val="1"/>
    <w:link w:val="14"/>
    <w:semiHidden/>
    <w:uiPriority w:val="0"/>
    <w:pPr>
      <w:snapToGrid w:val="0"/>
      <w:jc w:val="left"/>
    </w:pPr>
    <w:rPr>
      <w:sz w:val="18"/>
      <w:szCs w:val="18"/>
    </w:rPr>
  </w:style>
  <w:style w:type="paragraph" w:styleId="7">
    <w:name w:val="toc 2"/>
    <w:basedOn w:val="1"/>
    <w:next w:val="1"/>
    <w:unhideWhenUsed/>
    <w:uiPriority w:val="39"/>
    <w:pPr>
      <w:ind w:left="420" w:leftChars="200"/>
    </w:pPr>
  </w:style>
  <w:style w:type="character" w:styleId="10">
    <w:name w:val="footnote reference"/>
    <w:semiHidden/>
    <w:uiPriority w:val="0"/>
    <w:rPr>
      <w:vertAlign w:val="superscript"/>
    </w:rPr>
  </w:style>
  <w:style w:type="character" w:customStyle="1" w:styleId="11">
    <w:name w:val="正文文本缩进 Char"/>
    <w:link w:val="2"/>
    <w:uiPriority w:val="0"/>
    <w:rPr>
      <w:rFonts w:ascii="Times New Roman" w:hAnsi="Times New Roman" w:eastAsia="仿宋_GB2312"/>
      <w:kern w:val="2"/>
      <w:sz w:val="32"/>
      <w:szCs w:val="24"/>
    </w:rPr>
  </w:style>
  <w:style w:type="character" w:customStyle="1" w:styleId="12">
    <w:name w:val="页脚 Char"/>
    <w:link w:val="3"/>
    <w:semiHidden/>
    <w:uiPriority w:val="99"/>
    <w:rPr>
      <w:sz w:val="18"/>
      <w:szCs w:val="18"/>
    </w:rPr>
  </w:style>
  <w:style w:type="character" w:customStyle="1" w:styleId="13">
    <w:name w:val="页眉 Char"/>
    <w:link w:val="4"/>
    <w:semiHidden/>
    <w:uiPriority w:val="99"/>
    <w:rPr>
      <w:sz w:val="18"/>
      <w:szCs w:val="18"/>
    </w:rPr>
  </w:style>
  <w:style w:type="character" w:customStyle="1" w:styleId="14">
    <w:name w:val="脚注文本 Char"/>
    <w:link w:val="6"/>
    <w:semiHidden/>
    <w:uiPriority w:val="0"/>
    <w:rPr>
      <w:rFonts w:ascii="Times New Roman" w:hAnsi="Times New Roman"/>
      <w:kern w:val="2"/>
      <w:sz w:val="18"/>
      <w:szCs w:val="18"/>
    </w:rPr>
  </w:style>
  <w:style w:type="paragraph" w:customStyle="1" w:styleId="15">
    <w:name w:val="[Normal]"/>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styleId="16">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41</Pages>
  <Words>19244</Words>
  <Characters>20419</Characters>
  <Lines>160</Lines>
  <Paragraphs>45</Paragraphs>
  <TotalTime>0</TotalTime>
  <ScaleCrop>false</ScaleCrop>
  <LinksUpToDate>false</LinksUpToDate>
  <CharactersWithSpaces>20536</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2021-05-31T09:55:00Z</dcterms:created>
  <dc:creator>陈红军</dc:creator>
  <cp:lastModifiedBy>Administrator</cp:lastModifiedBy>
  <dcterms:modified xsi:type="dcterms:W3CDTF">2023-11-08T02:32:56Z</dcterms:modified>
  <dc:title>满城区发展改革局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299B5FDD08C74CA3939ACDEC9DE86FC4</vt:lpwstr>
  </property>
</Properties>
</file>