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保定市商务局</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2021年预算信息公开</w:t>
      </w:r>
    </w:p>
    <w:p>
      <w:pPr>
        <w:spacing w:line="600" w:lineRule="exact"/>
        <w:rPr>
          <w:rFonts w:ascii="方正小标宋简体" w:eastAsia="方正小标宋简体"/>
          <w:sz w:val="44"/>
          <w:szCs w:val="44"/>
        </w:rPr>
      </w:pPr>
    </w:p>
    <w:p>
      <w:pPr>
        <w:adjustRightInd w:val="0"/>
        <w:snapToGrid w:val="0"/>
        <w:spacing w:line="360" w:lineRule="auto"/>
        <w:ind w:firstLine="640" w:firstLineChars="200"/>
        <w:rPr>
          <w:rFonts w:ascii="仿宋_GB2312" w:eastAsia="仿宋_GB2312"/>
          <w:color w:val="333333"/>
          <w:sz w:val="32"/>
          <w:szCs w:val="32"/>
        </w:rPr>
      </w:pPr>
      <w:r>
        <w:rPr>
          <w:rFonts w:hint="eastAsia" w:ascii="仿宋_GB2312" w:hAnsi="仿宋" w:eastAsia="仿宋_GB2312" w:cs="仿宋_GB2312"/>
          <w:sz w:val="32"/>
          <w:szCs w:val="32"/>
        </w:rPr>
        <w:t>按照《中华人民共和国预算法》、</w:t>
      </w:r>
      <w:r>
        <w:rPr>
          <w:rFonts w:hint="eastAsia" w:ascii="仿宋_GB2312" w:hAnsi="Times New Roman" w:eastAsia="仿宋_GB2312"/>
          <w:sz w:val="32"/>
          <w:szCs w:val="32"/>
        </w:rPr>
        <w:t>《地方预决算公开操作规程》等文件</w:t>
      </w:r>
      <w:r>
        <w:rPr>
          <w:rFonts w:hint="eastAsia" w:ascii="仿宋_GB2312" w:hAnsi="仿宋" w:eastAsia="仿宋_GB2312" w:cs="仿宋_GB2312"/>
          <w:sz w:val="32"/>
          <w:szCs w:val="32"/>
        </w:rPr>
        <w:t>规定，</w:t>
      </w:r>
      <w:r>
        <w:rPr>
          <w:rFonts w:hint="eastAsia" w:ascii="仿宋_GB2312" w:eastAsia="仿宋_GB2312"/>
          <w:color w:val="333333"/>
          <w:sz w:val="32"/>
          <w:szCs w:val="32"/>
        </w:rPr>
        <w:t>现将保定市满城区商务局2021年度部门预算信息公开如下：</w:t>
      </w:r>
    </w:p>
    <w:p>
      <w:pPr>
        <w:adjustRightInd w:val="0"/>
        <w:snapToGrid w:val="0"/>
        <w:spacing w:line="360" w:lineRule="auto"/>
        <w:ind w:firstLine="2240" w:firstLineChars="700"/>
        <w:rPr>
          <w:rFonts w:ascii="方正小标宋简体" w:hAnsi="黑体" w:eastAsia="方正小标宋简体"/>
          <w:sz w:val="32"/>
          <w:szCs w:val="32"/>
        </w:rPr>
      </w:pPr>
      <w:r>
        <w:rPr>
          <w:rFonts w:hint="eastAsia" w:ascii="方正小标宋简体" w:hAnsi="黑体" w:eastAsia="方正小标宋简体"/>
          <w:sz w:val="32"/>
          <w:szCs w:val="32"/>
        </w:rPr>
        <w:t>第一部分：部门职责及机构设置情况</w:t>
      </w: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一、部门职责</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根据《保定市满城区商务局职能配置、内设</w:t>
      </w:r>
      <w:bookmarkStart w:id="3" w:name="_GoBack"/>
      <w:bookmarkEnd w:id="3"/>
      <w:r>
        <w:rPr>
          <w:rFonts w:hint="eastAsia" w:ascii="仿宋" w:hAnsi="仿宋" w:eastAsia="仿宋" w:cs="仿宋"/>
          <w:sz w:val="32"/>
          <w:szCs w:val="32"/>
        </w:rPr>
        <w:t>机构和人员编制规定》， 保定市商务局的主要职责是：</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（一）贯彻落实国家有关内外贸易、国际经济合作的发展战略、方针、政策；拟订全市相应的发展规划以及规定、办法和措施;研究经济全球化、区域经济合作、现代流通方式的发展趋势并提出建议。</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拟订全区国内贸易发展规划，促进城乡市场发展，提出引导国内外资金投向市场体系建设的意见，指导大宗产品批发市场建设和城市商业网点规划、商业体系建设工作，推进农村市场体系建设，组织实施农村现代流通网络工程。</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三）提出流通体制改革建议。负责推进流通产业结构调整，指导流通企业改革、商贸服务业和社区商业发展；提出促进商贸中小企业发展的政策建议，推动流通标准化和连锁经营、商业特许经营、物流配送、电子商务等现代流通方式的发展；指导全市流通领域信息网络和电子商务建设。</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（四）推进商务领域信用体系建设，规范商贸企业交易行为，协调推动重要产品追溯体系建设;按有关规定对特殊流通行业进行监督管理。</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五）负责组织实施重要消费品市场调控和重要生产资料流通管理，建立健全生活必需品市场供应应急管理机制，监测分析市场运行、商品供求状况，调查分析商品价格信息，进行预测预警和信息引导，按分工负责重要消费品储备管理和市场调控工作；按有关规定对成品油市场进行监督管理；负责拍卖等行业的监督管理；推进再生资源回收和商贸企业节能减排等绿色流通工作。</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（六）执行国家制定的进出口商品和技术目录，贯彻执行国家、省促进外贸增长方式转变的政策措施，指导贸易促进活动和外贸促进体系建设。</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（七）贯彻执行国家对外技术贸易、进出口管制以及鼓励技术和成套设备进出口的贸易政策;拟订和推进全市科技兴贸战略；配合商务部、省商务厅依法监督技术引进、设备进口、国家限制出口技术的工作。</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（八）会同有关部门贯彻执行国家、省促进服务出口和服务外包发展的规划、政策，牵头拟订全区服务贸易发展规划并组织实施。</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九）拟订全区外商投资政策并组织实施；指导全市外商投资企业备案管理工作;依法对外商投资企业及其投资者履行备案义务进行监督检查;牵头组织实施全市外商投资企业联合年报工作;负责全市利用外资统计工作；指导全市吸引外资工作，规范对外招商引资活动；综合协调和指导我市省级以上经济开发区的有关工作；指导和管理全市外商投资企业进出口工作。</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十）负责全区对外经济合作工作；执行对外经济合作政策，依法管理和监督对外劳务合作等工作；指导外派劳务和境外就业人员的权益保护工作；指导境外经贸园区有关工作；负责对外援助有关工作；指导我市对外投资和经济合作促进工作。</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十一）配合商务部、省商务厅调查国（境）外对我国出口商品实施的歧视性贸易政策、法律法规及做法；配合组织协调涉及我市的反倾销、反补贴和保障措施等贸易救济调查以及进出口公平贸易相关工作，配合指导协调出口产品贸易摩擦应对和进口产品贸易救济申诉工作；跟踪调查反倾销、反补贴和保障措施等贸易救济措施对我市相关产业的影响；配合建立产业安全贸易预警机制。</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（十二）负责全区商务系统涉及世贸组织相关事务的研究、指导和服务工作，配合商务部、省商务厅解决世贸组织框架下涉及我市的贸易争端。</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（十三）贯彻执行国家制定的对自由贸易区国家和地区的经贸规划、政策；管理联合国及其他国际组织或外国政府对我市经济技术合作方面的无偿援助及赠款等发展合作业务。</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（十四）负责全区会展业促进发展工作，指导监督以保定市名义在境内外对外经济技术展览会和赴境外非商业性办展活动。</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（十五）负责全区商务工作新闻发布会、宣传工作和提供信息咨询服务；指导全市流通领域信息网络和电子商务建设。 </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（十六）指导全区商务领域行业协会、学会等社团组织工作。</w:t>
      </w:r>
    </w:p>
    <w:p>
      <w:pPr>
        <w:adjustRightInd w:val="0"/>
        <w:snapToGrid w:val="0"/>
        <w:spacing w:line="360" w:lineRule="auto"/>
        <w:ind w:firstLine="640" w:firstLineChars="200"/>
      </w:pPr>
      <w:r>
        <w:rPr>
          <w:rFonts w:hint="eastAsia" w:ascii="仿宋" w:hAnsi="仿宋" w:eastAsia="仿宋" w:cs="仿宋"/>
          <w:sz w:val="32"/>
          <w:szCs w:val="32"/>
        </w:rPr>
        <w:t>（十七）完成区政府交办的其他任务。</w:t>
      </w:r>
    </w:p>
    <w:p/>
    <w:p/>
    <w:p>
      <w:pPr>
        <w:adjustRightInd w:val="0"/>
        <w:snapToGrid w:val="0"/>
        <w:spacing w:line="340" w:lineRule="exact"/>
        <w:ind w:firstLine="640" w:firstLineChars="200"/>
        <w:rPr>
          <w:rFonts w:ascii="黑体" w:hAnsi="黑体" w:eastAsia="黑体" w:cs="Times New Roman"/>
          <w:color w:val="000000"/>
          <w:sz w:val="32"/>
          <w:szCs w:val="32"/>
          <w:u w:val="single"/>
        </w:rPr>
      </w:pPr>
      <w:r>
        <w:rPr>
          <w:rFonts w:hint="eastAsia" w:ascii="黑体" w:hAnsi="黑体" w:eastAsia="黑体" w:cs="Times New Roman"/>
          <w:color w:val="000000"/>
          <w:sz w:val="32"/>
          <w:szCs w:val="32"/>
        </w:rPr>
        <w:t>二、机构设置</w:t>
      </w:r>
    </w:p>
    <w:tbl>
      <w:tblPr>
        <w:tblStyle w:val="6"/>
        <w:tblpPr w:leftFromText="180" w:rightFromText="180" w:vertAnchor="text" w:horzAnchor="page" w:tblpX="1158" w:tblpY="1207"/>
        <w:tblOverlap w:val="never"/>
        <w:tblW w:w="982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96"/>
        <w:gridCol w:w="1134"/>
        <w:gridCol w:w="1139"/>
        <w:gridCol w:w="32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0" w:hRule="atLeast"/>
          <w:tblHeader/>
        </w:trPr>
        <w:tc>
          <w:tcPr>
            <w:tcW w:w="4296" w:type="dxa"/>
            <w:vMerge w:val="restart"/>
            <w:noWrap w:val="0"/>
            <w:vAlign w:val="center"/>
          </w:tcPr>
          <w:p>
            <w:pPr>
              <w:adjustRightInd w:val="0"/>
              <w:snapToGrid w:val="0"/>
              <w:spacing w:line="340" w:lineRule="exact"/>
              <w:jc w:val="center"/>
              <w:rPr>
                <w:rFonts w:ascii="方正小标宋简体" w:hAnsi="仿宋_GB2312" w:eastAsia="方正小标宋简体"/>
                <w:b/>
              </w:rPr>
            </w:pPr>
            <w:r>
              <w:rPr>
                <w:rFonts w:hint="eastAsia" w:ascii="方正小标宋简体" w:hAnsi="仿宋_GB2312" w:eastAsia="方正小标宋简体"/>
                <w:b/>
              </w:rPr>
              <w:t>单位名称</w:t>
            </w:r>
          </w:p>
        </w:tc>
        <w:tc>
          <w:tcPr>
            <w:tcW w:w="1134" w:type="dxa"/>
            <w:vMerge w:val="restart"/>
            <w:noWrap w:val="0"/>
            <w:vAlign w:val="center"/>
          </w:tcPr>
          <w:p>
            <w:pPr>
              <w:adjustRightInd w:val="0"/>
              <w:snapToGrid w:val="0"/>
              <w:spacing w:line="340" w:lineRule="exact"/>
              <w:jc w:val="center"/>
              <w:rPr>
                <w:rFonts w:ascii="方正小标宋简体" w:hAnsi="仿宋_GB2312" w:eastAsia="方正小标宋简体"/>
                <w:b/>
              </w:rPr>
            </w:pPr>
            <w:r>
              <w:rPr>
                <w:rFonts w:hint="eastAsia" w:ascii="方正小标宋简体" w:hAnsi="仿宋_GB2312" w:eastAsia="方正小标宋简体"/>
                <w:b/>
              </w:rPr>
              <w:t>单位性质</w:t>
            </w:r>
          </w:p>
        </w:tc>
        <w:tc>
          <w:tcPr>
            <w:tcW w:w="1139" w:type="dxa"/>
            <w:vMerge w:val="restart"/>
            <w:noWrap w:val="0"/>
            <w:vAlign w:val="center"/>
          </w:tcPr>
          <w:p>
            <w:pPr>
              <w:adjustRightInd w:val="0"/>
              <w:snapToGrid w:val="0"/>
              <w:spacing w:line="340" w:lineRule="exact"/>
              <w:jc w:val="center"/>
              <w:rPr>
                <w:rFonts w:ascii="方正小标宋简体" w:hAnsi="仿宋_GB2312" w:eastAsia="方正小标宋简体"/>
                <w:b/>
              </w:rPr>
            </w:pPr>
            <w:r>
              <w:rPr>
                <w:rFonts w:hint="eastAsia" w:ascii="方正小标宋简体" w:hAnsi="仿宋_GB2312" w:eastAsia="方正小标宋简体"/>
                <w:b/>
              </w:rPr>
              <w:t>单位规格</w:t>
            </w:r>
          </w:p>
        </w:tc>
        <w:tc>
          <w:tcPr>
            <w:tcW w:w="3256" w:type="dxa"/>
            <w:vMerge w:val="restart"/>
            <w:noWrap w:val="0"/>
            <w:vAlign w:val="center"/>
          </w:tcPr>
          <w:p>
            <w:pPr>
              <w:adjustRightInd w:val="0"/>
              <w:snapToGrid w:val="0"/>
              <w:spacing w:line="340" w:lineRule="exact"/>
              <w:jc w:val="center"/>
              <w:rPr>
                <w:rFonts w:ascii="方正小标宋简体" w:hAnsi="仿宋_GB2312" w:eastAsia="方正小标宋简体"/>
                <w:b/>
              </w:rPr>
            </w:pPr>
            <w:r>
              <w:rPr>
                <w:rFonts w:hint="eastAsia" w:ascii="方正小标宋简体" w:hAnsi="仿宋_GB2312" w:eastAsia="方正小标宋简体"/>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tblHeader/>
        </w:trPr>
        <w:tc>
          <w:tcPr>
            <w:tcW w:w="4296" w:type="dxa"/>
            <w:vMerge w:val="continue"/>
            <w:noWrap w:val="0"/>
            <w:vAlign w:val="center"/>
          </w:tcPr>
          <w:p>
            <w:pPr>
              <w:adjustRightInd w:val="0"/>
              <w:snapToGrid w:val="0"/>
              <w:spacing w:line="340" w:lineRule="exact"/>
              <w:jc w:val="left"/>
              <w:outlineLvl w:val="0"/>
              <w:rPr>
                <w:rFonts w:ascii="仿宋_GB2312" w:hAnsi="仿宋_GB2312" w:eastAsia="仿宋_GB2312"/>
              </w:rPr>
            </w:pPr>
          </w:p>
        </w:tc>
        <w:tc>
          <w:tcPr>
            <w:tcW w:w="1134" w:type="dxa"/>
            <w:vMerge w:val="continue"/>
            <w:noWrap w:val="0"/>
            <w:vAlign w:val="center"/>
          </w:tcPr>
          <w:p>
            <w:pPr>
              <w:adjustRightInd w:val="0"/>
              <w:snapToGrid w:val="0"/>
              <w:spacing w:line="340" w:lineRule="exact"/>
              <w:jc w:val="left"/>
              <w:outlineLvl w:val="0"/>
              <w:rPr>
                <w:rFonts w:ascii="仿宋_GB2312" w:hAnsi="仿宋_GB2312" w:eastAsia="仿宋_GB2312"/>
              </w:rPr>
            </w:pPr>
          </w:p>
        </w:tc>
        <w:tc>
          <w:tcPr>
            <w:tcW w:w="1139" w:type="dxa"/>
            <w:vMerge w:val="continue"/>
            <w:noWrap w:val="0"/>
            <w:vAlign w:val="center"/>
          </w:tcPr>
          <w:p>
            <w:pPr>
              <w:adjustRightInd w:val="0"/>
              <w:snapToGrid w:val="0"/>
              <w:spacing w:line="340" w:lineRule="exact"/>
              <w:jc w:val="left"/>
              <w:outlineLvl w:val="0"/>
              <w:rPr>
                <w:rFonts w:ascii="仿宋_GB2312" w:hAnsi="仿宋_GB2312" w:eastAsia="仿宋_GB2312"/>
              </w:rPr>
            </w:pPr>
          </w:p>
        </w:tc>
        <w:tc>
          <w:tcPr>
            <w:tcW w:w="3256" w:type="dxa"/>
            <w:vMerge w:val="continue"/>
            <w:noWrap w:val="0"/>
            <w:vAlign w:val="center"/>
          </w:tcPr>
          <w:p>
            <w:pPr>
              <w:adjustRightInd w:val="0"/>
              <w:snapToGrid w:val="0"/>
              <w:spacing w:line="340" w:lineRule="exact"/>
              <w:jc w:val="left"/>
              <w:outlineLvl w:val="0"/>
              <w:rPr>
                <w:rFonts w:ascii="仿宋_GB2312" w:hAns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4296" w:type="dxa"/>
            <w:noWrap w:val="0"/>
            <w:vAlign w:val="center"/>
          </w:tcPr>
          <w:p>
            <w:pPr>
              <w:adjustRightInd w:val="0"/>
              <w:snapToGrid w:val="0"/>
              <w:spacing w:line="340" w:lineRule="exact"/>
              <w:jc w:val="left"/>
              <w:rPr>
                <w:rFonts w:ascii="仿宋_GB2312" w:hAnsi="仿宋_GB2312" w:eastAsia="仿宋_GB2312"/>
              </w:rPr>
            </w:pPr>
            <w:r>
              <w:rPr>
                <w:rFonts w:hint="eastAsia" w:ascii="仿宋_GB2312" w:hAnsi="仿宋_GB2312" w:eastAsia="仿宋_GB2312"/>
              </w:rPr>
              <w:t>保定市满城区商务局（机关）</w:t>
            </w:r>
          </w:p>
        </w:tc>
        <w:tc>
          <w:tcPr>
            <w:tcW w:w="1134" w:type="dxa"/>
            <w:noWrap w:val="0"/>
            <w:vAlign w:val="center"/>
          </w:tcPr>
          <w:p>
            <w:pPr>
              <w:adjustRightInd w:val="0"/>
              <w:snapToGrid w:val="0"/>
              <w:spacing w:line="340" w:lineRule="exact"/>
              <w:jc w:val="center"/>
              <w:rPr>
                <w:rFonts w:ascii="仿宋_GB2312" w:hAnsi="仿宋_GB2312" w:eastAsia="仿宋_GB2312"/>
              </w:rPr>
            </w:pPr>
            <w:r>
              <w:rPr>
                <w:rFonts w:hint="eastAsia" w:ascii="仿宋_GB2312" w:hAnsi="仿宋_GB2312" w:eastAsia="仿宋_GB2312"/>
              </w:rPr>
              <w:t>行政</w:t>
            </w:r>
          </w:p>
        </w:tc>
        <w:tc>
          <w:tcPr>
            <w:tcW w:w="1139" w:type="dxa"/>
            <w:noWrap w:val="0"/>
            <w:vAlign w:val="center"/>
          </w:tcPr>
          <w:p>
            <w:pPr>
              <w:adjustRightInd w:val="0"/>
              <w:snapToGrid w:val="0"/>
              <w:spacing w:line="340" w:lineRule="exact"/>
              <w:jc w:val="center"/>
              <w:rPr>
                <w:rFonts w:ascii="仿宋_GB2312" w:hAnsi="仿宋_GB2312" w:eastAsia="仿宋_GB2312"/>
              </w:rPr>
            </w:pPr>
            <w:r>
              <w:rPr>
                <w:rFonts w:hint="eastAsia" w:ascii="仿宋_GB2312" w:hAnsi="仿宋_GB2312" w:eastAsia="仿宋_GB2312"/>
              </w:rPr>
              <w:t>正</w:t>
            </w:r>
            <w:r>
              <w:rPr>
                <w:rFonts w:hint="eastAsia" w:ascii="仿宋_GB2312" w:hAnsi="仿宋_GB2312" w:eastAsia="仿宋_GB2312"/>
                <w:lang w:val="en-US" w:eastAsia="zh-CN"/>
              </w:rPr>
              <w:t>科</w:t>
            </w:r>
            <w:r>
              <w:rPr>
                <w:rFonts w:hint="eastAsia" w:ascii="仿宋_GB2312" w:hAnsi="仿宋_GB2312" w:eastAsia="仿宋_GB2312"/>
              </w:rPr>
              <w:t>级</w:t>
            </w:r>
          </w:p>
        </w:tc>
        <w:tc>
          <w:tcPr>
            <w:tcW w:w="3256" w:type="dxa"/>
            <w:noWrap w:val="0"/>
            <w:vAlign w:val="center"/>
          </w:tcPr>
          <w:p>
            <w:pPr>
              <w:adjustRightInd w:val="0"/>
              <w:snapToGrid w:val="0"/>
              <w:spacing w:line="340" w:lineRule="exact"/>
              <w:jc w:val="center"/>
              <w:rPr>
                <w:rFonts w:ascii="仿宋_GB2312" w:hAnsi="仿宋_GB2312" w:eastAsia="仿宋_GB2312"/>
              </w:rPr>
            </w:pPr>
            <w:r>
              <w:rPr>
                <w:rFonts w:hint="eastAsia" w:ascii="仿宋_GB2312" w:hAnsi="仿宋_GB2312" w:eastAsia="仿宋_GB2312"/>
              </w:rPr>
              <w:t>财政拨款</w:t>
            </w:r>
          </w:p>
        </w:tc>
      </w:tr>
    </w:tbl>
    <w:p>
      <w:pPr>
        <w:adjustRightInd w:val="0"/>
        <w:snapToGrid w:val="0"/>
        <w:spacing w:line="340" w:lineRule="exact"/>
        <w:rPr>
          <w:rFonts w:ascii="方正小标宋简体" w:hAnsi="黑体" w:eastAsia="方正小标宋简体" w:cs="仿宋_GB2312"/>
          <w:sz w:val="32"/>
          <w:szCs w:val="32"/>
        </w:rPr>
      </w:pPr>
    </w:p>
    <w:p>
      <w:pPr>
        <w:adjustRightInd w:val="0"/>
        <w:snapToGrid w:val="0"/>
        <w:spacing w:line="360" w:lineRule="auto"/>
        <w:ind w:firstLine="640" w:firstLineChars="200"/>
        <w:jc w:val="center"/>
        <w:rPr>
          <w:rFonts w:ascii="方正小标宋简体" w:hAnsi="黑体" w:eastAsia="方正小标宋简体" w:cs="仿宋_GB2312"/>
          <w:sz w:val="32"/>
          <w:szCs w:val="32"/>
        </w:rPr>
      </w:pPr>
    </w:p>
    <w:p>
      <w:pPr>
        <w:adjustRightInd w:val="0"/>
        <w:snapToGrid w:val="0"/>
        <w:spacing w:line="360" w:lineRule="auto"/>
        <w:ind w:firstLine="640" w:firstLineChars="200"/>
        <w:jc w:val="center"/>
        <w:rPr>
          <w:rFonts w:ascii="方正小标宋简体" w:hAnsi="黑体" w:eastAsia="方正小标宋简体" w:cs="仿宋_GB2312"/>
          <w:sz w:val="32"/>
          <w:szCs w:val="32"/>
        </w:rPr>
      </w:pPr>
    </w:p>
    <w:p>
      <w:pPr>
        <w:adjustRightInd w:val="0"/>
        <w:snapToGrid w:val="0"/>
        <w:spacing w:line="360" w:lineRule="auto"/>
        <w:ind w:firstLine="640" w:firstLineChars="200"/>
        <w:jc w:val="center"/>
        <w:rPr>
          <w:rFonts w:ascii="方正小标宋简体" w:hAnsi="黑体" w:eastAsia="方正小标宋简体" w:cs="仿宋_GB2312"/>
          <w:sz w:val="32"/>
          <w:szCs w:val="32"/>
        </w:rPr>
      </w:pPr>
    </w:p>
    <w:p>
      <w:pPr>
        <w:adjustRightInd w:val="0"/>
        <w:snapToGrid w:val="0"/>
        <w:spacing w:line="360" w:lineRule="auto"/>
        <w:ind w:firstLine="640" w:firstLineChars="200"/>
        <w:jc w:val="center"/>
        <w:rPr>
          <w:rFonts w:ascii="方正小标宋简体" w:hAnsi="黑体" w:eastAsia="方正小标宋简体" w:cs="仿宋_GB2312"/>
          <w:sz w:val="32"/>
          <w:szCs w:val="32"/>
        </w:rPr>
      </w:pPr>
    </w:p>
    <w:p>
      <w:pPr>
        <w:adjustRightInd w:val="0"/>
        <w:snapToGrid w:val="0"/>
        <w:spacing w:line="360" w:lineRule="auto"/>
        <w:ind w:firstLine="640" w:firstLineChars="200"/>
        <w:jc w:val="center"/>
        <w:rPr>
          <w:rFonts w:ascii="方正小标宋简体" w:hAnsi="黑体" w:eastAsia="方正小标宋简体" w:cs="仿宋_GB2312"/>
          <w:sz w:val="32"/>
          <w:szCs w:val="32"/>
        </w:rPr>
      </w:pPr>
    </w:p>
    <w:p>
      <w:pPr>
        <w:adjustRightInd w:val="0"/>
        <w:snapToGrid w:val="0"/>
        <w:spacing w:line="360" w:lineRule="auto"/>
        <w:ind w:firstLine="640" w:firstLineChars="200"/>
        <w:jc w:val="center"/>
        <w:rPr>
          <w:rFonts w:ascii="方正小标宋简体" w:hAnsi="黑体" w:eastAsia="方正小标宋简体" w:cs="仿宋_GB2312"/>
          <w:sz w:val="32"/>
          <w:szCs w:val="32"/>
        </w:rPr>
      </w:pPr>
    </w:p>
    <w:p>
      <w:pPr>
        <w:adjustRightInd w:val="0"/>
        <w:snapToGrid w:val="0"/>
        <w:spacing w:line="360" w:lineRule="auto"/>
        <w:ind w:firstLine="640" w:firstLineChars="200"/>
        <w:jc w:val="center"/>
        <w:rPr>
          <w:rFonts w:ascii="方正小标宋简体" w:hAnsi="黑体" w:eastAsia="方正小标宋简体" w:cs="仿宋_GB2312"/>
          <w:sz w:val="32"/>
          <w:szCs w:val="32"/>
        </w:rPr>
      </w:pPr>
      <w:r>
        <w:rPr>
          <w:rFonts w:hint="eastAsia" w:ascii="方正小标宋简体" w:hAnsi="黑体" w:eastAsia="方正小标宋简体" w:cs="仿宋_GB2312"/>
          <w:sz w:val="32"/>
          <w:szCs w:val="32"/>
        </w:rPr>
        <w:t>第二部分：部门预算安排的总体情况</w:t>
      </w:r>
    </w:p>
    <w:p>
      <w:pPr>
        <w:adjustRightInd w:val="0"/>
        <w:snapToGrid w:val="0"/>
        <w:spacing w:line="360" w:lineRule="auto"/>
        <w:ind w:firstLine="645"/>
        <w:outlineLvl w:val="0"/>
        <w:rPr>
          <w:rFonts w:ascii="仿宋" w:hAnsi="仿宋" w:eastAsia="仿宋" w:cs="Times New Roman"/>
          <w:sz w:val="32"/>
        </w:rPr>
      </w:pPr>
      <w:r>
        <w:rPr>
          <w:rFonts w:hint="eastAsia" w:ascii="仿宋" w:hAnsi="仿宋" w:eastAsia="仿宋" w:cs="Times New Roman"/>
          <w:sz w:val="32"/>
        </w:rPr>
        <w:t>按照预算管理有关规定，目前商务局部门预算的</w:t>
      </w:r>
      <w:r>
        <w:rPr>
          <w:rFonts w:hint="eastAsia" w:ascii="仿宋" w:hAnsi="仿宋" w:eastAsia="仿宋"/>
          <w:sz w:val="32"/>
        </w:rPr>
        <w:t>编制实行综合预算制度，即全部收入和支出都反映在预算中。保定市商务</w:t>
      </w:r>
      <w:r>
        <w:rPr>
          <w:rFonts w:hint="eastAsia" w:ascii="仿宋" w:hAnsi="仿宋" w:eastAsia="仿宋" w:cs="Times New Roman"/>
          <w:sz w:val="32"/>
        </w:rPr>
        <w:t>局机关及所属预算事业单位的收支包含在部门预算中。</w:t>
      </w:r>
    </w:p>
    <w:p>
      <w:pPr>
        <w:adjustRightInd w:val="0"/>
        <w:snapToGrid w:val="0"/>
        <w:spacing w:line="360" w:lineRule="auto"/>
        <w:ind w:firstLine="640" w:firstLineChars="200"/>
        <w:outlineLvl w:val="0"/>
        <w:rPr>
          <w:rFonts w:ascii="黑体" w:hAnsi="黑体" w:eastAsia="黑体" w:cs="Times New Roman"/>
          <w:sz w:val="32"/>
        </w:rPr>
      </w:pPr>
      <w:r>
        <w:rPr>
          <w:rFonts w:hint="eastAsia" w:ascii="黑体" w:hAnsi="黑体" w:eastAsia="黑体"/>
          <w:sz w:val="32"/>
        </w:rPr>
        <w:t>一、</w:t>
      </w:r>
      <w:r>
        <w:rPr>
          <w:rFonts w:hint="eastAsia" w:ascii="黑体" w:hAnsi="黑体" w:eastAsia="黑体" w:cs="Times New Roman"/>
          <w:sz w:val="32"/>
        </w:rPr>
        <w:t>收入说明</w:t>
      </w:r>
    </w:p>
    <w:p>
      <w:pPr>
        <w:pStyle w:val="14"/>
        <w:adjustRightInd w:val="0"/>
        <w:snapToGrid w:val="0"/>
        <w:spacing w:line="360" w:lineRule="auto"/>
        <w:ind w:firstLine="640"/>
        <w:outlineLvl w:val="0"/>
        <w:rPr>
          <w:rFonts w:ascii="仿宋" w:hAnsi="仿宋" w:eastAsia="仿宋" w:cs="Times New Roman"/>
          <w:sz w:val="32"/>
        </w:rPr>
      </w:pPr>
      <w:r>
        <w:rPr>
          <w:rFonts w:hint="eastAsia" w:ascii="仿宋" w:hAnsi="仿宋" w:eastAsia="仿宋" w:cs="Times New Roman"/>
          <w:sz w:val="32"/>
        </w:rPr>
        <w:t>2021年预算收入3099.99万元，其中：一般公共预算财政拨款收入3099.99万元，基金预算收入0元，财政专户核拨收入0万元，其他来源收入0元。</w:t>
      </w:r>
    </w:p>
    <w:p>
      <w:pPr>
        <w:adjustRightInd w:val="0"/>
        <w:snapToGrid w:val="0"/>
        <w:spacing w:line="360" w:lineRule="auto"/>
        <w:ind w:firstLine="640" w:firstLineChars="200"/>
        <w:rPr>
          <w:rFonts w:ascii="黑体" w:hAnsi="黑体" w:eastAsia="黑体" w:cs="Times New Roman"/>
          <w:sz w:val="32"/>
        </w:rPr>
      </w:pPr>
      <w:r>
        <w:rPr>
          <w:rFonts w:hint="eastAsia" w:ascii="黑体" w:hAnsi="黑体" w:eastAsia="黑体"/>
          <w:sz w:val="32"/>
        </w:rPr>
        <w:t>二、</w:t>
      </w:r>
      <w:r>
        <w:rPr>
          <w:rFonts w:hint="eastAsia" w:ascii="黑体" w:hAnsi="黑体" w:eastAsia="黑体" w:cs="Times New Roman"/>
          <w:sz w:val="32"/>
        </w:rPr>
        <w:t>支出说明</w:t>
      </w:r>
    </w:p>
    <w:p>
      <w:pPr>
        <w:adjustRightInd w:val="0"/>
        <w:snapToGrid w:val="0"/>
        <w:spacing w:line="360" w:lineRule="auto"/>
        <w:ind w:firstLine="640" w:firstLineChars="200"/>
        <w:rPr>
          <w:rFonts w:ascii="仿宋" w:hAnsi="仿宋" w:eastAsia="仿宋" w:cs="Times New Roman"/>
          <w:sz w:val="32"/>
        </w:rPr>
      </w:pPr>
      <w:r>
        <w:rPr>
          <w:rFonts w:hint="eastAsia" w:ascii="仿宋" w:hAnsi="仿宋" w:eastAsia="仿宋" w:cs="Times New Roman"/>
          <w:sz w:val="32"/>
        </w:rPr>
        <w:t>2021年部门支出安排预算：3099.99万元</w:t>
      </w:r>
    </w:p>
    <w:p>
      <w:pPr>
        <w:adjustRightInd w:val="0"/>
        <w:snapToGrid w:val="0"/>
        <w:spacing w:line="360" w:lineRule="auto"/>
        <w:ind w:firstLine="640" w:firstLineChars="200"/>
        <w:rPr>
          <w:rFonts w:ascii="仿宋" w:hAnsi="仿宋" w:eastAsia="仿宋" w:cs="Times New Roman"/>
          <w:sz w:val="32"/>
        </w:rPr>
      </w:pPr>
      <w:r>
        <w:rPr>
          <w:rFonts w:hint="eastAsia" w:ascii="仿宋" w:hAnsi="仿宋" w:eastAsia="仿宋" w:cs="Times New Roman"/>
          <w:sz w:val="32"/>
        </w:rPr>
        <w:t>基本支出342.23万元，</w:t>
      </w:r>
    </w:p>
    <w:p>
      <w:pPr>
        <w:adjustRightInd w:val="0"/>
        <w:snapToGrid w:val="0"/>
        <w:spacing w:line="360" w:lineRule="auto"/>
        <w:ind w:firstLine="1280" w:firstLineChars="400"/>
        <w:rPr>
          <w:rFonts w:ascii="仿宋" w:hAnsi="仿宋" w:eastAsia="仿宋" w:cs="Times New Roman"/>
          <w:color w:val="000000"/>
          <w:sz w:val="32"/>
        </w:rPr>
      </w:pPr>
      <w:r>
        <w:rPr>
          <w:rFonts w:hint="eastAsia" w:ascii="仿宋" w:hAnsi="仿宋" w:eastAsia="仿宋" w:cs="Times New Roman"/>
          <w:sz w:val="32"/>
        </w:rPr>
        <w:t>其中：</w:t>
      </w:r>
      <w:r>
        <w:rPr>
          <w:rFonts w:hint="eastAsia" w:ascii="仿宋" w:hAnsi="仿宋" w:eastAsia="仿宋" w:cs="Times New Roman"/>
          <w:color w:val="000000"/>
          <w:sz w:val="32"/>
        </w:rPr>
        <w:t>人员经费321.22万元，</w:t>
      </w:r>
    </w:p>
    <w:p>
      <w:pPr>
        <w:adjustRightInd w:val="0"/>
        <w:snapToGrid w:val="0"/>
        <w:spacing w:line="360" w:lineRule="auto"/>
        <w:ind w:firstLine="1280" w:firstLineChars="400"/>
        <w:rPr>
          <w:rFonts w:ascii="仿宋" w:hAnsi="仿宋" w:eastAsia="仿宋" w:cs="Times New Roman"/>
          <w:color w:val="000000"/>
          <w:sz w:val="32"/>
        </w:rPr>
      </w:pPr>
      <w:r>
        <w:rPr>
          <w:rFonts w:hint="eastAsia" w:ascii="仿宋" w:hAnsi="仿宋" w:eastAsia="仿宋" w:cs="Times New Roman"/>
          <w:color w:val="000000"/>
          <w:sz w:val="32"/>
        </w:rPr>
        <w:t>日常公用经费21.01万元；</w:t>
      </w:r>
    </w:p>
    <w:p>
      <w:pPr>
        <w:adjustRightInd w:val="0"/>
        <w:snapToGrid w:val="0"/>
        <w:spacing w:line="360" w:lineRule="auto"/>
        <w:ind w:firstLine="640" w:firstLineChars="200"/>
        <w:rPr>
          <w:rFonts w:ascii="仿宋" w:hAnsi="仿宋" w:eastAsia="仿宋" w:cs="Times New Roman"/>
          <w:sz w:val="32"/>
        </w:rPr>
      </w:pPr>
      <w:r>
        <w:rPr>
          <w:rFonts w:hint="eastAsia" w:ascii="仿宋" w:hAnsi="仿宋" w:eastAsia="仿宋" w:cs="Times New Roman"/>
          <w:sz w:val="32"/>
        </w:rPr>
        <w:t>项目支出2757.76万元，</w:t>
      </w:r>
    </w:p>
    <w:p>
      <w:pPr>
        <w:adjustRightInd w:val="0"/>
        <w:snapToGrid w:val="0"/>
        <w:spacing w:line="360" w:lineRule="auto"/>
        <w:ind w:firstLine="1280" w:firstLineChars="400"/>
        <w:rPr>
          <w:rFonts w:ascii="仿宋" w:hAnsi="仿宋" w:eastAsia="仿宋" w:cs="Times New Roman"/>
          <w:sz w:val="32"/>
        </w:rPr>
      </w:pPr>
      <w:r>
        <w:rPr>
          <w:rFonts w:hint="eastAsia" w:ascii="仿宋" w:hAnsi="仿宋" w:eastAsia="仿宋" w:cs="Times New Roman"/>
          <w:sz w:val="32"/>
        </w:rPr>
        <w:t>其中：本级支出2757.76万元。</w:t>
      </w:r>
    </w:p>
    <w:p>
      <w:pPr>
        <w:adjustRightInd w:val="0"/>
        <w:snapToGrid w:val="0"/>
        <w:spacing w:line="360" w:lineRule="auto"/>
        <w:ind w:firstLine="640" w:firstLineChars="200"/>
        <w:outlineLvl w:val="0"/>
        <w:rPr>
          <w:rFonts w:ascii="黑体" w:hAnsi="黑体" w:eastAsia="黑体" w:cs="Times New Roman"/>
          <w:sz w:val="32"/>
        </w:rPr>
      </w:pPr>
      <w:r>
        <w:rPr>
          <w:rFonts w:hint="eastAsia" w:ascii="黑体" w:hAnsi="黑体" w:eastAsia="黑体"/>
          <w:sz w:val="32"/>
        </w:rPr>
        <w:t>三、</w:t>
      </w:r>
      <w:r>
        <w:rPr>
          <w:rFonts w:hint="eastAsia" w:ascii="黑体" w:hAnsi="黑体" w:eastAsia="黑体" w:cs="Times New Roman"/>
          <w:sz w:val="32"/>
        </w:rPr>
        <w:t>比上年增减情况</w:t>
      </w:r>
    </w:p>
    <w:p>
      <w:pPr>
        <w:adjustRightInd w:val="0"/>
        <w:snapToGrid w:val="0"/>
        <w:spacing w:line="360" w:lineRule="auto"/>
        <w:ind w:firstLine="640" w:firstLineChars="200"/>
        <w:outlineLvl w:val="0"/>
        <w:rPr>
          <w:rFonts w:ascii="仿宋" w:hAnsi="仿宋" w:eastAsia="仿宋" w:cs="Times New Roman"/>
          <w:sz w:val="32"/>
        </w:rPr>
      </w:pPr>
      <w:r>
        <w:rPr>
          <w:rFonts w:hint="eastAsia" w:ascii="仿宋" w:hAnsi="仿宋" w:eastAsia="仿宋" w:cs="Times New Roman"/>
          <w:sz w:val="32"/>
        </w:rPr>
        <w:t>2021年度商务局部门预算收支安排3099.99万元，较2020年增加2680.31万元.其中：基本支出增加23.57万元，主要原因为涉军人员补助和工资增加；项目支出增加2656.56万元，主要原因是专项资金增加。</w:t>
      </w:r>
    </w:p>
    <w:p>
      <w:pPr>
        <w:adjustRightInd w:val="0"/>
        <w:snapToGrid w:val="0"/>
        <w:spacing w:line="360" w:lineRule="auto"/>
        <w:ind w:firstLine="640" w:firstLineChars="200"/>
        <w:jc w:val="center"/>
        <w:outlineLvl w:val="0"/>
        <w:rPr>
          <w:rFonts w:ascii="方正小标宋简体" w:hAnsi="黑体" w:eastAsia="方正小标宋简体" w:cs="Times New Roman"/>
          <w:sz w:val="32"/>
          <w:szCs w:val="32"/>
        </w:rPr>
      </w:pPr>
      <w:r>
        <w:rPr>
          <w:rFonts w:hint="eastAsia" w:ascii="方正小标宋简体" w:hAnsi="黑体" w:eastAsia="方正小标宋简体" w:cs="Times New Roman"/>
          <w:sz w:val="32"/>
          <w:szCs w:val="32"/>
        </w:rPr>
        <w:t>第三部分：机关运行经费安排情况</w:t>
      </w:r>
    </w:p>
    <w:p>
      <w:pPr>
        <w:adjustRightInd w:val="0"/>
        <w:snapToGrid w:val="0"/>
        <w:spacing w:line="360" w:lineRule="auto"/>
        <w:ind w:firstLine="480" w:firstLineChars="150"/>
        <w:outlineLvl w:val="0"/>
        <w:rPr>
          <w:rFonts w:ascii="方正小标宋简体" w:hAnsi="黑体" w:eastAsia="仿宋" w:cs="仿宋_GB2312"/>
          <w:sz w:val="32"/>
          <w:szCs w:val="32"/>
        </w:rPr>
      </w:pPr>
      <w:r>
        <w:rPr>
          <w:rFonts w:hint="eastAsia" w:ascii="仿宋" w:hAnsi="仿宋" w:eastAsia="仿宋" w:cs="Times New Roman"/>
          <w:sz w:val="32"/>
        </w:rPr>
        <w:t>2021年，商务局部门机关运行经费安排21.01万元。其中：办公费1.26万元、邮电费3.72万元、公务用车运行维护费4万元、其他交通费用5.1万元、其他商品和服务支出3.33万元。</w:t>
      </w:r>
    </w:p>
    <w:p>
      <w:pPr>
        <w:widowControl/>
        <w:adjustRightInd w:val="0"/>
        <w:snapToGrid w:val="0"/>
        <w:spacing w:line="360" w:lineRule="auto"/>
        <w:jc w:val="center"/>
        <w:rPr>
          <w:rFonts w:ascii="仿宋" w:hAnsi="仿宋" w:eastAsia="仿宋" w:cs="仿宋_GB2312"/>
          <w:sz w:val="32"/>
          <w:szCs w:val="32"/>
        </w:rPr>
      </w:pPr>
      <w:r>
        <w:rPr>
          <w:rFonts w:hint="eastAsia" w:ascii="方正小标宋简体" w:hAnsi="黑体" w:eastAsia="方正小标宋简体" w:cs="仿宋_GB2312"/>
          <w:sz w:val="32"/>
          <w:szCs w:val="32"/>
        </w:rPr>
        <w:t>第四部分：</w:t>
      </w:r>
      <w:r>
        <w:rPr>
          <w:rFonts w:hint="eastAsia" w:ascii="方正小标宋简体" w:hAnsi="黑体" w:eastAsia="方正小标宋简体" w:cs="黑体"/>
          <w:bCs/>
          <w:sz w:val="32"/>
          <w:szCs w:val="32"/>
        </w:rPr>
        <w:t>财政拨款“三公”经费预算情况及增减变化原因</w:t>
      </w:r>
    </w:p>
    <w:p>
      <w:pPr>
        <w:adjustRightInd w:val="0"/>
        <w:snapToGrid w:val="0"/>
        <w:spacing w:line="360" w:lineRule="auto"/>
        <w:jc w:val="center"/>
        <w:rPr>
          <w:rFonts w:ascii="仿宋" w:hAnsi="仿宋" w:eastAsia="仿宋" w:cs="仿宋_GB2312"/>
          <w:sz w:val="32"/>
          <w:szCs w:val="32"/>
        </w:rPr>
      </w:pPr>
      <w:r>
        <w:rPr>
          <w:rFonts w:hint="eastAsia" w:ascii="仿宋" w:hAnsi="仿宋" w:eastAsia="仿宋" w:cs="仿宋_GB2312"/>
          <w:sz w:val="32"/>
          <w:szCs w:val="32"/>
        </w:rPr>
        <w:t>财政拨款“三公”经费预算情况及增减变化原因</w:t>
      </w:r>
    </w:p>
    <w:p>
      <w:pPr>
        <w:adjustRightInd w:val="0"/>
        <w:snapToGrid w:val="0"/>
        <w:spacing w:line="600" w:lineRule="exact"/>
        <w:rPr>
          <w:rFonts w:ascii="仿宋_GB2312" w:hAnsi="仿宋_GB2312" w:eastAsia="仿宋_GB2312" w:cs="仿宋_GB2312"/>
          <w:sz w:val="31"/>
        </w:rPr>
      </w:pPr>
      <w:r>
        <w:rPr>
          <w:rFonts w:hint="eastAsia" w:ascii="仿宋_GB2312" w:hAnsi="仿宋_GB2312" w:eastAsia="仿宋_GB2312" w:cs="仿宋_GB2312"/>
          <w:sz w:val="32"/>
          <w:szCs w:val="32"/>
        </w:rPr>
        <w:t xml:space="preserve">                                         金额单位：万元</w:t>
      </w:r>
    </w:p>
    <w:tbl>
      <w:tblPr>
        <w:tblStyle w:val="6"/>
        <w:tblW w:w="10320" w:type="dxa"/>
        <w:tblInd w:w="-134" w:type="dxa"/>
        <w:tblLayout w:type="fixed"/>
        <w:tblCellMar>
          <w:top w:w="0" w:type="dxa"/>
          <w:left w:w="108" w:type="dxa"/>
          <w:bottom w:w="0" w:type="dxa"/>
          <w:right w:w="108" w:type="dxa"/>
        </w:tblCellMar>
      </w:tblPr>
      <w:tblGrid>
        <w:gridCol w:w="3525"/>
        <w:gridCol w:w="1680"/>
        <w:gridCol w:w="1695"/>
        <w:gridCol w:w="1007"/>
        <w:gridCol w:w="2413"/>
      </w:tblGrid>
      <w:tr>
        <w:tblPrEx>
          <w:tblCellMar>
            <w:top w:w="0" w:type="dxa"/>
            <w:left w:w="108" w:type="dxa"/>
            <w:bottom w:w="0" w:type="dxa"/>
            <w:right w:w="108" w:type="dxa"/>
          </w:tblCellMar>
        </w:tblPrEx>
        <w:trPr>
          <w:trHeight w:val="375" w:hRule="atLeast"/>
        </w:trPr>
        <w:tc>
          <w:tcPr>
            <w:tcW w:w="3525" w:type="dxa"/>
            <w:tcBorders>
              <w:top w:val="single" w:color="000000" w:sz="4" w:space="0"/>
              <w:left w:val="single" w:color="000000" w:sz="4" w:space="0"/>
              <w:bottom w:val="single" w:color="000000" w:sz="4" w:space="0"/>
              <w:right w:val="single" w:color="000000" w:sz="4" w:space="0"/>
            </w:tcBorders>
            <w:noWrap w:val="0"/>
            <w:vAlign w:val="bottom"/>
          </w:tcPr>
          <w:p>
            <w:pPr>
              <w:autoSpaceDN w:val="0"/>
              <w:adjustRightInd w:val="0"/>
              <w:snapToGrid w:val="0"/>
              <w:spacing w:line="600" w:lineRule="exact"/>
              <w:jc w:val="center"/>
              <w:textAlignment w:val="bottom"/>
              <w:rPr>
                <w:rFonts w:ascii="仿宋" w:hAnsi="仿宋" w:eastAsia="仿宋" w:cs="Times New Roman"/>
                <w:color w:val="000000"/>
                <w:sz w:val="24"/>
                <w:szCs w:val="24"/>
              </w:rPr>
            </w:pPr>
            <w:r>
              <w:rPr>
                <w:rFonts w:hint="eastAsia" w:ascii="仿宋" w:hAnsi="仿宋" w:eastAsia="仿宋" w:cs="Times New Roman"/>
                <w:color w:val="000000"/>
                <w:sz w:val="24"/>
                <w:szCs w:val="24"/>
              </w:rPr>
              <w:t>项目</w:t>
            </w:r>
          </w:p>
        </w:tc>
        <w:tc>
          <w:tcPr>
            <w:tcW w:w="1680" w:type="dxa"/>
            <w:tcBorders>
              <w:top w:val="single" w:color="000000" w:sz="4" w:space="0"/>
              <w:left w:val="single" w:color="000000" w:sz="4" w:space="0"/>
              <w:bottom w:val="single" w:color="000000" w:sz="4" w:space="0"/>
              <w:right w:val="single" w:color="000000" w:sz="4" w:space="0"/>
            </w:tcBorders>
            <w:noWrap w:val="0"/>
            <w:vAlign w:val="bottom"/>
          </w:tcPr>
          <w:p>
            <w:pPr>
              <w:autoSpaceDN w:val="0"/>
              <w:adjustRightInd w:val="0"/>
              <w:snapToGrid w:val="0"/>
              <w:spacing w:line="600" w:lineRule="exact"/>
              <w:ind w:firstLine="240" w:firstLineChars="100"/>
              <w:jc w:val="center"/>
              <w:textAlignment w:val="bottom"/>
              <w:rPr>
                <w:rFonts w:ascii="仿宋" w:hAnsi="仿宋" w:eastAsia="仿宋" w:cs="Times New Roman"/>
                <w:color w:val="000000"/>
                <w:sz w:val="24"/>
                <w:szCs w:val="24"/>
              </w:rPr>
            </w:pPr>
            <w:r>
              <w:rPr>
                <w:rFonts w:hint="eastAsia" w:ascii="仿宋" w:hAnsi="仿宋" w:eastAsia="仿宋" w:cs="Times New Roman"/>
                <w:color w:val="000000"/>
                <w:sz w:val="24"/>
                <w:szCs w:val="24"/>
              </w:rPr>
              <w:t>2020</w:t>
            </w:r>
            <w:r>
              <w:rPr>
                <w:rFonts w:ascii="仿宋" w:hAnsi="仿宋" w:eastAsia="仿宋" w:cs="Times New Roman"/>
                <w:color w:val="000000"/>
                <w:sz w:val="24"/>
                <w:szCs w:val="24"/>
              </w:rPr>
              <w:t>年</w:t>
            </w:r>
            <w:r>
              <w:rPr>
                <w:rFonts w:hint="eastAsia" w:ascii="仿宋" w:hAnsi="仿宋" w:eastAsia="仿宋" w:cs="Times New Roman"/>
                <w:color w:val="000000"/>
                <w:sz w:val="24"/>
                <w:szCs w:val="24"/>
              </w:rPr>
              <w:t>预算</w:t>
            </w:r>
          </w:p>
        </w:tc>
        <w:tc>
          <w:tcPr>
            <w:tcW w:w="1695" w:type="dxa"/>
            <w:tcBorders>
              <w:top w:val="single" w:color="000000" w:sz="4" w:space="0"/>
              <w:left w:val="single" w:color="000000" w:sz="4" w:space="0"/>
              <w:bottom w:val="single" w:color="000000" w:sz="4" w:space="0"/>
              <w:right w:val="single" w:color="000000" w:sz="4" w:space="0"/>
            </w:tcBorders>
            <w:noWrap w:val="0"/>
            <w:vAlign w:val="bottom"/>
          </w:tcPr>
          <w:p>
            <w:pPr>
              <w:autoSpaceDN w:val="0"/>
              <w:adjustRightInd w:val="0"/>
              <w:snapToGrid w:val="0"/>
              <w:spacing w:line="600" w:lineRule="exact"/>
              <w:ind w:firstLine="240" w:firstLineChars="100"/>
              <w:jc w:val="center"/>
              <w:textAlignment w:val="bottom"/>
              <w:rPr>
                <w:rFonts w:eastAsia="仿宋"/>
                <w:sz w:val="24"/>
                <w:szCs w:val="24"/>
              </w:rPr>
            </w:pPr>
            <w:r>
              <w:rPr>
                <w:rFonts w:ascii="仿宋" w:hAnsi="仿宋" w:eastAsia="仿宋" w:cs="Times New Roman"/>
                <w:color w:val="000000"/>
                <w:sz w:val="24"/>
                <w:szCs w:val="24"/>
              </w:rPr>
              <w:t>20</w:t>
            </w:r>
            <w:r>
              <w:rPr>
                <w:rFonts w:hint="eastAsia" w:ascii="仿宋" w:hAnsi="仿宋" w:eastAsia="仿宋" w:cs="Times New Roman"/>
                <w:color w:val="000000"/>
                <w:sz w:val="24"/>
                <w:szCs w:val="24"/>
              </w:rPr>
              <w:t>21</w:t>
            </w:r>
            <w:r>
              <w:rPr>
                <w:rFonts w:ascii="仿宋" w:hAnsi="仿宋" w:eastAsia="仿宋" w:cs="Times New Roman"/>
                <w:color w:val="000000"/>
                <w:sz w:val="24"/>
                <w:szCs w:val="24"/>
              </w:rPr>
              <w:t>年</w:t>
            </w:r>
            <w:r>
              <w:rPr>
                <w:rFonts w:hint="eastAsia" w:ascii="仿宋" w:hAnsi="仿宋" w:eastAsia="仿宋" w:cs="Times New Roman"/>
                <w:color w:val="000000"/>
                <w:sz w:val="24"/>
                <w:szCs w:val="24"/>
              </w:rPr>
              <w:t>预算</w:t>
            </w:r>
          </w:p>
        </w:tc>
        <w:tc>
          <w:tcPr>
            <w:tcW w:w="1007" w:type="dxa"/>
            <w:tcBorders>
              <w:top w:val="single" w:color="000000" w:sz="4" w:space="0"/>
              <w:left w:val="single" w:color="auto" w:sz="4" w:space="0"/>
              <w:bottom w:val="single" w:color="000000" w:sz="4" w:space="0"/>
              <w:right w:val="single" w:color="auto" w:sz="4" w:space="0"/>
            </w:tcBorders>
            <w:noWrap w:val="0"/>
            <w:vAlign w:val="bottom"/>
          </w:tcPr>
          <w:p>
            <w:pPr>
              <w:autoSpaceDN w:val="0"/>
              <w:adjustRightInd w:val="0"/>
              <w:snapToGrid w:val="0"/>
              <w:spacing w:line="600" w:lineRule="exact"/>
              <w:jc w:val="center"/>
              <w:textAlignment w:val="bottom"/>
              <w:rPr>
                <w:rFonts w:ascii="仿宋" w:hAnsi="仿宋" w:eastAsia="仿宋" w:cs="Times New Roman"/>
                <w:color w:val="000000"/>
                <w:sz w:val="24"/>
                <w:szCs w:val="24"/>
              </w:rPr>
            </w:pPr>
            <w:r>
              <w:rPr>
                <w:rFonts w:hint="eastAsia" w:ascii="仿宋" w:hAnsi="仿宋" w:eastAsia="仿宋" w:cs="Times New Roman"/>
                <w:color w:val="000000"/>
                <w:sz w:val="24"/>
                <w:szCs w:val="24"/>
              </w:rPr>
              <w:t>增减额</w:t>
            </w:r>
          </w:p>
        </w:tc>
        <w:tc>
          <w:tcPr>
            <w:tcW w:w="2413" w:type="dxa"/>
            <w:tcBorders>
              <w:top w:val="single" w:color="000000" w:sz="4" w:space="0"/>
              <w:left w:val="single" w:color="auto" w:sz="4" w:space="0"/>
              <w:bottom w:val="single" w:color="000000" w:sz="4" w:space="0"/>
              <w:right w:val="single" w:color="000000" w:sz="4" w:space="0"/>
            </w:tcBorders>
            <w:noWrap w:val="0"/>
            <w:vAlign w:val="bottom"/>
          </w:tcPr>
          <w:p>
            <w:pPr>
              <w:autoSpaceDN w:val="0"/>
              <w:adjustRightInd w:val="0"/>
              <w:snapToGrid w:val="0"/>
              <w:spacing w:line="600" w:lineRule="exact"/>
              <w:jc w:val="center"/>
              <w:textAlignment w:val="bottom"/>
              <w:rPr>
                <w:rFonts w:ascii="仿宋" w:hAnsi="仿宋" w:eastAsia="仿宋" w:cs="Times New Roman"/>
                <w:color w:val="000000"/>
                <w:sz w:val="24"/>
                <w:szCs w:val="24"/>
              </w:rPr>
            </w:pPr>
            <w:r>
              <w:rPr>
                <w:rFonts w:hint="eastAsia" w:ascii="仿宋" w:hAnsi="仿宋" w:eastAsia="仿宋" w:cs="Times New Roman"/>
                <w:color w:val="000000"/>
                <w:sz w:val="24"/>
                <w:szCs w:val="24"/>
              </w:rPr>
              <w:t>变化原因</w:t>
            </w:r>
          </w:p>
        </w:tc>
      </w:tr>
      <w:tr>
        <w:tblPrEx>
          <w:tblCellMar>
            <w:top w:w="0" w:type="dxa"/>
            <w:left w:w="108" w:type="dxa"/>
            <w:bottom w:w="0" w:type="dxa"/>
            <w:right w:w="108" w:type="dxa"/>
          </w:tblCellMar>
        </w:tblPrEx>
        <w:trPr>
          <w:trHeight w:val="300" w:hRule="atLeast"/>
        </w:trPr>
        <w:tc>
          <w:tcPr>
            <w:tcW w:w="3525" w:type="dxa"/>
            <w:tcBorders>
              <w:top w:val="single" w:color="000000" w:sz="4" w:space="0"/>
              <w:left w:val="single" w:color="000000" w:sz="4" w:space="0"/>
              <w:bottom w:val="single" w:color="000000" w:sz="4" w:space="0"/>
              <w:right w:val="single" w:color="000000" w:sz="4" w:space="0"/>
            </w:tcBorders>
            <w:noWrap w:val="0"/>
            <w:vAlign w:val="bottom"/>
          </w:tcPr>
          <w:p>
            <w:pPr>
              <w:autoSpaceDN w:val="0"/>
              <w:adjustRightInd w:val="0"/>
              <w:snapToGrid w:val="0"/>
              <w:spacing w:line="600" w:lineRule="exact"/>
              <w:ind w:firstLine="480" w:firstLineChars="200"/>
              <w:jc w:val="left"/>
              <w:textAlignment w:val="bottom"/>
              <w:rPr>
                <w:rFonts w:ascii="仿宋" w:hAnsi="仿宋" w:eastAsia="仿宋" w:cs="Times New Roman"/>
                <w:color w:val="000000"/>
                <w:sz w:val="24"/>
              </w:rPr>
            </w:pPr>
            <w:r>
              <w:rPr>
                <w:rFonts w:ascii="仿宋" w:hAnsi="仿宋" w:eastAsia="仿宋" w:cs="Times New Roman"/>
                <w:color w:val="000000"/>
                <w:sz w:val="24"/>
              </w:rPr>
              <w:t>因公出国（境）费</w:t>
            </w:r>
          </w:p>
        </w:tc>
        <w:tc>
          <w:tcPr>
            <w:tcW w:w="1680" w:type="dxa"/>
            <w:tcBorders>
              <w:top w:val="single" w:color="000000" w:sz="4" w:space="0"/>
              <w:left w:val="single" w:color="000000" w:sz="4" w:space="0"/>
              <w:bottom w:val="single" w:color="000000" w:sz="4" w:space="0"/>
              <w:right w:val="single" w:color="000000" w:sz="4" w:space="0"/>
            </w:tcBorders>
            <w:noWrap w:val="0"/>
            <w:vAlign w:val="bottom"/>
          </w:tcPr>
          <w:p>
            <w:pPr>
              <w:autoSpaceDN w:val="0"/>
              <w:adjustRightInd w:val="0"/>
              <w:snapToGrid w:val="0"/>
              <w:spacing w:line="600" w:lineRule="exact"/>
              <w:jc w:val="center"/>
              <w:textAlignment w:val="bottom"/>
              <w:rPr>
                <w:rFonts w:ascii="仿宋" w:hAnsi="仿宋" w:eastAsia="仿宋" w:cs="Times New Roman"/>
                <w:color w:val="000000"/>
                <w:sz w:val="24"/>
              </w:rPr>
            </w:pPr>
            <w:r>
              <w:rPr>
                <w:rFonts w:hint="eastAsia" w:ascii="仿宋" w:hAnsi="仿宋" w:eastAsia="仿宋" w:cs="Times New Roman"/>
                <w:color w:val="000000"/>
                <w:sz w:val="24"/>
              </w:rPr>
              <w:t>0</w:t>
            </w:r>
          </w:p>
        </w:tc>
        <w:tc>
          <w:tcPr>
            <w:tcW w:w="1695" w:type="dxa"/>
            <w:tcBorders>
              <w:top w:val="single" w:color="000000" w:sz="4" w:space="0"/>
              <w:left w:val="single" w:color="000000" w:sz="4" w:space="0"/>
              <w:bottom w:val="single" w:color="000000" w:sz="4" w:space="0"/>
              <w:right w:val="single" w:color="000000" w:sz="4" w:space="0"/>
            </w:tcBorders>
            <w:noWrap w:val="0"/>
            <w:vAlign w:val="bottom"/>
          </w:tcPr>
          <w:p>
            <w:pPr>
              <w:autoSpaceDN w:val="0"/>
              <w:adjustRightInd w:val="0"/>
              <w:snapToGrid w:val="0"/>
              <w:spacing w:line="600" w:lineRule="exact"/>
              <w:jc w:val="center"/>
              <w:textAlignment w:val="bottom"/>
            </w:pPr>
            <w:r>
              <w:rPr>
                <w:rFonts w:hint="eastAsia"/>
              </w:rPr>
              <w:t>0</w:t>
            </w:r>
          </w:p>
        </w:tc>
        <w:tc>
          <w:tcPr>
            <w:tcW w:w="1007" w:type="dxa"/>
            <w:tcBorders>
              <w:top w:val="single" w:color="000000" w:sz="4" w:space="0"/>
              <w:left w:val="single" w:color="auto" w:sz="4" w:space="0"/>
              <w:bottom w:val="single" w:color="000000" w:sz="4" w:space="0"/>
              <w:right w:val="single" w:color="auto" w:sz="4" w:space="0"/>
            </w:tcBorders>
            <w:noWrap w:val="0"/>
            <w:vAlign w:val="bottom"/>
          </w:tcPr>
          <w:p>
            <w:pPr>
              <w:autoSpaceDN w:val="0"/>
              <w:adjustRightInd w:val="0"/>
              <w:snapToGrid w:val="0"/>
              <w:spacing w:line="600" w:lineRule="exact"/>
              <w:jc w:val="center"/>
              <w:textAlignment w:val="bottom"/>
              <w:rPr>
                <w:rFonts w:ascii="仿宋" w:hAnsi="仿宋" w:eastAsia="仿宋" w:cs="Times New Roman"/>
                <w:color w:val="000000"/>
                <w:sz w:val="24"/>
              </w:rPr>
            </w:pPr>
            <w:r>
              <w:rPr>
                <w:rFonts w:hint="eastAsia" w:ascii="仿宋" w:hAnsi="仿宋" w:eastAsia="仿宋" w:cs="Times New Roman"/>
                <w:color w:val="000000"/>
                <w:sz w:val="24"/>
              </w:rPr>
              <w:t>0</w:t>
            </w:r>
          </w:p>
        </w:tc>
        <w:tc>
          <w:tcPr>
            <w:tcW w:w="2413" w:type="dxa"/>
            <w:tcBorders>
              <w:top w:val="single" w:color="000000" w:sz="4" w:space="0"/>
              <w:left w:val="single" w:color="auto" w:sz="4" w:space="0"/>
              <w:bottom w:val="single" w:color="000000" w:sz="4" w:space="0"/>
              <w:right w:val="single" w:color="000000" w:sz="4" w:space="0"/>
            </w:tcBorders>
            <w:noWrap w:val="0"/>
            <w:vAlign w:val="bottom"/>
          </w:tcPr>
          <w:p>
            <w:pPr>
              <w:autoSpaceDN w:val="0"/>
              <w:adjustRightInd w:val="0"/>
              <w:snapToGrid w:val="0"/>
              <w:spacing w:line="600" w:lineRule="exact"/>
              <w:jc w:val="center"/>
              <w:textAlignment w:val="bottom"/>
              <w:rPr>
                <w:rFonts w:ascii="仿宋" w:hAnsi="仿宋" w:eastAsia="仿宋" w:cs="Times New Roman"/>
                <w:color w:val="000000"/>
                <w:sz w:val="24"/>
              </w:rPr>
            </w:pPr>
            <w:r>
              <w:rPr>
                <w:rFonts w:hint="eastAsia" w:ascii="仿宋" w:hAnsi="仿宋" w:eastAsia="仿宋" w:cs="Times New Roman"/>
                <w:color w:val="000000"/>
                <w:sz w:val="24"/>
              </w:rPr>
              <w:t>无增减变化</w:t>
            </w:r>
          </w:p>
        </w:tc>
      </w:tr>
      <w:tr>
        <w:tblPrEx>
          <w:tblCellMar>
            <w:top w:w="0" w:type="dxa"/>
            <w:left w:w="108" w:type="dxa"/>
            <w:bottom w:w="0" w:type="dxa"/>
            <w:right w:w="108" w:type="dxa"/>
          </w:tblCellMar>
        </w:tblPrEx>
        <w:trPr>
          <w:trHeight w:val="360" w:hRule="atLeast"/>
        </w:trPr>
        <w:tc>
          <w:tcPr>
            <w:tcW w:w="3525" w:type="dxa"/>
            <w:tcBorders>
              <w:top w:val="single" w:color="000000" w:sz="4" w:space="0"/>
              <w:left w:val="single" w:color="000000" w:sz="4" w:space="0"/>
              <w:bottom w:val="single" w:color="000000" w:sz="4" w:space="0"/>
              <w:right w:val="single" w:color="000000" w:sz="4" w:space="0"/>
            </w:tcBorders>
            <w:noWrap w:val="0"/>
            <w:vAlign w:val="bottom"/>
          </w:tcPr>
          <w:p>
            <w:pPr>
              <w:autoSpaceDN w:val="0"/>
              <w:adjustRightInd w:val="0"/>
              <w:snapToGrid w:val="0"/>
              <w:spacing w:line="600" w:lineRule="exact"/>
              <w:ind w:firstLine="720" w:firstLineChars="300"/>
              <w:jc w:val="left"/>
              <w:textAlignment w:val="bottom"/>
              <w:rPr>
                <w:rFonts w:ascii="仿宋" w:hAnsi="仿宋" w:eastAsia="仿宋" w:cs="Times New Roman"/>
                <w:color w:val="000000"/>
                <w:sz w:val="24"/>
              </w:rPr>
            </w:pPr>
            <w:r>
              <w:rPr>
                <w:rFonts w:ascii="仿宋" w:hAnsi="仿宋" w:eastAsia="仿宋" w:cs="Times New Roman"/>
                <w:color w:val="000000"/>
                <w:sz w:val="24"/>
              </w:rPr>
              <w:t>公务用车</w:t>
            </w:r>
            <w:r>
              <w:rPr>
                <w:rFonts w:hint="eastAsia" w:ascii="仿宋" w:hAnsi="仿宋" w:eastAsia="仿宋" w:cs="Times New Roman"/>
                <w:color w:val="000000"/>
                <w:sz w:val="24"/>
              </w:rPr>
              <w:t>购置</w:t>
            </w:r>
            <w:r>
              <w:rPr>
                <w:rFonts w:ascii="仿宋" w:hAnsi="仿宋" w:eastAsia="仿宋" w:cs="Times New Roman"/>
                <w:color w:val="000000"/>
                <w:sz w:val="24"/>
              </w:rPr>
              <w:t>费</w:t>
            </w:r>
          </w:p>
        </w:tc>
        <w:tc>
          <w:tcPr>
            <w:tcW w:w="1680" w:type="dxa"/>
            <w:tcBorders>
              <w:top w:val="single" w:color="000000" w:sz="4" w:space="0"/>
              <w:left w:val="single" w:color="000000" w:sz="4" w:space="0"/>
              <w:bottom w:val="single" w:color="000000" w:sz="4" w:space="0"/>
              <w:right w:val="single" w:color="000000" w:sz="4" w:space="0"/>
            </w:tcBorders>
            <w:noWrap w:val="0"/>
            <w:vAlign w:val="bottom"/>
          </w:tcPr>
          <w:p>
            <w:pPr>
              <w:autoSpaceDN w:val="0"/>
              <w:adjustRightInd w:val="0"/>
              <w:snapToGrid w:val="0"/>
              <w:spacing w:line="600" w:lineRule="exact"/>
              <w:jc w:val="center"/>
              <w:textAlignment w:val="bottom"/>
              <w:rPr>
                <w:rFonts w:ascii="仿宋" w:hAnsi="仿宋" w:eastAsia="仿宋" w:cs="Times New Roman"/>
                <w:color w:val="000000"/>
                <w:sz w:val="24"/>
              </w:rPr>
            </w:pPr>
            <w:r>
              <w:rPr>
                <w:rFonts w:hint="eastAsia" w:ascii="仿宋" w:hAnsi="仿宋" w:eastAsia="仿宋" w:cs="Times New Roman"/>
                <w:color w:val="000000"/>
                <w:sz w:val="24"/>
              </w:rPr>
              <w:t>0</w:t>
            </w:r>
          </w:p>
        </w:tc>
        <w:tc>
          <w:tcPr>
            <w:tcW w:w="1695" w:type="dxa"/>
            <w:tcBorders>
              <w:top w:val="single" w:color="000000" w:sz="4" w:space="0"/>
              <w:left w:val="single" w:color="000000" w:sz="4" w:space="0"/>
              <w:bottom w:val="single" w:color="000000" w:sz="4" w:space="0"/>
              <w:right w:val="single" w:color="000000" w:sz="4" w:space="0"/>
            </w:tcBorders>
            <w:noWrap w:val="0"/>
            <w:vAlign w:val="bottom"/>
          </w:tcPr>
          <w:p>
            <w:pPr>
              <w:autoSpaceDN w:val="0"/>
              <w:adjustRightInd w:val="0"/>
              <w:snapToGrid w:val="0"/>
              <w:spacing w:line="600" w:lineRule="exact"/>
              <w:jc w:val="center"/>
              <w:textAlignment w:val="bottom"/>
            </w:pPr>
            <w:r>
              <w:rPr>
                <w:rFonts w:hint="eastAsia" w:ascii="仿宋" w:hAnsi="仿宋" w:eastAsia="仿宋" w:cs="仿宋"/>
                <w:sz w:val="24"/>
                <w:szCs w:val="24"/>
              </w:rPr>
              <w:t>0</w:t>
            </w:r>
          </w:p>
        </w:tc>
        <w:tc>
          <w:tcPr>
            <w:tcW w:w="1007" w:type="dxa"/>
            <w:tcBorders>
              <w:top w:val="single" w:color="000000" w:sz="4" w:space="0"/>
              <w:left w:val="single" w:color="auto" w:sz="4" w:space="0"/>
              <w:bottom w:val="single" w:color="000000" w:sz="4" w:space="0"/>
              <w:right w:val="single" w:color="auto" w:sz="4" w:space="0"/>
            </w:tcBorders>
            <w:noWrap w:val="0"/>
            <w:vAlign w:val="bottom"/>
          </w:tcPr>
          <w:p>
            <w:pPr>
              <w:autoSpaceDN w:val="0"/>
              <w:adjustRightInd w:val="0"/>
              <w:snapToGrid w:val="0"/>
              <w:spacing w:line="600" w:lineRule="exact"/>
              <w:jc w:val="center"/>
              <w:textAlignment w:val="bottom"/>
              <w:rPr>
                <w:rFonts w:ascii="仿宋" w:hAnsi="仿宋" w:eastAsia="仿宋" w:cs="Times New Roman"/>
                <w:color w:val="000000"/>
                <w:sz w:val="24"/>
              </w:rPr>
            </w:pPr>
            <w:r>
              <w:rPr>
                <w:rFonts w:hint="eastAsia" w:ascii="仿宋" w:hAnsi="仿宋" w:eastAsia="仿宋" w:cs="Times New Roman"/>
                <w:color w:val="000000"/>
                <w:sz w:val="24"/>
              </w:rPr>
              <w:t>0</w:t>
            </w:r>
          </w:p>
        </w:tc>
        <w:tc>
          <w:tcPr>
            <w:tcW w:w="2413" w:type="dxa"/>
            <w:tcBorders>
              <w:top w:val="single" w:color="000000" w:sz="4" w:space="0"/>
              <w:left w:val="single" w:color="auto" w:sz="4" w:space="0"/>
              <w:bottom w:val="single" w:color="000000" w:sz="4" w:space="0"/>
              <w:right w:val="single" w:color="000000" w:sz="4" w:space="0"/>
            </w:tcBorders>
            <w:noWrap w:val="0"/>
            <w:vAlign w:val="bottom"/>
          </w:tcPr>
          <w:p>
            <w:pPr>
              <w:autoSpaceDN w:val="0"/>
              <w:adjustRightInd w:val="0"/>
              <w:snapToGrid w:val="0"/>
              <w:spacing w:line="600" w:lineRule="exact"/>
              <w:jc w:val="center"/>
              <w:textAlignment w:val="bottom"/>
              <w:rPr>
                <w:rFonts w:ascii="仿宋" w:hAnsi="仿宋" w:eastAsia="仿宋" w:cs="Times New Roman"/>
                <w:color w:val="000000"/>
                <w:sz w:val="24"/>
              </w:rPr>
            </w:pPr>
            <w:r>
              <w:rPr>
                <w:rFonts w:hint="eastAsia" w:ascii="仿宋" w:hAnsi="仿宋" w:eastAsia="仿宋" w:cs="Times New Roman"/>
                <w:color w:val="000000"/>
                <w:sz w:val="24"/>
              </w:rPr>
              <w:t>无增减变化</w:t>
            </w:r>
          </w:p>
        </w:tc>
      </w:tr>
      <w:tr>
        <w:tblPrEx>
          <w:tblCellMar>
            <w:top w:w="0" w:type="dxa"/>
            <w:left w:w="108" w:type="dxa"/>
            <w:bottom w:w="0" w:type="dxa"/>
            <w:right w:w="108" w:type="dxa"/>
          </w:tblCellMar>
        </w:tblPrEx>
        <w:trPr>
          <w:trHeight w:val="127" w:hRule="atLeast"/>
        </w:trPr>
        <w:tc>
          <w:tcPr>
            <w:tcW w:w="3525" w:type="dxa"/>
            <w:tcBorders>
              <w:top w:val="single" w:color="000000" w:sz="4" w:space="0"/>
              <w:left w:val="single" w:color="000000" w:sz="4" w:space="0"/>
              <w:bottom w:val="single" w:color="000000" w:sz="4" w:space="0"/>
              <w:right w:val="single" w:color="000000" w:sz="4" w:space="0"/>
            </w:tcBorders>
            <w:noWrap w:val="0"/>
            <w:vAlign w:val="bottom"/>
          </w:tcPr>
          <w:p>
            <w:pPr>
              <w:autoSpaceDN w:val="0"/>
              <w:adjustRightInd w:val="0"/>
              <w:snapToGrid w:val="0"/>
              <w:spacing w:line="600" w:lineRule="exact"/>
              <w:ind w:firstLine="360" w:firstLineChars="150"/>
              <w:jc w:val="left"/>
              <w:textAlignment w:val="bottom"/>
              <w:rPr>
                <w:rFonts w:ascii="仿宋" w:hAnsi="仿宋" w:eastAsia="仿宋" w:cs="Times New Roman"/>
                <w:color w:val="000000"/>
                <w:sz w:val="24"/>
              </w:rPr>
            </w:pPr>
            <w:r>
              <w:rPr>
                <w:rFonts w:hint="eastAsia" w:ascii="仿宋" w:hAnsi="仿宋" w:eastAsia="仿宋" w:cs="Times New Roman"/>
                <w:color w:val="000000"/>
                <w:sz w:val="24"/>
              </w:rPr>
              <w:t>公务用车运行经费</w:t>
            </w:r>
          </w:p>
        </w:tc>
        <w:tc>
          <w:tcPr>
            <w:tcW w:w="1680" w:type="dxa"/>
            <w:tcBorders>
              <w:top w:val="single" w:color="000000" w:sz="4" w:space="0"/>
              <w:left w:val="single" w:color="000000" w:sz="4" w:space="0"/>
              <w:bottom w:val="single" w:color="000000" w:sz="4" w:space="0"/>
              <w:right w:val="single" w:color="000000" w:sz="4" w:space="0"/>
            </w:tcBorders>
            <w:noWrap w:val="0"/>
            <w:vAlign w:val="bottom"/>
          </w:tcPr>
          <w:p>
            <w:pPr>
              <w:autoSpaceDN w:val="0"/>
              <w:adjustRightInd w:val="0"/>
              <w:snapToGrid w:val="0"/>
              <w:spacing w:line="600" w:lineRule="exact"/>
              <w:jc w:val="center"/>
              <w:textAlignment w:val="bottom"/>
              <w:rPr>
                <w:rFonts w:ascii="仿宋" w:hAnsi="仿宋" w:eastAsia="仿宋" w:cs="Times New Roman"/>
                <w:color w:val="000000"/>
                <w:sz w:val="24"/>
              </w:rPr>
            </w:pPr>
            <w:r>
              <w:rPr>
                <w:rFonts w:hint="eastAsia" w:ascii="仿宋" w:hAnsi="仿宋" w:eastAsia="仿宋" w:cs="Times New Roman"/>
                <w:color w:val="000000"/>
                <w:sz w:val="24"/>
              </w:rPr>
              <w:t>5.00</w:t>
            </w:r>
          </w:p>
        </w:tc>
        <w:tc>
          <w:tcPr>
            <w:tcW w:w="1695" w:type="dxa"/>
            <w:tcBorders>
              <w:top w:val="single" w:color="000000" w:sz="4" w:space="0"/>
              <w:left w:val="single" w:color="000000" w:sz="4" w:space="0"/>
              <w:bottom w:val="single" w:color="000000" w:sz="4" w:space="0"/>
              <w:right w:val="single" w:color="000000" w:sz="4" w:space="0"/>
            </w:tcBorders>
            <w:noWrap w:val="0"/>
            <w:vAlign w:val="bottom"/>
          </w:tcPr>
          <w:p>
            <w:pPr>
              <w:autoSpaceDN w:val="0"/>
              <w:adjustRightInd w:val="0"/>
              <w:snapToGrid w:val="0"/>
              <w:spacing w:line="600" w:lineRule="exact"/>
              <w:jc w:val="center"/>
              <w:textAlignment w:val="bottom"/>
            </w:pPr>
            <w:r>
              <w:rPr>
                <w:rFonts w:hint="eastAsia" w:ascii="仿宋" w:hAnsi="仿宋" w:eastAsia="仿宋" w:cs="仿宋"/>
                <w:sz w:val="24"/>
                <w:szCs w:val="24"/>
              </w:rPr>
              <w:t>4.00</w:t>
            </w:r>
          </w:p>
        </w:tc>
        <w:tc>
          <w:tcPr>
            <w:tcW w:w="1007" w:type="dxa"/>
            <w:tcBorders>
              <w:top w:val="single" w:color="000000" w:sz="4" w:space="0"/>
              <w:left w:val="single" w:color="auto" w:sz="4" w:space="0"/>
              <w:bottom w:val="single" w:color="000000" w:sz="4" w:space="0"/>
              <w:right w:val="single" w:color="auto" w:sz="4" w:space="0"/>
            </w:tcBorders>
            <w:noWrap w:val="0"/>
            <w:vAlign w:val="bottom"/>
          </w:tcPr>
          <w:p>
            <w:pPr>
              <w:autoSpaceDN w:val="0"/>
              <w:adjustRightInd w:val="0"/>
              <w:snapToGrid w:val="0"/>
              <w:spacing w:line="600" w:lineRule="exact"/>
              <w:jc w:val="center"/>
              <w:textAlignment w:val="bottom"/>
              <w:rPr>
                <w:rFonts w:ascii="仿宋" w:hAnsi="仿宋" w:eastAsia="仿宋" w:cs="Times New Roman"/>
                <w:color w:val="000000"/>
                <w:sz w:val="24"/>
              </w:rPr>
            </w:pPr>
            <w:r>
              <w:rPr>
                <w:rFonts w:hint="eastAsia" w:ascii="仿宋" w:hAnsi="仿宋" w:eastAsia="仿宋" w:cs="Times New Roman"/>
                <w:color w:val="000000"/>
                <w:sz w:val="24"/>
              </w:rPr>
              <w:t>-1.00</w:t>
            </w:r>
          </w:p>
        </w:tc>
        <w:tc>
          <w:tcPr>
            <w:tcW w:w="2413" w:type="dxa"/>
            <w:tcBorders>
              <w:top w:val="single" w:color="000000" w:sz="4" w:space="0"/>
              <w:left w:val="single" w:color="auto" w:sz="4" w:space="0"/>
              <w:bottom w:val="single" w:color="000000" w:sz="4" w:space="0"/>
              <w:right w:val="single" w:color="000000" w:sz="4" w:space="0"/>
            </w:tcBorders>
            <w:noWrap w:val="0"/>
            <w:vAlign w:val="bottom"/>
          </w:tcPr>
          <w:p>
            <w:pPr>
              <w:autoSpaceDN w:val="0"/>
              <w:adjustRightInd w:val="0"/>
              <w:snapToGrid w:val="0"/>
              <w:spacing w:line="600" w:lineRule="exact"/>
              <w:jc w:val="center"/>
              <w:textAlignment w:val="bottom"/>
              <w:rPr>
                <w:rFonts w:ascii="仿宋" w:hAnsi="仿宋" w:eastAsia="仿宋" w:cs="Times New Roman"/>
                <w:color w:val="000000"/>
                <w:sz w:val="24"/>
              </w:rPr>
            </w:pPr>
            <w:r>
              <w:rPr>
                <w:rFonts w:hint="eastAsia" w:ascii="仿宋" w:hAnsi="仿宋" w:eastAsia="仿宋" w:cs="Times New Roman"/>
                <w:color w:val="000000"/>
                <w:sz w:val="24"/>
              </w:rPr>
              <w:t>划出粮局一辆公车</w:t>
            </w:r>
          </w:p>
        </w:tc>
      </w:tr>
      <w:tr>
        <w:tblPrEx>
          <w:tblCellMar>
            <w:top w:w="0" w:type="dxa"/>
            <w:left w:w="108" w:type="dxa"/>
            <w:bottom w:w="0" w:type="dxa"/>
            <w:right w:w="108" w:type="dxa"/>
          </w:tblCellMar>
        </w:tblPrEx>
        <w:trPr>
          <w:trHeight w:val="360" w:hRule="atLeast"/>
        </w:trPr>
        <w:tc>
          <w:tcPr>
            <w:tcW w:w="3525" w:type="dxa"/>
            <w:tcBorders>
              <w:top w:val="single" w:color="000000" w:sz="4" w:space="0"/>
              <w:left w:val="single" w:color="000000" w:sz="4" w:space="0"/>
              <w:bottom w:val="single" w:color="000000" w:sz="4" w:space="0"/>
              <w:right w:val="single" w:color="000000" w:sz="4" w:space="0"/>
            </w:tcBorders>
            <w:noWrap w:val="0"/>
            <w:vAlign w:val="bottom"/>
          </w:tcPr>
          <w:p>
            <w:pPr>
              <w:autoSpaceDN w:val="0"/>
              <w:adjustRightInd w:val="0"/>
              <w:snapToGrid w:val="0"/>
              <w:spacing w:line="600" w:lineRule="exact"/>
              <w:ind w:firstLine="720" w:firstLineChars="300"/>
              <w:jc w:val="left"/>
              <w:textAlignment w:val="bottom"/>
              <w:rPr>
                <w:rFonts w:ascii="仿宋" w:hAnsi="仿宋" w:eastAsia="仿宋" w:cs="Times New Roman"/>
                <w:color w:val="000000"/>
                <w:sz w:val="24"/>
              </w:rPr>
            </w:pPr>
            <w:r>
              <w:rPr>
                <w:rFonts w:ascii="仿宋" w:hAnsi="仿宋" w:eastAsia="仿宋" w:cs="Times New Roman"/>
                <w:color w:val="000000"/>
                <w:sz w:val="24"/>
              </w:rPr>
              <w:t>公务接待费</w:t>
            </w:r>
          </w:p>
        </w:tc>
        <w:tc>
          <w:tcPr>
            <w:tcW w:w="1680" w:type="dxa"/>
            <w:tcBorders>
              <w:top w:val="single" w:color="000000" w:sz="4" w:space="0"/>
              <w:left w:val="single" w:color="000000" w:sz="4" w:space="0"/>
              <w:bottom w:val="single" w:color="000000" w:sz="4" w:space="0"/>
              <w:right w:val="single" w:color="000000" w:sz="4" w:space="0"/>
            </w:tcBorders>
            <w:noWrap w:val="0"/>
            <w:vAlign w:val="bottom"/>
          </w:tcPr>
          <w:p>
            <w:pPr>
              <w:autoSpaceDN w:val="0"/>
              <w:adjustRightInd w:val="0"/>
              <w:snapToGrid w:val="0"/>
              <w:spacing w:line="600" w:lineRule="exact"/>
              <w:jc w:val="center"/>
              <w:textAlignment w:val="bottom"/>
              <w:rPr>
                <w:rFonts w:ascii="仿宋" w:hAnsi="仿宋" w:eastAsia="仿宋" w:cs="Times New Roman"/>
                <w:color w:val="000000"/>
                <w:sz w:val="24"/>
              </w:rPr>
            </w:pPr>
            <w:r>
              <w:rPr>
                <w:rFonts w:hint="eastAsia" w:ascii="仿宋" w:hAnsi="仿宋" w:eastAsia="仿宋" w:cs="Times New Roman"/>
                <w:color w:val="000000"/>
                <w:sz w:val="24"/>
              </w:rPr>
              <w:t>0.13</w:t>
            </w:r>
          </w:p>
        </w:tc>
        <w:tc>
          <w:tcPr>
            <w:tcW w:w="1695" w:type="dxa"/>
            <w:tcBorders>
              <w:top w:val="single" w:color="000000" w:sz="4" w:space="0"/>
              <w:left w:val="single" w:color="000000" w:sz="4" w:space="0"/>
              <w:bottom w:val="single" w:color="000000" w:sz="4" w:space="0"/>
              <w:right w:val="single" w:color="000000" w:sz="4" w:space="0"/>
            </w:tcBorders>
            <w:noWrap w:val="0"/>
            <w:vAlign w:val="bottom"/>
          </w:tcPr>
          <w:p>
            <w:pPr>
              <w:autoSpaceDN w:val="0"/>
              <w:adjustRightInd w:val="0"/>
              <w:snapToGrid w:val="0"/>
              <w:spacing w:line="600" w:lineRule="exact"/>
              <w:jc w:val="center"/>
              <w:textAlignment w:val="bottom"/>
            </w:pPr>
            <w:r>
              <w:rPr>
                <w:rFonts w:hint="eastAsia" w:ascii="仿宋" w:hAnsi="仿宋" w:eastAsia="仿宋" w:cs="Times New Roman"/>
                <w:color w:val="000000"/>
                <w:sz w:val="24"/>
              </w:rPr>
              <w:t>0.35</w:t>
            </w:r>
          </w:p>
        </w:tc>
        <w:tc>
          <w:tcPr>
            <w:tcW w:w="1007" w:type="dxa"/>
            <w:tcBorders>
              <w:top w:val="single" w:color="000000" w:sz="4" w:space="0"/>
              <w:left w:val="single" w:color="auto" w:sz="4" w:space="0"/>
              <w:bottom w:val="single" w:color="000000" w:sz="4" w:space="0"/>
              <w:right w:val="single" w:color="auto" w:sz="4" w:space="0"/>
            </w:tcBorders>
            <w:noWrap w:val="0"/>
            <w:vAlign w:val="bottom"/>
          </w:tcPr>
          <w:p>
            <w:pPr>
              <w:autoSpaceDN w:val="0"/>
              <w:adjustRightInd w:val="0"/>
              <w:snapToGrid w:val="0"/>
              <w:spacing w:line="600" w:lineRule="exact"/>
              <w:jc w:val="center"/>
              <w:textAlignment w:val="bottom"/>
              <w:rPr>
                <w:rFonts w:ascii="仿宋" w:hAnsi="仿宋" w:eastAsia="仿宋" w:cs="Times New Roman"/>
                <w:color w:val="000000"/>
                <w:sz w:val="24"/>
              </w:rPr>
            </w:pPr>
            <w:r>
              <w:rPr>
                <w:rFonts w:hint="eastAsia" w:ascii="仿宋" w:hAnsi="仿宋" w:eastAsia="仿宋" w:cs="Times New Roman"/>
                <w:color w:val="000000"/>
                <w:sz w:val="24"/>
              </w:rPr>
              <w:t>+0.22</w:t>
            </w:r>
          </w:p>
        </w:tc>
        <w:tc>
          <w:tcPr>
            <w:tcW w:w="2413" w:type="dxa"/>
            <w:tcBorders>
              <w:top w:val="single" w:color="000000" w:sz="4" w:space="0"/>
              <w:left w:val="single" w:color="auto" w:sz="4" w:space="0"/>
              <w:bottom w:val="single" w:color="000000" w:sz="4" w:space="0"/>
              <w:right w:val="single" w:color="000000" w:sz="4" w:space="0"/>
            </w:tcBorders>
            <w:noWrap w:val="0"/>
            <w:vAlign w:val="bottom"/>
          </w:tcPr>
          <w:p>
            <w:pPr>
              <w:autoSpaceDN w:val="0"/>
              <w:adjustRightInd w:val="0"/>
              <w:snapToGrid w:val="0"/>
              <w:spacing w:line="600" w:lineRule="exact"/>
              <w:jc w:val="center"/>
              <w:textAlignment w:val="bottom"/>
              <w:rPr>
                <w:rFonts w:ascii="仿宋" w:hAnsi="仿宋" w:eastAsia="仿宋" w:cs="Times New Roman"/>
                <w:color w:val="000000"/>
                <w:sz w:val="24"/>
              </w:rPr>
            </w:pPr>
            <w:r>
              <w:rPr>
                <w:rFonts w:hint="eastAsia" w:ascii="仿宋" w:hAnsi="仿宋" w:eastAsia="仿宋" w:cs="Times New Roman"/>
                <w:color w:val="000000"/>
                <w:sz w:val="24"/>
              </w:rPr>
              <w:t>按比例计提</w:t>
            </w:r>
          </w:p>
        </w:tc>
      </w:tr>
      <w:tr>
        <w:tblPrEx>
          <w:tblCellMar>
            <w:top w:w="0" w:type="dxa"/>
            <w:left w:w="108" w:type="dxa"/>
            <w:bottom w:w="0" w:type="dxa"/>
            <w:right w:w="108" w:type="dxa"/>
          </w:tblCellMar>
        </w:tblPrEx>
        <w:trPr>
          <w:trHeight w:val="390" w:hRule="atLeast"/>
        </w:trPr>
        <w:tc>
          <w:tcPr>
            <w:tcW w:w="3525" w:type="dxa"/>
            <w:tcBorders>
              <w:top w:val="single" w:color="000000" w:sz="4" w:space="0"/>
              <w:left w:val="single" w:color="000000" w:sz="4" w:space="0"/>
              <w:bottom w:val="single" w:color="000000" w:sz="4" w:space="0"/>
              <w:right w:val="single" w:color="000000" w:sz="4" w:space="0"/>
            </w:tcBorders>
            <w:noWrap w:val="0"/>
            <w:vAlign w:val="bottom"/>
          </w:tcPr>
          <w:p>
            <w:pPr>
              <w:autoSpaceDN w:val="0"/>
              <w:adjustRightInd w:val="0"/>
              <w:snapToGrid w:val="0"/>
              <w:spacing w:line="600" w:lineRule="exact"/>
              <w:jc w:val="left"/>
              <w:textAlignment w:val="bottom"/>
              <w:rPr>
                <w:rFonts w:ascii="仿宋" w:hAnsi="仿宋" w:eastAsia="仿宋" w:cs="Times New Roman"/>
                <w:color w:val="000000"/>
                <w:sz w:val="24"/>
              </w:rPr>
            </w:pPr>
            <w:r>
              <w:rPr>
                <w:rFonts w:ascii="仿宋" w:hAnsi="仿宋" w:eastAsia="仿宋" w:cs="Times New Roman"/>
                <w:color w:val="000000"/>
                <w:sz w:val="24"/>
              </w:rPr>
              <w:t>部门合计</w:t>
            </w:r>
          </w:p>
        </w:tc>
        <w:tc>
          <w:tcPr>
            <w:tcW w:w="1680" w:type="dxa"/>
            <w:tcBorders>
              <w:top w:val="single" w:color="000000" w:sz="4" w:space="0"/>
              <w:left w:val="single" w:color="000000" w:sz="4" w:space="0"/>
              <w:bottom w:val="single" w:color="000000" w:sz="4" w:space="0"/>
              <w:right w:val="single" w:color="000000" w:sz="4" w:space="0"/>
            </w:tcBorders>
            <w:noWrap w:val="0"/>
            <w:vAlign w:val="bottom"/>
          </w:tcPr>
          <w:p>
            <w:pPr>
              <w:autoSpaceDN w:val="0"/>
              <w:adjustRightInd w:val="0"/>
              <w:snapToGrid w:val="0"/>
              <w:spacing w:line="600" w:lineRule="exact"/>
              <w:jc w:val="center"/>
              <w:textAlignment w:val="bottom"/>
              <w:rPr>
                <w:rFonts w:ascii="仿宋" w:hAnsi="仿宋" w:eastAsia="仿宋" w:cs="Times New Roman"/>
                <w:color w:val="000000"/>
                <w:sz w:val="24"/>
              </w:rPr>
            </w:pPr>
            <w:r>
              <w:rPr>
                <w:rFonts w:hint="eastAsia" w:ascii="仿宋" w:hAnsi="仿宋" w:eastAsia="仿宋" w:cs="Times New Roman"/>
                <w:color w:val="000000"/>
                <w:sz w:val="24"/>
              </w:rPr>
              <w:t>5.13</w:t>
            </w:r>
          </w:p>
        </w:tc>
        <w:tc>
          <w:tcPr>
            <w:tcW w:w="1695" w:type="dxa"/>
            <w:tcBorders>
              <w:top w:val="single" w:color="000000" w:sz="4" w:space="0"/>
              <w:left w:val="single" w:color="000000" w:sz="4" w:space="0"/>
              <w:bottom w:val="single" w:color="000000" w:sz="4" w:space="0"/>
              <w:right w:val="single" w:color="000000" w:sz="4" w:space="0"/>
            </w:tcBorders>
            <w:noWrap w:val="0"/>
            <w:vAlign w:val="bottom"/>
          </w:tcPr>
          <w:p>
            <w:pPr>
              <w:autoSpaceDN w:val="0"/>
              <w:adjustRightInd w:val="0"/>
              <w:snapToGrid w:val="0"/>
              <w:spacing w:line="600" w:lineRule="exact"/>
              <w:jc w:val="center"/>
              <w:textAlignment w:val="bottom"/>
            </w:pPr>
            <w:r>
              <w:rPr>
                <w:rFonts w:hint="eastAsia" w:ascii="仿宋" w:hAnsi="仿宋" w:eastAsia="仿宋" w:cs="仿宋"/>
                <w:sz w:val="24"/>
                <w:szCs w:val="24"/>
              </w:rPr>
              <w:t>4.35</w:t>
            </w:r>
          </w:p>
        </w:tc>
        <w:tc>
          <w:tcPr>
            <w:tcW w:w="1007" w:type="dxa"/>
            <w:tcBorders>
              <w:top w:val="single" w:color="000000" w:sz="4" w:space="0"/>
              <w:left w:val="single" w:color="auto" w:sz="4" w:space="0"/>
              <w:bottom w:val="single" w:color="000000" w:sz="4" w:space="0"/>
              <w:right w:val="single" w:color="auto" w:sz="4" w:space="0"/>
            </w:tcBorders>
            <w:noWrap w:val="0"/>
            <w:vAlign w:val="bottom"/>
          </w:tcPr>
          <w:p>
            <w:pPr>
              <w:autoSpaceDN w:val="0"/>
              <w:adjustRightInd w:val="0"/>
              <w:snapToGrid w:val="0"/>
              <w:spacing w:line="600" w:lineRule="exact"/>
              <w:jc w:val="center"/>
              <w:textAlignment w:val="bottom"/>
              <w:rPr>
                <w:rFonts w:ascii="仿宋" w:hAnsi="仿宋" w:eastAsia="仿宋" w:cs="Times New Roman"/>
                <w:color w:val="000000"/>
                <w:sz w:val="24"/>
              </w:rPr>
            </w:pPr>
            <w:r>
              <w:rPr>
                <w:rFonts w:hint="eastAsia" w:ascii="仿宋" w:hAnsi="仿宋" w:eastAsia="仿宋" w:cs="Times New Roman"/>
                <w:color w:val="000000"/>
                <w:sz w:val="24"/>
              </w:rPr>
              <w:t>-0.78</w:t>
            </w:r>
          </w:p>
        </w:tc>
        <w:tc>
          <w:tcPr>
            <w:tcW w:w="2413" w:type="dxa"/>
            <w:tcBorders>
              <w:top w:val="single" w:color="000000" w:sz="4" w:space="0"/>
              <w:left w:val="single" w:color="auto" w:sz="4" w:space="0"/>
              <w:bottom w:val="single" w:color="000000" w:sz="4" w:space="0"/>
              <w:right w:val="single" w:color="000000" w:sz="4" w:space="0"/>
            </w:tcBorders>
            <w:noWrap w:val="0"/>
            <w:vAlign w:val="bottom"/>
          </w:tcPr>
          <w:p>
            <w:pPr>
              <w:autoSpaceDN w:val="0"/>
              <w:adjustRightInd w:val="0"/>
              <w:snapToGrid w:val="0"/>
              <w:spacing w:line="600" w:lineRule="exact"/>
              <w:jc w:val="center"/>
              <w:textAlignment w:val="bottom"/>
              <w:rPr>
                <w:rFonts w:ascii="仿宋" w:hAnsi="仿宋" w:eastAsia="仿宋" w:cs="Times New Roman"/>
                <w:color w:val="000000"/>
                <w:sz w:val="24"/>
              </w:rPr>
            </w:pPr>
            <w:r>
              <w:rPr>
                <w:rFonts w:hint="eastAsia" w:ascii="仿宋" w:hAnsi="仿宋" w:eastAsia="仿宋" w:cs="Times New Roman"/>
                <w:color w:val="000000"/>
                <w:sz w:val="24"/>
              </w:rPr>
              <w:t>按比例计提</w:t>
            </w:r>
          </w:p>
        </w:tc>
      </w:tr>
    </w:tbl>
    <w:p>
      <w:pPr>
        <w:adjustRightInd w:val="0"/>
        <w:snapToGrid w:val="0"/>
        <w:spacing w:line="360" w:lineRule="auto"/>
        <w:ind w:firstLine="640" w:firstLineChars="200"/>
        <w:rPr>
          <w:rFonts w:ascii="仿宋_GB2312" w:hAnsi="Calibri" w:eastAsia="仿宋_GB2312" w:cs="Times New Roman"/>
          <w:sz w:val="32"/>
          <w:szCs w:val="32"/>
        </w:rPr>
      </w:pPr>
    </w:p>
    <w:p>
      <w:pPr>
        <w:adjustRightInd w:val="0"/>
        <w:snapToGrid w:val="0"/>
        <w:spacing w:line="360" w:lineRule="auto"/>
        <w:ind w:firstLine="640" w:firstLineChars="200"/>
        <w:jc w:val="center"/>
        <w:rPr>
          <w:rFonts w:hint="eastAsia" w:ascii="方正小标宋简体" w:hAnsi="黑体" w:eastAsia="方正小标宋简体" w:cs="仿宋_GB2312"/>
          <w:sz w:val="32"/>
          <w:szCs w:val="32"/>
        </w:rPr>
      </w:pPr>
      <w:r>
        <w:rPr>
          <w:rFonts w:hint="eastAsia" w:ascii="方正小标宋简体" w:hAnsi="黑体" w:eastAsia="方正小标宋简体" w:cs="仿宋_GB2312"/>
          <w:sz w:val="32"/>
          <w:szCs w:val="32"/>
        </w:rPr>
        <w:t>第五部分：绩效预算信息</w:t>
      </w:r>
    </w:p>
    <w:p>
      <w:pPr>
        <w:adjustRightInd w:val="0"/>
        <w:snapToGrid w:val="0"/>
        <w:spacing w:line="360" w:lineRule="auto"/>
        <w:ind w:firstLine="640" w:firstLineChars="200"/>
        <w:outlineLvl w:val="0"/>
        <w:rPr>
          <w:rFonts w:ascii="黑体" w:hAnsi="黑体" w:eastAsia="黑体"/>
          <w:sz w:val="28"/>
        </w:rPr>
      </w:pPr>
      <w:r>
        <w:rPr>
          <w:rFonts w:hint="eastAsia" w:ascii="黑体" w:hAnsi="黑体" w:eastAsia="黑体" w:cs="黑体"/>
          <w:sz w:val="32"/>
          <w:szCs w:val="32"/>
        </w:rPr>
        <w:t>一、部门整体绩效目标</w:t>
      </w:r>
    </w:p>
    <w:p>
      <w:pPr>
        <w:numPr>
          <w:ilvl w:val="0"/>
          <w:numId w:val="1"/>
        </w:num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总体绩效目标</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2021年商务工作发展规划目标：认真学习</w:t>
      </w:r>
      <w:r>
        <w:rPr>
          <w:rFonts w:hint="eastAsia" w:ascii="仿宋" w:hAnsi="仿宋" w:eastAsia="仿宋" w:cs="仿宋"/>
          <w:sz w:val="32"/>
          <w:szCs w:val="32"/>
          <w:lang w:eastAsia="zh-CN"/>
        </w:rPr>
        <w:t>贯彻</w:t>
      </w:r>
      <w:r>
        <w:rPr>
          <w:rFonts w:hint="eastAsia" w:ascii="仿宋" w:hAnsi="仿宋" w:eastAsia="仿宋" w:cs="仿宋"/>
          <w:sz w:val="32"/>
          <w:szCs w:val="32"/>
        </w:rPr>
        <w:t>党的十九大精神，以习近平新时代中国特色社会主义思想为指导，紧紧围绕一个中心（即：以信访稳定和安全生产为中心），抓住内外两条主线（即：社会消费品零售总额统计上报这条主线和引进内外资、省外经济技术项目和人才、进出口额这条主线），打好一场攻坚战（即：大气污染防治攻坚战）。</w:t>
      </w:r>
    </w:p>
    <w:p>
      <w:pPr>
        <w:spacing w:line="500" w:lineRule="exact"/>
        <w:ind w:firstLine="560" w:firstLineChars="200"/>
        <w:jc w:val="left"/>
        <w:rPr>
          <w:rFonts w:ascii="仿宋" w:hAnsi="仿宋" w:eastAsia="仿宋" w:cs="仿宋"/>
          <w:sz w:val="28"/>
        </w:rPr>
      </w:pPr>
    </w:p>
    <w:p>
      <w:pPr>
        <w:adjustRightInd w:val="0"/>
        <w:snapToGrid w:val="0"/>
        <w:spacing w:line="360" w:lineRule="auto"/>
        <w:rPr>
          <w:rFonts w:ascii="仿宋" w:hAnsi="仿宋" w:eastAsia="仿宋" w:cs="仿宋"/>
          <w:sz w:val="32"/>
          <w:szCs w:val="32"/>
        </w:rPr>
      </w:pPr>
    </w:p>
    <w:p>
      <w:pPr>
        <w:adjustRightInd w:val="0"/>
        <w:snapToGrid w:val="0"/>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二、分项绩效目标</w:t>
      </w:r>
      <w:r>
        <w:fldChar w:fldCharType="begin"/>
      </w:r>
      <w:r>
        <w:rPr>
          <w:rFonts w:ascii="仿宋" w:hAnsi="仿宋" w:eastAsia="仿宋" w:cs="仿宋"/>
          <w:sz w:val="32"/>
          <w:szCs w:val="32"/>
        </w:rPr>
        <w:instrText xml:space="preserve">tc "</w:instrText>
      </w:r>
      <w:bookmarkStart w:id="0" w:name="_Toc29992341"/>
      <w:r>
        <w:rPr>
          <w:rFonts w:hint="eastAsia" w:ascii="仿宋" w:hAnsi="仿宋" w:eastAsia="仿宋" w:cs="仿宋"/>
          <w:sz w:val="32"/>
          <w:szCs w:val="32"/>
        </w:rPr>
        <w:instrText xml:space="preserve">分项绩效目标</w:instrText>
      </w:r>
      <w:bookmarkEnd w:id="0"/>
      <w:r>
        <w:rPr>
          <w:rFonts w:ascii="仿宋" w:hAnsi="仿宋" w:eastAsia="仿宋" w:cs="仿宋"/>
          <w:sz w:val="32"/>
          <w:szCs w:val="32"/>
        </w:rPr>
        <w:instrText xml:space="preserve">" \f A \l 001</w:instrText>
      </w:r>
      <w:r>
        <w:rPr>
          <w:rFonts w:ascii="仿宋" w:hAnsi="仿宋" w:eastAsia="仿宋" w:cs="仿宋"/>
          <w:sz w:val="32"/>
          <w:szCs w:val="32"/>
        </w:rPr>
        <w:fldChar w:fldCharType="end"/>
      </w:r>
    </w:p>
    <w:p>
      <w:pPr>
        <w:spacing w:line="500" w:lineRule="exact"/>
        <w:ind w:firstLine="640" w:firstLineChars="200"/>
        <w:jc w:val="left"/>
        <w:rPr>
          <w:rFonts w:ascii="仿宋" w:hAnsi="仿宋" w:eastAsia="仿宋"/>
          <w:sz w:val="32"/>
          <w:szCs w:val="32"/>
        </w:rPr>
      </w:pPr>
    </w:p>
    <w:p>
      <w:pPr>
        <w:spacing w:line="500" w:lineRule="exact"/>
        <w:ind w:firstLine="640" w:firstLineChars="200"/>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多措并举推进消费转型升级。一是注重消费引导，积极扩大消费需求。以新消费引领新供给、打造新动力，引导商贸企业丰富商品结构，优化消费环境，提升服务档次，满足多元化消费需求。充分利用重大节假日活动，结合“幸福河北欢乐购”、省级肉菜补贴销售活动，促进消费，释放消费潜力带动消费市场繁荣；二是优化商品结构。以第二届中国国际进口博览会为平台，组织大型商场、超市，重点商贸企业在生活用品、食品等优质消费品采购方面开展对接，满足群众差异化、个性化、多样化消费需求；三是加大培育和服务力度，不断增加限上企业数量。按照限上企业抓增长，够限企业抓入库，近限企业抓培育，新建企业抓跟踪的思路，采取深入企业指导的方式，加大清理和培育力度，优化限上企业结构，帮助限下转限上企业完善入库手续，继续增加纳统企业数量。</w:t>
      </w:r>
    </w:p>
    <w:p>
      <w:pPr>
        <w:spacing w:line="500" w:lineRule="exact"/>
        <w:ind w:firstLine="640" w:firstLineChars="200"/>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压实责任推动外贸稳增长。一是积极应对中美贸易摩擦。建立重点企业监测机制和区级部门横向联动机制，加大对企业开拓海外市场的支持力度，推进银企对接，指导企业规避贸易摩擦风险；二是积极协助企业申报外经贸专项资金、中小开专项资金、进口贴息等资金支持，服务企业开拓国外市场、引导企业扩大进出口业务，促进贸易平衡发展，推动产业结构调整和经济增长方式转变，培育企业国际经济合作竞争新优势。截</w:t>
      </w:r>
      <w:r>
        <w:rPr>
          <w:rFonts w:hint="eastAsia" w:ascii="仿宋" w:hAnsi="仿宋" w:eastAsia="仿宋"/>
          <w:sz w:val="32"/>
          <w:szCs w:val="32"/>
          <w:lang w:val="en-US" w:eastAsia="zh-CN"/>
        </w:rPr>
        <w:t>至</w:t>
      </w:r>
      <w:r>
        <w:rPr>
          <w:rFonts w:hint="eastAsia" w:ascii="仿宋" w:hAnsi="仿宋" w:eastAsia="仿宋"/>
          <w:sz w:val="32"/>
          <w:szCs w:val="32"/>
        </w:rPr>
        <w:t>目前共为企业下</w:t>
      </w:r>
      <w:r>
        <w:rPr>
          <w:rFonts w:hint="eastAsia" w:ascii="仿宋" w:hAnsi="仿宋" w:eastAsia="仿宋"/>
          <w:sz w:val="32"/>
          <w:szCs w:val="32"/>
          <w:lang w:val="en-US" w:eastAsia="zh-CN"/>
        </w:rPr>
        <w:t>拨</w:t>
      </w:r>
      <w:r>
        <w:rPr>
          <w:rFonts w:hint="eastAsia" w:ascii="仿宋" w:hAnsi="仿宋" w:eastAsia="仿宋"/>
          <w:sz w:val="32"/>
          <w:szCs w:val="32"/>
        </w:rPr>
        <w:t>专项资金</w:t>
      </w:r>
      <w:r>
        <w:rPr>
          <w:rFonts w:ascii="仿宋" w:hAnsi="仿宋" w:eastAsia="仿宋"/>
          <w:sz w:val="32"/>
          <w:szCs w:val="32"/>
        </w:rPr>
        <w:t>99</w:t>
      </w:r>
      <w:r>
        <w:rPr>
          <w:rFonts w:hint="eastAsia" w:ascii="仿宋" w:hAnsi="仿宋" w:eastAsia="仿宋"/>
          <w:sz w:val="32"/>
          <w:szCs w:val="32"/>
        </w:rPr>
        <w:t>万元；三是加大服务企业力度。我局坚持季度工作推进会制度，对区内重点进出口企业，按月跟踪企业订单、项目、增长点、缺口等动态情况，协调解决企业困难问题，夯实了外贸支撑点。</w:t>
      </w:r>
    </w:p>
    <w:p>
      <w:pPr>
        <w:spacing w:line="500" w:lineRule="exact"/>
        <w:ind w:firstLine="640" w:firstLineChars="200"/>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聚力招商提高利用外资水平。一是完善招商机制建设。围绕全市招商工作的部署要求，积极适应机构改革和招商职能调整，加快建立区商务系统招商引资活动组织、项目推进及队伍建设等工作机制和工作体系；二是坚持国际视野，构筑对外开放大格局。牢固树立大招商、大开放、大发展的理念，积极抢抓京津冀协同发展、雄安新区建设等重大机遇，聚焦“京津疏解、雄安引领、保定支撑”的协同发展新模式，吸引创新资源要素入驻。积极参加</w:t>
      </w:r>
      <w:r>
        <w:rPr>
          <w:rFonts w:ascii="仿宋" w:hAnsi="仿宋" w:eastAsia="仿宋"/>
          <w:sz w:val="32"/>
          <w:szCs w:val="32"/>
        </w:rPr>
        <w:t>5.18</w:t>
      </w:r>
      <w:r>
        <w:rPr>
          <w:rFonts w:hint="eastAsia" w:ascii="仿宋" w:hAnsi="仿宋" w:eastAsia="仿宋"/>
          <w:sz w:val="32"/>
          <w:szCs w:val="32"/>
        </w:rPr>
        <w:t>廊坊经洽会、</w:t>
      </w:r>
      <w:r>
        <w:rPr>
          <w:rFonts w:ascii="仿宋" w:hAnsi="仿宋" w:eastAsia="仿宋"/>
          <w:sz w:val="32"/>
          <w:szCs w:val="32"/>
        </w:rPr>
        <w:t>9.8</w:t>
      </w:r>
      <w:r>
        <w:rPr>
          <w:rFonts w:hint="eastAsia" w:ascii="仿宋" w:hAnsi="仿宋" w:eastAsia="仿宋"/>
          <w:sz w:val="32"/>
          <w:szCs w:val="32"/>
        </w:rPr>
        <w:t>厦门会、上海进口博览会、深圳高交会，依托保定汽车科技产业园、深圳园、耐斯智慧海、亦庄众联保定创新园等平台，积极向国内外客商宣传推介满城区，抢占发展主动权，争取更多的外资项目、战略性新兴产业落户满城；三是努力搭建“一带一路”服务体系，提升满城区国际知名度。围绕保定陆港型国家物流枢纽承载城市布局，全力打造京津保国际贸易智慧港（原京津保公铁联运国际物流园），搭建进出口贸易平台。重点推进海关监管区和保税仓库建设，加快配套土地出让，完善商贸交易中心。凭借冀欧国际货运班列优势，努力在我区建成国际贸易聚焦区，进一步扩大满城区的知名度和影响力；四是积极推进招商代理工作。近年来，市委、市政府在招商引资方面不断加大力度，但因欠缺产业政策扶持，在产业实体引入过程中，与先进省、市对比缺乏竞争优势，造成了一定的优质资源流失。新兴产业落地聚集，不仅需要良好的产业环境构建，更需要产业政策激励。因此，我局在创新招商模式上下功夫，拓宽引资渠道，借助耐斯园区运营管理有限公司的专业招商团队及先进运营能力，依托“耐斯·智慧海”产业园区（将集中承载上千家科技企业进驻的世界级城市产业综合体）的这一绝佳承接平台，开展先行先试，积极研究认定“耐斯·智慧海”产业园区为招商中介机构，并给予相关支持的政策，现已向市政府申请给予认定和政策支持。</w:t>
      </w:r>
    </w:p>
    <w:p>
      <w:pPr>
        <w:spacing w:line="500" w:lineRule="exact"/>
        <w:ind w:firstLine="640" w:firstLineChars="200"/>
        <w:jc w:val="left"/>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、发展电商助推脱贫攻坚工作。一是推动电子商务发展。认真贯彻落实《保定市加快电子商务行动计划</w:t>
      </w:r>
      <w:r>
        <w:rPr>
          <w:rFonts w:ascii="仿宋" w:hAnsi="仿宋" w:eastAsia="仿宋"/>
          <w:sz w:val="32"/>
          <w:szCs w:val="32"/>
        </w:rPr>
        <w:t>2019</w:t>
      </w:r>
      <w:r>
        <w:rPr>
          <w:rFonts w:hint="eastAsia" w:ascii="仿宋" w:hAnsi="仿宋" w:eastAsia="仿宋"/>
          <w:sz w:val="32"/>
          <w:szCs w:val="32"/>
        </w:rPr>
        <w:t>年工作推动落实方案》要求，结合我区实际，以普及和深化电子商务应用为重点，培育壮大电子商务经营主体为途径，制定了《满城区加快电子商务发展行动计划</w:t>
      </w:r>
      <w:r>
        <w:rPr>
          <w:rFonts w:ascii="仿宋" w:hAnsi="仿宋" w:eastAsia="仿宋"/>
          <w:sz w:val="32"/>
          <w:szCs w:val="32"/>
        </w:rPr>
        <w:t>2019</w:t>
      </w:r>
      <w:r>
        <w:rPr>
          <w:rFonts w:hint="eastAsia" w:ascii="仿宋" w:hAnsi="仿宋" w:eastAsia="仿宋"/>
          <w:sz w:val="32"/>
          <w:szCs w:val="32"/>
        </w:rPr>
        <w:t>年工作推动落实方案》，进一步强化政策支持，加强监督管理，优化发展环境，推动电子商务工作健康快速发展，实现全区经济</w:t>
      </w:r>
      <w:r>
        <w:rPr>
          <w:rFonts w:hint="eastAsia" w:ascii="仿宋" w:hAnsi="仿宋" w:eastAsia="仿宋"/>
          <w:sz w:val="32"/>
          <w:szCs w:val="32"/>
          <w:lang w:val="en-US" w:eastAsia="zh-CN"/>
        </w:rPr>
        <w:t>提</w:t>
      </w:r>
      <w:r>
        <w:rPr>
          <w:rFonts w:hint="eastAsia" w:ascii="仿宋" w:hAnsi="仿宋" w:eastAsia="仿宋"/>
          <w:sz w:val="32"/>
          <w:szCs w:val="32"/>
        </w:rPr>
        <w:t>质增效升级；二是推进电商扶贫工作。为切实发挥农村电商对</w:t>
      </w:r>
      <w:r>
        <w:rPr>
          <w:rFonts w:hint="eastAsia" w:ascii="仿宋" w:hAnsi="仿宋" w:eastAsia="仿宋"/>
          <w:sz w:val="32"/>
          <w:szCs w:val="32"/>
          <w:lang w:val="en-US" w:eastAsia="zh-CN"/>
        </w:rPr>
        <w:t>脱</w:t>
      </w:r>
      <w:r>
        <w:rPr>
          <w:rFonts w:hint="eastAsia" w:ascii="仿宋" w:hAnsi="仿宋" w:eastAsia="仿宋"/>
          <w:sz w:val="32"/>
          <w:szCs w:val="32"/>
        </w:rPr>
        <w:t>贫攻坚的助推效应</w:t>
      </w:r>
      <w:r>
        <w:rPr>
          <w:rFonts w:ascii="仿宋" w:hAnsi="仿宋" w:eastAsia="仿宋"/>
          <w:sz w:val="32"/>
          <w:szCs w:val="32"/>
        </w:rPr>
        <w:t>,</w:t>
      </w:r>
      <w:r>
        <w:rPr>
          <w:rFonts w:hint="eastAsia" w:ascii="仿宋" w:hAnsi="仿宋" w:eastAsia="仿宋"/>
          <w:sz w:val="32"/>
          <w:szCs w:val="32"/>
        </w:rPr>
        <w:t>全面落实中央、省、市关于打赢脱贫攻坚战的精神，根据我区电子商务扶贫工作实际，持续推动《满城区商务局</w:t>
      </w:r>
      <w:r>
        <w:rPr>
          <w:rFonts w:ascii="仿宋" w:hAnsi="仿宋" w:eastAsia="仿宋"/>
          <w:sz w:val="32"/>
          <w:szCs w:val="32"/>
        </w:rPr>
        <w:t>2018-2020</w:t>
      </w:r>
      <w:r>
        <w:rPr>
          <w:rFonts w:hint="eastAsia" w:ascii="仿宋" w:hAnsi="仿宋" w:eastAsia="仿宋"/>
          <w:sz w:val="32"/>
          <w:szCs w:val="32"/>
        </w:rPr>
        <w:t>电商扶贫实施方案》实施，不断提升贫困人口利用电商创业、就业能力，让互联网发展成果惠及更多贫困人口。认真做好村级电商服务站的统计工作，做到真实全面。三是积极争取市级政策，组织区内电商企业申报“省级</w:t>
      </w:r>
      <w:r>
        <w:rPr>
          <w:rFonts w:ascii="仿宋" w:hAnsi="仿宋" w:eastAsia="仿宋"/>
          <w:sz w:val="32"/>
          <w:szCs w:val="32"/>
        </w:rPr>
        <w:t>2019</w:t>
      </w:r>
      <w:r>
        <w:rPr>
          <w:rFonts w:hint="eastAsia" w:ascii="仿宋" w:hAnsi="仿宋" w:eastAsia="仿宋"/>
          <w:sz w:val="32"/>
          <w:szCs w:val="32"/>
        </w:rPr>
        <w:t>年度电子商务建设重点项目”，严把申报企业初审关，确保符合申报条件的企业予以申报。</w:t>
      </w:r>
    </w:p>
    <w:p>
      <w:pPr>
        <w:spacing w:line="500" w:lineRule="exact"/>
        <w:ind w:firstLine="640" w:firstLineChars="200"/>
        <w:jc w:val="left"/>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加强监管维护市场经济秩序。一是做好成品油市场监管工作。通过检查加油站供油协议、发票、销售台帐、当前批次油品检测报告和消防设施等，确保国六汽柴油销售，严把质量关，落实大气污染治理要求和安全生产工作；二是为有效维护市场经济秩序，结合工作实际，制定了《满城区成品油市场秩序整治百日攻坚行动方案》，确定整治重点，明确部门职责，推动了专项整治任务的开展。通过大量宣传和检查，加大了对风险高发领域的监测预警力度，有效地防范了企业失信、违约行为的发生，保障了人民群众的合法利益。</w:t>
      </w:r>
    </w:p>
    <w:p>
      <w:pPr>
        <w:spacing w:line="500" w:lineRule="exact"/>
        <w:ind w:firstLine="640" w:firstLineChars="200"/>
        <w:jc w:val="left"/>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强化担当全面提高商务党建水平。一是加强思想政治建设践行初心使命。深入学习贯彻习近平新时代中国特色社会主义思想和党的十九大精神，贯彻落实中央和省、市、区委决策部署，在全局掀起“不忘初心、牢记使命”主题教育热潮，丰富形式抓学习，多措并举促实践，局党组理论</w:t>
      </w:r>
      <w:r>
        <w:rPr>
          <w:rFonts w:hint="eastAsia" w:ascii="仿宋" w:hAnsi="仿宋" w:eastAsia="仿宋"/>
          <w:sz w:val="32"/>
          <w:szCs w:val="32"/>
          <w:lang w:val="en-US" w:eastAsia="zh-CN"/>
        </w:rPr>
        <w:t>学习</w:t>
      </w:r>
      <w:r>
        <w:rPr>
          <w:rFonts w:hint="eastAsia" w:ascii="仿宋" w:hAnsi="仿宋" w:eastAsia="仿宋"/>
          <w:sz w:val="32"/>
          <w:szCs w:val="32"/>
        </w:rPr>
        <w:t>中心组集中学习累计</w:t>
      </w:r>
      <w:r>
        <w:rPr>
          <w:rFonts w:ascii="仿宋" w:hAnsi="仿宋" w:eastAsia="仿宋"/>
          <w:sz w:val="32"/>
          <w:szCs w:val="32"/>
        </w:rPr>
        <w:t>7</w:t>
      </w:r>
      <w:r>
        <w:rPr>
          <w:rFonts w:hint="eastAsia" w:ascii="仿宋" w:hAnsi="仿宋" w:eastAsia="仿宋"/>
          <w:sz w:val="32"/>
          <w:szCs w:val="32"/>
        </w:rPr>
        <w:t>个工作日，局领导结合调研、检查、党日活动等上党课</w:t>
      </w:r>
      <w:r>
        <w:rPr>
          <w:rFonts w:ascii="仿宋" w:hAnsi="仿宋" w:eastAsia="仿宋"/>
          <w:sz w:val="32"/>
          <w:szCs w:val="32"/>
        </w:rPr>
        <w:t>3</w:t>
      </w:r>
      <w:r>
        <w:rPr>
          <w:rFonts w:hint="eastAsia" w:ascii="仿宋" w:hAnsi="仿宋" w:eastAsia="仿宋"/>
          <w:sz w:val="32"/>
          <w:szCs w:val="32"/>
        </w:rPr>
        <w:t>次，依托日常学习组织主题辅导</w:t>
      </w:r>
      <w:r>
        <w:rPr>
          <w:rFonts w:ascii="仿宋" w:hAnsi="仿宋" w:eastAsia="仿宋"/>
          <w:sz w:val="32"/>
          <w:szCs w:val="32"/>
        </w:rPr>
        <w:t>2</w:t>
      </w:r>
      <w:r>
        <w:rPr>
          <w:rFonts w:hint="eastAsia" w:ascii="仿宋" w:hAnsi="仿宋" w:eastAsia="仿宋"/>
          <w:sz w:val="32"/>
          <w:szCs w:val="32"/>
        </w:rPr>
        <w:t>次，积极引导全局党员干部“守初心、担使命，找差距、抓落实”。二是加强干部队伍建设顺应时代要求。注重商务干部队伍专业能力的培养和提升，通过上级培训、部门组织、局内讲课等形式，共计参加各类培训</w:t>
      </w:r>
      <w:r>
        <w:rPr>
          <w:rFonts w:ascii="仿宋" w:hAnsi="仿宋" w:eastAsia="仿宋"/>
          <w:sz w:val="32"/>
          <w:szCs w:val="32"/>
        </w:rPr>
        <w:t>5</w:t>
      </w:r>
      <w:r>
        <w:rPr>
          <w:rFonts w:hint="eastAsia" w:ascii="仿宋" w:hAnsi="仿宋" w:eastAsia="仿宋"/>
          <w:sz w:val="32"/>
          <w:szCs w:val="32"/>
        </w:rPr>
        <w:t>期，累计</w:t>
      </w:r>
      <w:r>
        <w:rPr>
          <w:rFonts w:ascii="仿宋" w:hAnsi="仿宋" w:eastAsia="仿宋"/>
          <w:sz w:val="32"/>
          <w:szCs w:val="32"/>
        </w:rPr>
        <w:t>12</w:t>
      </w:r>
      <w:r>
        <w:rPr>
          <w:rFonts w:hint="eastAsia" w:ascii="仿宋" w:hAnsi="仿宋" w:eastAsia="仿宋"/>
          <w:sz w:val="32"/>
          <w:szCs w:val="32"/>
        </w:rPr>
        <w:t>人次参训，进一步促进了商务工作人员素质的提高。三是加强机关作风建设激荡清风正气。坚持“一岗双责”，坚持“三重一大”事项党组集体决策，严格执行中央八项规定以及省市区有关规定，积极开展廉政教育，营造廉洁从政良好环境。坚决反对官僚主义、形式主义，以企业家精神改进商务服务，局领导带头深入基层开展调研，重点围绕推进“稳外贸、稳外资、促消费”组织了</w:t>
      </w:r>
      <w:r>
        <w:rPr>
          <w:rFonts w:ascii="仿宋" w:hAnsi="仿宋" w:eastAsia="仿宋"/>
          <w:sz w:val="32"/>
          <w:szCs w:val="32"/>
        </w:rPr>
        <w:t>3</w:t>
      </w:r>
      <w:r>
        <w:rPr>
          <w:rFonts w:hint="eastAsia" w:ascii="仿宋" w:hAnsi="仿宋" w:eastAsia="仿宋"/>
          <w:sz w:val="32"/>
          <w:szCs w:val="32"/>
        </w:rPr>
        <w:t>场重点企业座谈会，深入对接行业、企业、项目，加强沟通指导，做好跟踪服务。四是加强党支部建设巩固战斗堡垒。认真落实基层党建工作责任制，分别签订全面从严治党和党风廉政建设工作责任书，有效巩固商务党建成果。</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三、工作保障措施</w:t>
      </w:r>
      <w:r>
        <w:fldChar w:fldCharType="begin"/>
      </w:r>
      <w:r>
        <w:rPr>
          <w:rFonts w:ascii="仿宋" w:hAnsi="仿宋" w:eastAsia="仿宋" w:cs="仿宋"/>
          <w:sz w:val="32"/>
          <w:szCs w:val="32"/>
        </w:rPr>
        <w:instrText xml:space="preserve">tc "</w:instrText>
      </w:r>
      <w:bookmarkStart w:id="1" w:name="_Toc29992342"/>
      <w:r>
        <w:rPr>
          <w:rFonts w:hint="eastAsia" w:ascii="仿宋" w:hAnsi="仿宋" w:eastAsia="仿宋" w:cs="仿宋"/>
          <w:sz w:val="32"/>
          <w:szCs w:val="32"/>
        </w:rPr>
        <w:instrText xml:space="preserve">工作保障措施</w:instrText>
      </w:r>
      <w:bookmarkEnd w:id="1"/>
      <w:r>
        <w:rPr>
          <w:rFonts w:ascii="仿宋" w:hAnsi="仿宋" w:eastAsia="仿宋" w:cs="仿宋"/>
          <w:sz w:val="32"/>
          <w:szCs w:val="32"/>
        </w:rPr>
        <w:instrText xml:space="preserve">" \f A \l 001</w:instrText>
      </w:r>
      <w:r>
        <w:rPr>
          <w:rFonts w:ascii="仿宋" w:hAnsi="仿宋" w:eastAsia="仿宋" w:cs="仿宋"/>
          <w:sz w:val="32"/>
          <w:szCs w:val="32"/>
        </w:rPr>
        <w:fldChar w:fldCharType="end"/>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强化外贸招商，狠抓项目引进。1、积极与开发区沟通协调，坚持走出去发展理念，参加全国性经贸洽谈会，掌握信息，全方位引进优质项目。2、紧盯签约项目，督促后续资金尽快到位，力争完成引资任务。对意向投资项目，结合发改局全力跟踪，全程服务，力促落地。同时挖掘我区现有外资项目潜力，形成合力，完成好引资任务。</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二）丰富促销手段，提升消费水平。全力抓好社会消费品零售总额统计上报，精心筛选规模企业纳入限上企业入统，保持充足后劲。丰富促销手段，拉动全区消费，特别是加大电商销售的入统力度，完成全年指标任务。</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三）加强市场监管，完善商贸流通。1、强化市场监测，规范经营行为。定期监测生活必需品、重要生产资料和重点企业流通情况，做好预测预警。2、整顿和规范市场经济秩序。开展各项整治活动，落实两法衔接，严厉打击商业欺诈行为。积极完善汽车销售、二手车市场、美容美发、洗染等行业监管，推动上级工作落实。</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（四）持续开展大气污染防治工作。打好成品油市场整治和报废机动车回收拆解整治攻坚战，勇于较真，敢于碰硬，确保大气污染防治工作落到实处。</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五）加大隐患排查，确保安全稳定。1、严格落实涉军人员、重点信访人稳控措施，全力做好思想工作，落实问题解决。2、强化各项安全生产监管措施，加大监督检查频次，落实分级管理机制，确保不发生安全生产事故。</w:t>
      </w:r>
    </w:p>
    <w:p>
      <w:pPr>
        <w:adjustRightInd w:val="0"/>
        <w:snapToGrid w:val="0"/>
        <w:spacing w:line="360" w:lineRule="auto"/>
        <w:ind w:firstLine="640" w:firstLineChars="200"/>
        <w:jc w:val="center"/>
        <w:rPr>
          <w:rFonts w:ascii="方正小标宋简体" w:hAnsi="黑体" w:eastAsia="方正小标宋简体" w:cs="仿宋_GB2312"/>
          <w:sz w:val="32"/>
          <w:szCs w:val="32"/>
        </w:rPr>
      </w:pPr>
    </w:p>
    <w:p>
      <w:pPr>
        <w:ind w:firstLine="640" w:firstLineChars="200"/>
        <w:jc w:val="left"/>
        <w:rPr>
          <w:rFonts w:hAnsi="宋体"/>
          <w:b/>
          <w:sz w:val="15"/>
          <w:szCs w:val="15"/>
        </w:rPr>
      </w:pPr>
      <w:r>
        <w:rPr>
          <w:rFonts w:hint="eastAsia" w:ascii="黑体" w:hAnsi="黑体" w:eastAsia="黑体" w:cs="黑体"/>
          <w:sz w:val="32"/>
          <w:szCs w:val="32"/>
        </w:rPr>
        <w:t>部门整体绩效目标</w:t>
      </w:r>
      <w:r>
        <w:rPr>
          <w:rFonts w:hint="eastAsia" w:ascii="方正仿宋_GBK" w:eastAsia="方正仿宋_GBK"/>
          <w:b/>
          <w:szCs w:val="21"/>
        </w:rPr>
        <w:t>1、2021年中央外经贸发展专项资金 保财建【2020】93号绩效目标表</w:t>
      </w:r>
    </w:p>
    <w:p>
      <w:pPr>
        <w:spacing w:line="14" w:lineRule="exact"/>
        <w:jc w:val="center"/>
        <w:rPr>
          <w:rFonts w:hAnsi="宋体"/>
          <w:sz w:val="15"/>
          <w:szCs w:val="15"/>
        </w:rPr>
      </w:pPr>
    </w:p>
    <w:tbl>
      <w:tblPr>
        <w:tblStyle w:val="6"/>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一级指标</w:t>
            </w:r>
          </w:p>
        </w:tc>
        <w:tc>
          <w:tcPr>
            <w:tcW w:w="2268"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二级指标</w:t>
            </w:r>
          </w:p>
        </w:tc>
        <w:tc>
          <w:tcPr>
            <w:tcW w:w="2835"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三级指标</w:t>
            </w:r>
          </w:p>
        </w:tc>
        <w:tc>
          <w:tcPr>
            <w:tcW w:w="2835"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绩效指标描述</w:t>
            </w:r>
          </w:p>
        </w:tc>
        <w:tc>
          <w:tcPr>
            <w:tcW w:w="2551"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指标值</w:t>
            </w:r>
          </w:p>
        </w:tc>
        <w:tc>
          <w:tcPr>
            <w:tcW w:w="2268"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szCs w:val="21"/>
              </w:rPr>
            </w:pPr>
            <w:r>
              <w:rPr>
                <w:rFonts w:hint="eastAsia" w:ascii="方正书宋_GBK" w:eastAsia="方正书宋_GBK"/>
                <w:szCs w:val="21"/>
              </w:rPr>
              <w:t>产出指标</w:t>
            </w:r>
          </w:p>
        </w:tc>
        <w:tc>
          <w:tcPr>
            <w:tcW w:w="2268"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绩效目标</w:t>
            </w:r>
          </w:p>
        </w:tc>
        <w:tc>
          <w:tcPr>
            <w:tcW w:w="2835" w:type="dxa"/>
            <w:noWrap w:val="0"/>
            <w:vAlign w:val="center"/>
          </w:tcPr>
          <w:p>
            <w:pPr>
              <w:spacing w:line="300" w:lineRule="exact"/>
              <w:jc w:val="left"/>
              <w:rPr>
                <w:rFonts w:ascii="方正书宋_GBK" w:eastAsia="方正书宋_GBK"/>
                <w:szCs w:val="21"/>
              </w:rPr>
            </w:pPr>
            <w:r>
              <w:rPr>
                <w:rFonts w:ascii="方正书宋_GBK" w:eastAsia="方正书宋_GBK"/>
                <w:szCs w:val="21"/>
              </w:rPr>
              <w:t>1.</w:t>
            </w:r>
            <w:r>
              <w:rPr>
                <w:rFonts w:hint="eastAsia" w:ascii="方正书宋_GBK" w:eastAsia="方正书宋_GBK"/>
                <w:szCs w:val="21"/>
              </w:rPr>
              <w:t>及时拨付资金，促进外贸企业发展</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外贸企业参展数量</w:t>
            </w:r>
          </w:p>
        </w:tc>
        <w:tc>
          <w:tcPr>
            <w:tcW w:w="2551"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w:t>
            </w:r>
            <w:r>
              <w:rPr>
                <w:rFonts w:ascii="方正书宋_GBK" w:eastAsia="方正书宋_GBK"/>
                <w:szCs w:val="21"/>
              </w:rPr>
              <w:t>5</w:t>
            </w:r>
            <w:r>
              <w:rPr>
                <w:rFonts w:hint="eastAsia" w:ascii="方正书宋_GBK" w:eastAsia="方正书宋_GBK"/>
                <w:szCs w:val="21"/>
              </w:rPr>
              <w:t>个</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质量指标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拨付率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拨付完成比率</w:t>
            </w:r>
          </w:p>
        </w:tc>
        <w:tc>
          <w:tcPr>
            <w:tcW w:w="2551" w:type="dxa"/>
            <w:noWrap w:val="0"/>
            <w:vAlign w:val="center"/>
          </w:tcPr>
          <w:p>
            <w:pPr>
              <w:spacing w:line="300" w:lineRule="exact"/>
              <w:jc w:val="left"/>
              <w:rPr>
                <w:rFonts w:ascii="方正书宋_GBK" w:eastAsia="方正书宋_GBK"/>
                <w:szCs w:val="21"/>
              </w:rPr>
            </w:pPr>
            <w:r>
              <w:rPr>
                <w:rFonts w:ascii="方正书宋_GBK" w:eastAsia="方正书宋_GBK"/>
                <w:szCs w:val="21"/>
              </w:rPr>
              <w:t>100%</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时效指标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拨付时间</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拨付到位时间</w:t>
            </w:r>
          </w:p>
        </w:tc>
        <w:tc>
          <w:tcPr>
            <w:tcW w:w="2551" w:type="dxa"/>
            <w:noWrap w:val="0"/>
            <w:vAlign w:val="center"/>
          </w:tcPr>
          <w:p>
            <w:pPr>
              <w:spacing w:line="300" w:lineRule="exact"/>
              <w:jc w:val="left"/>
              <w:rPr>
                <w:rFonts w:ascii="方正书宋_GBK" w:eastAsia="方正书宋_GBK"/>
                <w:szCs w:val="21"/>
              </w:rPr>
            </w:pPr>
            <w:r>
              <w:rPr>
                <w:rFonts w:ascii="方正书宋_GBK" w:eastAsia="方正书宋_GBK"/>
                <w:szCs w:val="21"/>
              </w:rPr>
              <w:t>12</w:t>
            </w:r>
            <w:r>
              <w:rPr>
                <w:rFonts w:hint="eastAsia" w:ascii="方正书宋_GBK" w:eastAsia="方正书宋_GBK"/>
                <w:szCs w:val="21"/>
              </w:rPr>
              <w:t>月底前</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成本指标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补贴总额</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展会补贴金额</w:t>
            </w:r>
          </w:p>
        </w:tc>
        <w:tc>
          <w:tcPr>
            <w:tcW w:w="2551"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w:t>
            </w:r>
            <w:r>
              <w:rPr>
                <w:rFonts w:ascii="方正书宋_GBK" w:eastAsia="方正书宋_GBK"/>
                <w:szCs w:val="21"/>
              </w:rPr>
              <w:t>50</w:t>
            </w:r>
            <w:r>
              <w:rPr>
                <w:rFonts w:hint="eastAsia" w:ascii="方正书宋_GBK" w:eastAsia="方正书宋_GBK"/>
                <w:szCs w:val="21"/>
              </w:rPr>
              <w:t>万元</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szCs w:val="21"/>
              </w:rPr>
            </w:pPr>
            <w:r>
              <w:rPr>
                <w:rFonts w:hint="eastAsia" w:ascii="方正书宋_GBK" w:eastAsia="方正书宋_GBK"/>
                <w:szCs w:val="21"/>
              </w:rPr>
              <w:t>效益指标</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经济效益指标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经济效益改善</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改善外贸企业经济效益</w:t>
            </w:r>
          </w:p>
        </w:tc>
        <w:tc>
          <w:tcPr>
            <w:tcW w:w="2551"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提高</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社会效益指标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外贸高质量发展</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进一步促进外贸企业发展</w:t>
            </w:r>
          </w:p>
        </w:tc>
        <w:tc>
          <w:tcPr>
            <w:tcW w:w="2551"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提升</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szCs w:val="21"/>
              </w:rPr>
            </w:pPr>
            <w:r>
              <w:rPr>
                <w:rFonts w:hint="eastAsia" w:ascii="方正书宋_GBK" w:eastAsia="方正书宋_GBK"/>
                <w:szCs w:val="21"/>
              </w:rPr>
              <w:t>满意度指标</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服务对象满意度指标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满意度</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获支持的参展企业满意程度</w:t>
            </w:r>
          </w:p>
        </w:tc>
        <w:tc>
          <w:tcPr>
            <w:tcW w:w="2551"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w:t>
            </w:r>
            <w:r>
              <w:rPr>
                <w:rFonts w:ascii="方正书宋_GBK" w:eastAsia="方正书宋_GBK"/>
                <w:szCs w:val="21"/>
              </w:rPr>
              <w:t>95%</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bl>
    <w:p>
      <w:pPr>
        <w:spacing w:line="300" w:lineRule="exact"/>
        <w:jc w:val="left"/>
        <w:rPr>
          <w:szCs w:val="21"/>
        </w:rPr>
      </w:pPr>
    </w:p>
    <w:p>
      <w:pPr>
        <w:ind w:firstLine="422" w:firstLineChars="200"/>
        <w:jc w:val="left"/>
        <w:rPr>
          <w:rFonts w:hAnsi="宋体"/>
          <w:b/>
          <w:szCs w:val="21"/>
        </w:rPr>
      </w:pPr>
      <w:r>
        <w:rPr>
          <w:rFonts w:hint="eastAsia" w:ascii="方正仿宋_GBK" w:eastAsia="方正仿宋_GBK"/>
          <w:b/>
          <w:szCs w:val="21"/>
        </w:rPr>
        <w:t>2、提前下达2021年中央服务业发展资金保财建【2020】99号绩效目标表</w:t>
      </w:r>
    </w:p>
    <w:tbl>
      <w:tblPr>
        <w:tblStyle w:val="6"/>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szCs w:val="21"/>
              </w:rPr>
            </w:pPr>
            <w:r>
              <w:rPr>
                <w:rFonts w:ascii="方正书宋_GBK" w:eastAsia="方正书宋_GBK"/>
                <w:szCs w:val="21"/>
              </w:rPr>
              <w:t>1.</w:t>
            </w:r>
            <w:r>
              <w:rPr>
                <w:rFonts w:hint="eastAsia" w:ascii="方正书宋_GBK" w:eastAsia="方正书宋_GBK"/>
                <w:szCs w:val="21"/>
              </w:rPr>
              <w:t>推进电子商务进农村综合示范</w:t>
            </w:r>
          </w:p>
          <w:p>
            <w:pPr>
              <w:spacing w:line="300" w:lineRule="exact"/>
              <w:jc w:val="left"/>
              <w:rPr>
                <w:rFonts w:ascii="方正书宋_GBK" w:eastAsia="方正书宋_GBK"/>
                <w:szCs w:val="21"/>
              </w:rPr>
            </w:pPr>
            <w:r>
              <w:rPr>
                <w:rFonts w:ascii="方正书宋_GBK" w:eastAsia="方正书宋_GBK"/>
                <w:szCs w:val="21"/>
              </w:rPr>
              <w:t>2.</w:t>
            </w:r>
            <w:r>
              <w:rPr>
                <w:rFonts w:hint="eastAsia" w:ascii="方正书宋_GBK" w:eastAsia="方正书宋_GBK"/>
                <w:szCs w:val="21"/>
              </w:rPr>
              <w:t>推进农商互联，完善农产品供应链</w:t>
            </w:r>
          </w:p>
        </w:tc>
      </w:tr>
    </w:tbl>
    <w:p>
      <w:pPr>
        <w:spacing w:line="14" w:lineRule="exact"/>
        <w:jc w:val="center"/>
        <w:rPr>
          <w:rFonts w:hAnsi="宋体"/>
          <w:szCs w:val="21"/>
        </w:rPr>
      </w:pPr>
    </w:p>
    <w:tbl>
      <w:tblPr>
        <w:tblStyle w:val="6"/>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一级指标</w:t>
            </w:r>
          </w:p>
        </w:tc>
        <w:tc>
          <w:tcPr>
            <w:tcW w:w="2268"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二级指标</w:t>
            </w:r>
          </w:p>
        </w:tc>
        <w:tc>
          <w:tcPr>
            <w:tcW w:w="2835"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三级指标</w:t>
            </w:r>
          </w:p>
        </w:tc>
        <w:tc>
          <w:tcPr>
            <w:tcW w:w="2835"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绩效指标描述</w:t>
            </w:r>
          </w:p>
        </w:tc>
        <w:tc>
          <w:tcPr>
            <w:tcW w:w="2551"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指标值</w:t>
            </w:r>
          </w:p>
        </w:tc>
        <w:tc>
          <w:tcPr>
            <w:tcW w:w="2268"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szCs w:val="21"/>
              </w:rPr>
            </w:pPr>
            <w:r>
              <w:rPr>
                <w:rFonts w:hint="eastAsia" w:ascii="方正书宋_GBK" w:eastAsia="方正书宋_GBK"/>
                <w:szCs w:val="21"/>
              </w:rPr>
              <w:t>产出指标</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数量指标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扶持企业数量</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补贴企业数量</w:t>
            </w:r>
          </w:p>
        </w:tc>
        <w:tc>
          <w:tcPr>
            <w:tcW w:w="2551"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w:t>
            </w:r>
            <w:r>
              <w:rPr>
                <w:rFonts w:ascii="方正书宋_GBK" w:eastAsia="方正书宋_GBK"/>
                <w:szCs w:val="21"/>
              </w:rPr>
              <w:t>5</w:t>
            </w:r>
            <w:r>
              <w:rPr>
                <w:rFonts w:hint="eastAsia" w:ascii="方正书宋_GBK" w:eastAsia="方正书宋_GBK"/>
                <w:szCs w:val="21"/>
              </w:rPr>
              <w:t>个</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质量指标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拨付率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拨付完成比率</w:t>
            </w:r>
          </w:p>
        </w:tc>
        <w:tc>
          <w:tcPr>
            <w:tcW w:w="2551" w:type="dxa"/>
            <w:noWrap w:val="0"/>
            <w:vAlign w:val="center"/>
          </w:tcPr>
          <w:p>
            <w:pPr>
              <w:spacing w:line="300" w:lineRule="exact"/>
              <w:jc w:val="left"/>
              <w:rPr>
                <w:rFonts w:ascii="方正书宋_GBK" w:eastAsia="方正书宋_GBK"/>
                <w:szCs w:val="21"/>
              </w:rPr>
            </w:pPr>
            <w:r>
              <w:rPr>
                <w:rFonts w:ascii="方正书宋_GBK" w:eastAsia="方正书宋_GBK"/>
                <w:szCs w:val="21"/>
              </w:rPr>
              <w:t>100%</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时效指标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拨付时间</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拨付到位时间</w:t>
            </w:r>
          </w:p>
        </w:tc>
        <w:tc>
          <w:tcPr>
            <w:tcW w:w="2551" w:type="dxa"/>
            <w:noWrap w:val="0"/>
            <w:vAlign w:val="center"/>
          </w:tcPr>
          <w:p>
            <w:pPr>
              <w:spacing w:line="300" w:lineRule="exact"/>
              <w:jc w:val="left"/>
              <w:rPr>
                <w:rFonts w:ascii="方正书宋_GBK" w:eastAsia="方正书宋_GBK"/>
                <w:szCs w:val="21"/>
              </w:rPr>
            </w:pPr>
            <w:r>
              <w:rPr>
                <w:rFonts w:ascii="方正书宋_GBK" w:eastAsia="方正书宋_GBK"/>
                <w:szCs w:val="21"/>
              </w:rPr>
              <w:t>12</w:t>
            </w:r>
            <w:r>
              <w:rPr>
                <w:rFonts w:hint="eastAsia" w:ascii="方正书宋_GBK" w:eastAsia="方正书宋_GBK"/>
                <w:szCs w:val="21"/>
              </w:rPr>
              <w:t>月底</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成本指标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扶持企业发生金额</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扶持企业金额</w:t>
            </w:r>
          </w:p>
        </w:tc>
        <w:tc>
          <w:tcPr>
            <w:tcW w:w="2551"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不超过预算</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szCs w:val="21"/>
              </w:rPr>
            </w:pPr>
            <w:r>
              <w:rPr>
                <w:rFonts w:hint="eastAsia" w:ascii="方正书宋_GBK" w:eastAsia="方正书宋_GBK"/>
                <w:szCs w:val="21"/>
              </w:rPr>
              <w:t>效益指标</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经济效益指标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社会稳定情况</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进一步促进社会稳定</w:t>
            </w:r>
          </w:p>
        </w:tc>
        <w:tc>
          <w:tcPr>
            <w:tcW w:w="2551"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提升</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社会效益指标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生态影响</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生态影响</w:t>
            </w:r>
          </w:p>
        </w:tc>
        <w:tc>
          <w:tcPr>
            <w:tcW w:w="2551"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提高</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生态效益指标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可持续性服务</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可持续性服务</w:t>
            </w:r>
          </w:p>
        </w:tc>
        <w:tc>
          <w:tcPr>
            <w:tcW w:w="2551"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w:t>
            </w:r>
            <w:r>
              <w:rPr>
                <w:rFonts w:ascii="方正书宋_GBK" w:eastAsia="方正书宋_GBK"/>
                <w:szCs w:val="21"/>
              </w:rPr>
              <w:t>95%</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可持续影响指标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人员经济效益改善</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改善经济效益</w:t>
            </w:r>
          </w:p>
        </w:tc>
        <w:tc>
          <w:tcPr>
            <w:tcW w:w="2551"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提高</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szCs w:val="21"/>
              </w:rPr>
            </w:pPr>
            <w:r>
              <w:rPr>
                <w:rFonts w:hint="eastAsia" w:ascii="方正书宋_GBK" w:eastAsia="方正书宋_GBK"/>
                <w:szCs w:val="21"/>
              </w:rPr>
              <w:t>满意度指标</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服务对象满意度指标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满意度</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扶持企业的满意程度</w:t>
            </w:r>
          </w:p>
        </w:tc>
        <w:tc>
          <w:tcPr>
            <w:tcW w:w="2551" w:type="dxa"/>
            <w:noWrap w:val="0"/>
            <w:vAlign w:val="center"/>
          </w:tcPr>
          <w:p>
            <w:pPr>
              <w:spacing w:line="300" w:lineRule="exact"/>
              <w:jc w:val="left"/>
              <w:rPr>
                <w:rFonts w:ascii="方正书宋_GBK" w:eastAsia="方正书宋_GBK"/>
                <w:szCs w:val="21"/>
              </w:rPr>
            </w:pPr>
            <w:r>
              <w:rPr>
                <w:rFonts w:ascii="方正书宋_GBK" w:eastAsia="方正书宋_GBK"/>
                <w:szCs w:val="21"/>
              </w:rPr>
              <w:t>100%</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bl>
    <w:p>
      <w:pPr>
        <w:spacing w:line="300" w:lineRule="exact"/>
        <w:jc w:val="left"/>
        <w:rPr>
          <w:szCs w:val="21"/>
        </w:rPr>
      </w:pPr>
    </w:p>
    <w:p>
      <w:pPr>
        <w:ind w:firstLine="422" w:firstLineChars="200"/>
        <w:jc w:val="left"/>
        <w:rPr>
          <w:rFonts w:hAnsi="宋体"/>
          <w:b/>
          <w:szCs w:val="21"/>
        </w:rPr>
      </w:pPr>
      <w:r>
        <w:rPr>
          <w:rFonts w:hint="eastAsia" w:ascii="方正仿宋_GBK" w:eastAsia="方正仿宋_GBK"/>
          <w:b/>
          <w:szCs w:val="21"/>
        </w:rPr>
        <w:t>3、9名退役士兵安置遗留问题需要资金绩效目标表</w:t>
      </w:r>
    </w:p>
    <w:tbl>
      <w:tblPr>
        <w:tblStyle w:val="6"/>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szCs w:val="21"/>
              </w:rPr>
            </w:pPr>
            <w:r>
              <w:rPr>
                <w:rFonts w:ascii="方正书宋_GBK" w:eastAsia="方正书宋_GBK"/>
                <w:szCs w:val="21"/>
              </w:rPr>
              <w:t>1.</w:t>
            </w:r>
            <w:r>
              <w:rPr>
                <w:rFonts w:hint="eastAsia" w:ascii="方正书宋_GBK" w:eastAsia="方正书宋_GBK"/>
                <w:szCs w:val="21"/>
              </w:rPr>
              <w:t>按时拨付生活费</w:t>
            </w:r>
          </w:p>
          <w:p>
            <w:pPr>
              <w:spacing w:line="300" w:lineRule="exact"/>
              <w:jc w:val="left"/>
              <w:rPr>
                <w:rFonts w:ascii="方正书宋_GBK" w:eastAsia="方正书宋_GBK"/>
                <w:szCs w:val="21"/>
              </w:rPr>
            </w:pPr>
            <w:r>
              <w:rPr>
                <w:rFonts w:ascii="方正书宋_GBK" w:eastAsia="方正书宋_GBK"/>
                <w:szCs w:val="21"/>
              </w:rPr>
              <w:t>2.</w:t>
            </w:r>
            <w:r>
              <w:rPr>
                <w:rFonts w:hint="eastAsia" w:ascii="方正书宋_GBK" w:eastAsia="方正书宋_GBK"/>
                <w:szCs w:val="21"/>
              </w:rPr>
              <w:t>及时缴纳保险</w:t>
            </w:r>
          </w:p>
        </w:tc>
      </w:tr>
    </w:tbl>
    <w:p>
      <w:pPr>
        <w:spacing w:line="14" w:lineRule="exact"/>
        <w:jc w:val="center"/>
        <w:rPr>
          <w:rFonts w:hAnsi="宋体"/>
          <w:szCs w:val="21"/>
        </w:rPr>
      </w:pPr>
    </w:p>
    <w:tbl>
      <w:tblPr>
        <w:tblStyle w:val="6"/>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一级指标</w:t>
            </w:r>
          </w:p>
        </w:tc>
        <w:tc>
          <w:tcPr>
            <w:tcW w:w="2268"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二级指标</w:t>
            </w:r>
          </w:p>
        </w:tc>
        <w:tc>
          <w:tcPr>
            <w:tcW w:w="2835"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三级指标</w:t>
            </w:r>
          </w:p>
        </w:tc>
        <w:tc>
          <w:tcPr>
            <w:tcW w:w="2835"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绩效指标描述</w:t>
            </w:r>
          </w:p>
        </w:tc>
        <w:tc>
          <w:tcPr>
            <w:tcW w:w="2551"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指标值</w:t>
            </w:r>
          </w:p>
        </w:tc>
        <w:tc>
          <w:tcPr>
            <w:tcW w:w="2268"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szCs w:val="21"/>
              </w:rPr>
            </w:pPr>
            <w:r>
              <w:rPr>
                <w:rFonts w:hint="eastAsia" w:ascii="方正书宋_GBK" w:eastAsia="方正书宋_GBK"/>
                <w:szCs w:val="21"/>
              </w:rPr>
              <w:t>产出指标</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数量指标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涉军人员数量</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安置涉军人员数量</w:t>
            </w:r>
          </w:p>
        </w:tc>
        <w:tc>
          <w:tcPr>
            <w:tcW w:w="2551" w:type="dxa"/>
            <w:noWrap w:val="0"/>
            <w:vAlign w:val="center"/>
          </w:tcPr>
          <w:p>
            <w:pPr>
              <w:spacing w:line="300" w:lineRule="exact"/>
              <w:jc w:val="left"/>
              <w:rPr>
                <w:rFonts w:ascii="方正书宋_GBK" w:eastAsia="方正书宋_GBK"/>
                <w:szCs w:val="21"/>
              </w:rPr>
            </w:pPr>
            <w:r>
              <w:rPr>
                <w:rFonts w:ascii="方正书宋_GBK" w:eastAsia="方正书宋_GBK"/>
                <w:szCs w:val="21"/>
              </w:rPr>
              <w:t>9</w:t>
            </w:r>
            <w:r>
              <w:rPr>
                <w:rFonts w:hint="eastAsia" w:ascii="方正书宋_GBK" w:eastAsia="方正书宋_GBK"/>
                <w:szCs w:val="21"/>
              </w:rPr>
              <w:t>人</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质量指标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拨付率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拨付完成比率</w:t>
            </w:r>
          </w:p>
        </w:tc>
        <w:tc>
          <w:tcPr>
            <w:tcW w:w="2551" w:type="dxa"/>
            <w:noWrap w:val="0"/>
            <w:vAlign w:val="center"/>
          </w:tcPr>
          <w:p>
            <w:pPr>
              <w:spacing w:line="300" w:lineRule="exact"/>
              <w:jc w:val="left"/>
              <w:rPr>
                <w:rFonts w:ascii="方正书宋_GBK" w:eastAsia="方正书宋_GBK"/>
                <w:szCs w:val="21"/>
              </w:rPr>
            </w:pPr>
            <w:r>
              <w:rPr>
                <w:rFonts w:ascii="方正书宋_GBK" w:eastAsia="方正书宋_GBK"/>
                <w:szCs w:val="21"/>
              </w:rPr>
              <w:t>100%</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时效指标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拨付时间</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拨付到位时间</w:t>
            </w:r>
          </w:p>
        </w:tc>
        <w:tc>
          <w:tcPr>
            <w:tcW w:w="2551" w:type="dxa"/>
            <w:noWrap w:val="0"/>
            <w:vAlign w:val="center"/>
          </w:tcPr>
          <w:p>
            <w:pPr>
              <w:spacing w:line="300" w:lineRule="exact"/>
              <w:jc w:val="left"/>
              <w:rPr>
                <w:rFonts w:ascii="方正书宋_GBK" w:eastAsia="方正书宋_GBK"/>
                <w:szCs w:val="21"/>
              </w:rPr>
            </w:pPr>
            <w:r>
              <w:rPr>
                <w:rFonts w:ascii="方正书宋_GBK" w:eastAsia="方正书宋_GBK"/>
                <w:szCs w:val="21"/>
              </w:rPr>
              <w:t>12</w:t>
            </w:r>
            <w:r>
              <w:rPr>
                <w:rFonts w:hint="eastAsia" w:ascii="方正书宋_GBK" w:eastAsia="方正书宋_GBK"/>
                <w:szCs w:val="21"/>
              </w:rPr>
              <w:t>月底</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成本指标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相关生活费保险发生额</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养老、医保及生活费数额</w:t>
            </w:r>
          </w:p>
        </w:tc>
        <w:tc>
          <w:tcPr>
            <w:tcW w:w="2551" w:type="dxa"/>
            <w:noWrap w:val="0"/>
            <w:vAlign w:val="center"/>
          </w:tcPr>
          <w:p>
            <w:pPr>
              <w:spacing w:line="300" w:lineRule="exact"/>
              <w:jc w:val="left"/>
              <w:rPr>
                <w:rFonts w:ascii="方正书宋_GBK" w:eastAsia="方正书宋_GBK"/>
                <w:szCs w:val="21"/>
              </w:rPr>
            </w:pPr>
            <w:r>
              <w:rPr>
                <w:rFonts w:ascii="方正书宋_GBK" w:eastAsia="方正书宋_GBK"/>
                <w:szCs w:val="21"/>
              </w:rPr>
              <w:t>1880635.02</w:t>
            </w:r>
            <w:r>
              <w:rPr>
                <w:rFonts w:hint="eastAsia" w:ascii="方正书宋_GBK" w:eastAsia="方正书宋_GBK"/>
                <w:szCs w:val="21"/>
              </w:rPr>
              <w:t>元</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szCs w:val="21"/>
              </w:rPr>
            </w:pPr>
            <w:r>
              <w:rPr>
                <w:rFonts w:hint="eastAsia" w:ascii="方正书宋_GBK" w:eastAsia="方正书宋_GBK"/>
                <w:szCs w:val="21"/>
              </w:rPr>
              <w:t>效益指标</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经济效益指标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人员经济效益改善</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改善经济效益</w:t>
            </w:r>
          </w:p>
        </w:tc>
        <w:tc>
          <w:tcPr>
            <w:tcW w:w="2551"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提高</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社会效益指标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社会稳定情况</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进一步促进社会稳定</w:t>
            </w:r>
          </w:p>
        </w:tc>
        <w:tc>
          <w:tcPr>
            <w:tcW w:w="2551"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提升</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jc w:val="center"/>
        </w:trPr>
        <w:tc>
          <w:tcPr>
            <w:tcW w:w="1417" w:type="dxa"/>
            <w:noWrap w:val="0"/>
            <w:vAlign w:val="center"/>
          </w:tcPr>
          <w:p>
            <w:pPr>
              <w:spacing w:line="300" w:lineRule="exact"/>
              <w:jc w:val="center"/>
              <w:rPr>
                <w:rFonts w:ascii="方正书宋_GBK" w:eastAsia="方正书宋_GBK"/>
                <w:szCs w:val="21"/>
              </w:rPr>
            </w:pPr>
            <w:r>
              <w:rPr>
                <w:rFonts w:hint="eastAsia" w:ascii="方正书宋_GBK" w:eastAsia="方正书宋_GBK"/>
                <w:szCs w:val="21"/>
              </w:rPr>
              <w:t>满意度指标</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服务对象满意度指标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满意度</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服务对象的满意程度</w:t>
            </w:r>
          </w:p>
        </w:tc>
        <w:tc>
          <w:tcPr>
            <w:tcW w:w="2551"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w:t>
            </w:r>
            <w:r>
              <w:rPr>
                <w:rFonts w:ascii="方正书宋_GBK" w:eastAsia="方正书宋_GBK"/>
                <w:szCs w:val="21"/>
              </w:rPr>
              <w:t>95%</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bl>
    <w:p>
      <w:pPr>
        <w:spacing w:line="300" w:lineRule="exact"/>
        <w:jc w:val="left"/>
        <w:rPr>
          <w:szCs w:val="21"/>
        </w:rPr>
      </w:pPr>
    </w:p>
    <w:p>
      <w:pPr>
        <w:ind w:firstLine="422" w:firstLineChars="200"/>
        <w:jc w:val="left"/>
        <w:rPr>
          <w:rFonts w:hAnsi="宋体"/>
          <w:b/>
          <w:szCs w:val="21"/>
        </w:rPr>
      </w:pPr>
      <w:r>
        <w:rPr>
          <w:rFonts w:hint="eastAsia" w:ascii="方正仿宋_GBK" w:eastAsia="方正仿宋_GBK"/>
          <w:b/>
          <w:szCs w:val="21"/>
        </w:rPr>
        <w:t>4、供养人员2020年20%工资绩效目标表</w:t>
      </w:r>
    </w:p>
    <w:tbl>
      <w:tblPr>
        <w:tblStyle w:val="6"/>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szCs w:val="21"/>
              </w:rPr>
            </w:pPr>
            <w:r>
              <w:rPr>
                <w:rFonts w:ascii="方正书宋_GBK" w:eastAsia="方正书宋_GBK"/>
                <w:szCs w:val="21"/>
              </w:rPr>
              <w:t>1.</w:t>
            </w:r>
            <w:r>
              <w:rPr>
                <w:rFonts w:hint="eastAsia" w:ascii="方正书宋_GBK" w:eastAsia="方正书宋_GBK"/>
                <w:szCs w:val="21"/>
              </w:rPr>
              <w:t>按时拨付资金</w:t>
            </w:r>
          </w:p>
        </w:tc>
      </w:tr>
    </w:tbl>
    <w:p>
      <w:pPr>
        <w:spacing w:line="14" w:lineRule="exact"/>
        <w:jc w:val="center"/>
        <w:rPr>
          <w:rFonts w:hAnsi="宋体"/>
          <w:szCs w:val="21"/>
        </w:rPr>
      </w:pPr>
    </w:p>
    <w:tbl>
      <w:tblPr>
        <w:tblStyle w:val="6"/>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一级指标</w:t>
            </w:r>
          </w:p>
        </w:tc>
        <w:tc>
          <w:tcPr>
            <w:tcW w:w="2268"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二级指标</w:t>
            </w:r>
          </w:p>
        </w:tc>
        <w:tc>
          <w:tcPr>
            <w:tcW w:w="2835"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三级指标</w:t>
            </w:r>
          </w:p>
        </w:tc>
        <w:tc>
          <w:tcPr>
            <w:tcW w:w="2835"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绩效指标描述</w:t>
            </w:r>
          </w:p>
        </w:tc>
        <w:tc>
          <w:tcPr>
            <w:tcW w:w="2551"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指标值</w:t>
            </w:r>
          </w:p>
        </w:tc>
        <w:tc>
          <w:tcPr>
            <w:tcW w:w="2268"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szCs w:val="21"/>
              </w:rPr>
            </w:pPr>
            <w:r>
              <w:rPr>
                <w:rFonts w:hint="eastAsia" w:ascii="方正书宋_GBK" w:eastAsia="方正书宋_GBK"/>
                <w:szCs w:val="21"/>
              </w:rPr>
              <w:t>产出指标</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数量指标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发放人数</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差额人员发放工资人数</w:t>
            </w:r>
          </w:p>
        </w:tc>
        <w:tc>
          <w:tcPr>
            <w:tcW w:w="2551" w:type="dxa"/>
            <w:noWrap w:val="0"/>
            <w:vAlign w:val="center"/>
          </w:tcPr>
          <w:p>
            <w:pPr>
              <w:spacing w:line="300" w:lineRule="exact"/>
              <w:jc w:val="left"/>
              <w:rPr>
                <w:rFonts w:ascii="方正书宋_GBK" w:eastAsia="方正书宋_GBK"/>
                <w:szCs w:val="21"/>
              </w:rPr>
            </w:pPr>
            <w:r>
              <w:rPr>
                <w:rFonts w:ascii="方正书宋_GBK" w:eastAsia="方正书宋_GBK"/>
                <w:szCs w:val="21"/>
              </w:rPr>
              <w:t>10</w:t>
            </w:r>
            <w:r>
              <w:rPr>
                <w:rFonts w:hint="eastAsia" w:ascii="方正书宋_GBK" w:eastAsia="方正书宋_GBK"/>
                <w:szCs w:val="21"/>
              </w:rPr>
              <w:t>人</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质量指标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发放率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实际发放额占应发放额的比例</w:t>
            </w:r>
          </w:p>
        </w:tc>
        <w:tc>
          <w:tcPr>
            <w:tcW w:w="2551" w:type="dxa"/>
            <w:noWrap w:val="0"/>
            <w:vAlign w:val="center"/>
          </w:tcPr>
          <w:p>
            <w:pPr>
              <w:spacing w:line="300" w:lineRule="exact"/>
              <w:jc w:val="left"/>
              <w:rPr>
                <w:rFonts w:ascii="方正书宋_GBK" w:eastAsia="方正书宋_GBK"/>
                <w:szCs w:val="21"/>
              </w:rPr>
            </w:pPr>
            <w:r>
              <w:rPr>
                <w:rFonts w:ascii="方正书宋_GBK" w:eastAsia="方正书宋_GBK"/>
                <w:szCs w:val="21"/>
              </w:rPr>
              <w:t>100%</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时效指标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发放时效</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差额人员工资具体发放时间</w:t>
            </w:r>
          </w:p>
        </w:tc>
        <w:tc>
          <w:tcPr>
            <w:tcW w:w="2551" w:type="dxa"/>
            <w:noWrap w:val="0"/>
            <w:vAlign w:val="center"/>
          </w:tcPr>
          <w:p>
            <w:pPr>
              <w:spacing w:line="300" w:lineRule="exact"/>
              <w:jc w:val="left"/>
              <w:rPr>
                <w:rFonts w:ascii="方正书宋_GBK" w:eastAsia="方正书宋_GBK"/>
                <w:szCs w:val="21"/>
              </w:rPr>
            </w:pPr>
            <w:r>
              <w:rPr>
                <w:rFonts w:ascii="方正书宋_GBK" w:eastAsia="方正书宋_GBK"/>
                <w:szCs w:val="21"/>
              </w:rPr>
              <w:t>3</w:t>
            </w:r>
            <w:r>
              <w:rPr>
                <w:rFonts w:hint="eastAsia" w:ascii="方正书宋_GBK" w:eastAsia="方正书宋_GBK"/>
                <w:szCs w:val="21"/>
              </w:rPr>
              <w:t>月底之前发放</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成本指标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工资标准</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差额人员平均每人剩余工资</w:t>
            </w:r>
            <w:r>
              <w:rPr>
                <w:rFonts w:ascii="方正书宋_GBK" w:eastAsia="方正书宋_GBK"/>
                <w:szCs w:val="21"/>
              </w:rPr>
              <w:t>20%</w:t>
            </w:r>
          </w:p>
        </w:tc>
        <w:tc>
          <w:tcPr>
            <w:tcW w:w="2551" w:type="dxa"/>
            <w:noWrap w:val="0"/>
            <w:vAlign w:val="center"/>
          </w:tcPr>
          <w:p>
            <w:pPr>
              <w:spacing w:line="300" w:lineRule="exact"/>
              <w:jc w:val="left"/>
              <w:rPr>
                <w:rFonts w:ascii="方正书宋_GBK" w:eastAsia="方正书宋_GBK"/>
                <w:szCs w:val="21"/>
              </w:rPr>
            </w:pPr>
            <w:r>
              <w:rPr>
                <w:rFonts w:ascii="方正书宋_GBK" w:eastAsia="方正书宋_GBK"/>
                <w:szCs w:val="21"/>
              </w:rPr>
              <w:t>108804</w:t>
            </w:r>
            <w:r>
              <w:rPr>
                <w:rFonts w:hint="eastAsia" w:ascii="方正书宋_GBK" w:eastAsia="方正书宋_GBK"/>
                <w:szCs w:val="21"/>
              </w:rPr>
              <w:t>元</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szCs w:val="21"/>
              </w:rPr>
            </w:pPr>
            <w:r>
              <w:rPr>
                <w:rFonts w:hint="eastAsia" w:ascii="方正书宋_GBK" w:eastAsia="方正书宋_GBK"/>
                <w:szCs w:val="21"/>
              </w:rPr>
              <w:t>效益指标</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经济效益指标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生活质量水平</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生活质量水平是否有效提高</w:t>
            </w:r>
          </w:p>
        </w:tc>
        <w:tc>
          <w:tcPr>
            <w:tcW w:w="2551"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提高</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社会效益指标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社会影响力</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社会影响力提升</w:t>
            </w:r>
          </w:p>
        </w:tc>
        <w:tc>
          <w:tcPr>
            <w:tcW w:w="2551"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提升</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szCs w:val="21"/>
              </w:rPr>
            </w:pPr>
            <w:r>
              <w:rPr>
                <w:rFonts w:hint="eastAsia" w:ascii="方正书宋_GBK" w:eastAsia="方正书宋_GBK"/>
                <w:szCs w:val="21"/>
              </w:rPr>
              <w:t>满意度指标</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服务对象满意度指标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服务满意度</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差额人员满意度情况</w:t>
            </w:r>
          </w:p>
        </w:tc>
        <w:tc>
          <w:tcPr>
            <w:tcW w:w="2551" w:type="dxa"/>
            <w:noWrap w:val="0"/>
            <w:vAlign w:val="center"/>
          </w:tcPr>
          <w:p>
            <w:pPr>
              <w:spacing w:line="300" w:lineRule="exact"/>
              <w:jc w:val="left"/>
              <w:rPr>
                <w:rFonts w:ascii="方正书宋_GBK" w:eastAsia="方正书宋_GBK"/>
                <w:szCs w:val="21"/>
              </w:rPr>
            </w:pPr>
            <w:r>
              <w:rPr>
                <w:rFonts w:ascii="方正书宋_GBK" w:eastAsia="方正书宋_GBK"/>
                <w:szCs w:val="21"/>
              </w:rPr>
              <w:t>100%</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bl>
    <w:p>
      <w:pPr>
        <w:spacing w:line="300" w:lineRule="exact"/>
        <w:jc w:val="left"/>
        <w:rPr>
          <w:szCs w:val="21"/>
        </w:rPr>
      </w:pPr>
    </w:p>
    <w:p>
      <w:pPr>
        <w:ind w:firstLine="422" w:firstLineChars="200"/>
        <w:jc w:val="left"/>
        <w:rPr>
          <w:rFonts w:hAnsi="宋体"/>
          <w:b/>
          <w:szCs w:val="21"/>
        </w:rPr>
      </w:pPr>
      <w:r>
        <w:rPr>
          <w:rFonts w:hint="eastAsia" w:ascii="方正仿宋_GBK" w:eastAsia="方正仿宋_GBK"/>
          <w:b/>
          <w:szCs w:val="21"/>
        </w:rPr>
        <w:t>5、维稳经费绩效目标表</w:t>
      </w:r>
    </w:p>
    <w:tbl>
      <w:tblPr>
        <w:tblStyle w:val="6"/>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szCs w:val="21"/>
              </w:rPr>
            </w:pPr>
            <w:r>
              <w:rPr>
                <w:rFonts w:ascii="方正书宋_GBK" w:eastAsia="方正书宋_GBK"/>
                <w:szCs w:val="21"/>
              </w:rPr>
              <w:t>1.</w:t>
            </w:r>
            <w:r>
              <w:rPr>
                <w:rFonts w:hint="eastAsia" w:ascii="方正书宋_GBK" w:eastAsia="方正书宋_GBK"/>
                <w:szCs w:val="21"/>
              </w:rPr>
              <w:t>及时拨付经费</w:t>
            </w:r>
          </w:p>
        </w:tc>
      </w:tr>
    </w:tbl>
    <w:p>
      <w:pPr>
        <w:spacing w:line="14" w:lineRule="exact"/>
        <w:jc w:val="center"/>
        <w:rPr>
          <w:rFonts w:hAnsi="宋体"/>
          <w:szCs w:val="21"/>
        </w:rPr>
      </w:pPr>
    </w:p>
    <w:tbl>
      <w:tblPr>
        <w:tblStyle w:val="6"/>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一级指标</w:t>
            </w:r>
          </w:p>
        </w:tc>
        <w:tc>
          <w:tcPr>
            <w:tcW w:w="2268"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二级指标</w:t>
            </w:r>
          </w:p>
        </w:tc>
        <w:tc>
          <w:tcPr>
            <w:tcW w:w="2835"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三级指标</w:t>
            </w:r>
          </w:p>
        </w:tc>
        <w:tc>
          <w:tcPr>
            <w:tcW w:w="2835"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绩效指标描述</w:t>
            </w:r>
          </w:p>
        </w:tc>
        <w:tc>
          <w:tcPr>
            <w:tcW w:w="2551"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指标值</w:t>
            </w:r>
          </w:p>
        </w:tc>
        <w:tc>
          <w:tcPr>
            <w:tcW w:w="2268"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szCs w:val="21"/>
              </w:rPr>
            </w:pPr>
            <w:r>
              <w:rPr>
                <w:rFonts w:hint="eastAsia" w:ascii="方正书宋_GBK" w:eastAsia="方正书宋_GBK"/>
                <w:szCs w:val="21"/>
              </w:rPr>
              <w:t>产出指标</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数量指标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涉军人员数量</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安置涉军人员数量</w:t>
            </w:r>
          </w:p>
        </w:tc>
        <w:tc>
          <w:tcPr>
            <w:tcW w:w="2551" w:type="dxa"/>
            <w:noWrap w:val="0"/>
            <w:vAlign w:val="center"/>
          </w:tcPr>
          <w:p>
            <w:pPr>
              <w:spacing w:line="300" w:lineRule="exact"/>
              <w:jc w:val="left"/>
              <w:rPr>
                <w:rFonts w:ascii="方正书宋_GBK" w:eastAsia="方正书宋_GBK"/>
                <w:szCs w:val="21"/>
              </w:rPr>
            </w:pPr>
            <w:r>
              <w:rPr>
                <w:rFonts w:ascii="方正书宋_GBK" w:eastAsia="方正书宋_GBK"/>
                <w:szCs w:val="21"/>
              </w:rPr>
              <w:t>4</w:t>
            </w:r>
            <w:r>
              <w:rPr>
                <w:rFonts w:hint="eastAsia" w:ascii="方正书宋_GBK" w:eastAsia="方正书宋_GBK"/>
                <w:szCs w:val="21"/>
              </w:rPr>
              <w:t>人</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质量指标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拨付率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拨付完成比率</w:t>
            </w:r>
          </w:p>
        </w:tc>
        <w:tc>
          <w:tcPr>
            <w:tcW w:w="2551" w:type="dxa"/>
            <w:noWrap w:val="0"/>
            <w:vAlign w:val="center"/>
          </w:tcPr>
          <w:p>
            <w:pPr>
              <w:spacing w:line="300" w:lineRule="exact"/>
              <w:jc w:val="left"/>
              <w:rPr>
                <w:rFonts w:ascii="方正书宋_GBK" w:eastAsia="方正书宋_GBK"/>
                <w:szCs w:val="21"/>
              </w:rPr>
            </w:pPr>
            <w:r>
              <w:rPr>
                <w:rFonts w:ascii="方正书宋_GBK" w:eastAsia="方正书宋_GBK"/>
                <w:szCs w:val="21"/>
              </w:rPr>
              <w:t>100%</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时效指标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拨付时间</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拨付到位时间</w:t>
            </w:r>
          </w:p>
        </w:tc>
        <w:tc>
          <w:tcPr>
            <w:tcW w:w="2551" w:type="dxa"/>
            <w:noWrap w:val="0"/>
            <w:vAlign w:val="center"/>
          </w:tcPr>
          <w:p>
            <w:pPr>
              <w:spacing w:line="300" w:lineRule="exact"/>
              <w:jc w:val="left"/>
              <w:rPr>
                <w:rFonts w:ascii="方正书宋_GBK" w:eastAsia="方正书宋_GBK"/>
                <w:szCs w:val="21"/>
              </w:rPr>
            </w:pPr>
            <w:r>
              <w:rPr>
                <w:rFonts w:ascii="方正书宋_GBK" w:eastAsia="方正书宋_GBK"/>
                <w:szCs w:val="21"/>
              </w:rPr>
              <w:t>6</w:t>
            </w:r>
            <w:r>
              <w:rPr>
                <w:rFonts w:hint="eastAsia" w:ascii="方正书宋_GBK" w:eastAsia="方正书宋_GBK"/>
                <w:szCs w:val="21"/>
              </w:rPr>
              <w:t>月底</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成本指标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涉军人员困难补助发生金额</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涉军人员补助金额</w:t>
            </w:r>
          </w:p>
        </w:tc>
        <w:tc>
          <w:tcPr>
            <w:tcW w:w="2551" w:type="dxa"/>
            <w:noWrap w:val="0"/>
            <w:vAlign w:val="center"/>
          </w:tcPr>
          <w:p>
            <w:pPr>
              <w:spacing w:line="300" w:lineRule="exact"/>
              <w:jc w:val="left"/>
              <w:rPr>
                <w:rFonts w:ascii="方正书宋_GBK" w:eastAsia="方正书宋_GBK"/>
                <w:szCs w:val="21"/>
              </w:rPr>
            </w:pPr>
            <w:r>
              <w:rPr>
                <w:rFonts w:ascii="方正书宋_GBK" w:eastAsia="方正书宋_GBK"/>
                <w:szCs w:val="21"/>
              </w:rPr>
              <w:t>8</w:t>
            </w:r>
            <w:r>
              <w:rPr>
                <w:rFonts w:hint="eastAsia" w:ascii="方正书宋_GBK" w:eastAsia="方正书宋_GBK"/>
                <w:szCs w:val="21"/>
              </w:rPr>
              <w:t>万元</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szCs w:val="21"/>
              </w:rPr>
            </w:pPr>
            <w:r>
              <w:rPr>
                <w:rFonts w:hint="eastAsia" w:ascii="方正书宋_GBK" w:eastAsia="方正书宋_GBK"/>
                <w:szCs w:val="21"/>
              </w:rPr>
              <w:t>效益指标</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经济效益指标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人员经济效益改善</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改善经济效益</w:t>
            </w:r>
          </w:p>
        </w:tc>
        <w:tc>
          <w:tcPr>
            <w:tcW w:w="2551"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提高</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社会效益指标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社会稳定情况</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进一步促进社会稳定</w:t>
            </w:r>
          </w:p>
        </w:tc>
        <w:tc>
          <w:tcPr>
            <w:tcW w:w="2551"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提升</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szCs w:val="21"/>
              </w:rPr>
            </w:pPr>
            <w:r>
              <w:rPr>
                <w:rFonts w:hint="eastAsia" w:ascii="方正书宋_GBK" w:eastAsia="方正书宋_GBK"/>
                <w:szCs w:val="21"/>
              </w:rPr>
              <w:t>满意度指标</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服务对象满意度指标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满意度</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涉军人员的满意程度</w:t>
            </w:r>
          </w:p>
        </w:tc>
        <w:tc>
          <w:tcPr>
            <w:tcW w:w="2551" w:type="dxa"/>
            <w:noWrap w:val="0"/>
            <w:vAlign w:val="center"/>
          </w:tcPr>
          <w:p>
            <w:pPr>
              <w:spacing w:line="300" w:lineRule="exact"/>
              <w:jc w:val="left"/>
              <w:rPr>
                <w:rFonts w:ascii="方正书宋_GBK" w:eastAsia="方正书宋_GBK"/>
                <w:szCs w:val="21"/>
              </w:rPr>
            </w:pPr>
            <w:r>
              <w:rPr>
                <w:rFonts w:ascii="方正书宋_GBK" w:eastAsia="方正书宋_GBK"/>
                <w:szCs w:val="21"/>
              </w:rPr>
              <w:t>100%</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工作需要</w:t>
            </w:r>
          </w:p>
        </w:tc>
      </w:tr>
    </w:tbl>
    <w:p>
      <w:pPr>
        <w:spacing w:line="300" w:lineRule="exact"/>
        <w:jc w:val="left"/>
        <w:rPr>
          <w:szCs w:val="21"/>
        </w:rPr>
      </w:pPr>
    </w:p>
    <w:p>
      <w:pPr>
        <w:ind w:firstLine="422" w:firstLineChars="200"/>
        <w:jc w:val="left"/>
        <w:rPr>
          <w:rFonts w:hAnsi="宋体"/>
          <w:b/>
          <w:szCs w:val="21"/>
        </w:rPr>
      </w:pPr>
      <w:r>
        <w:rPr>
          <w:rFonts w:hint="eastAsia" w:ascii="方正仿宋_GBK" w:eastAsia="方正仿宋_GBK"/>
          <w:b/>
          <w:szCs w:val="21"/>
        </w:rPr>
        <w:t>6、王根现垫付保险绩效目标表</w:t>
      </w:r>
    </w:p>
    <w:tbl>
      <w:tblPr>
        <w:tblStyle w:val="6"/>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szCs w:val="21"/>
              </w:rPr>
            </w:pPr>
            <w:r>
              <w:rPr>
                <w:rFonts w:ascii="方正书宋_GBK" w:eastAsia="方正书宋_GBK"/>
                <w:szCs w:val="21"/>
              </w:rPr>
              <w:t>1.</w:t>
            </w:r>
            <w:r>
              <w:rPr>
                <w:rFonts w:hint="eastAsia" w:ascii="方正书宋_GBK" w:eastAsia="方正书宋_GBK"/>
                <w:szCs w:val="21"/>
              </w:rPr>
              <w:t>按时拨付保险</w:t>
            </w:r>
          </w:p>
        </w:tc>
      </w:tr>
    </w:tbl>
    <w:p>
      <w:pPr>
        <w:spacing w:line="14" w:lineRule="exact"/>
        <w:jc w:val="center"/>
        <w:rPr>
          <w:rFonts w:hAnsi="宋体"/>
          <w:szCs w:val="21"/>
        </w:rPr>
      </w:pPr>
    </w:p>
    <w:tbl>
      <w:tblPr>
        <w:tblStyle w:val="6"/>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一级指标</w:t>
            </w:r>
          </w:p>
        </w:tc>
        <w:tc>
          <w:tcPr>
            <w:tcW w:w="2268"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二级指标</w:t>
            </w:r>
          </w:p>
        </w:tc>
        <w:tc>
          <w:tcPr>
            <w:tcW w:w="2835"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三级指标</w:t>
            </w:r>
          </w:p>
        </w:tc>
        <w:tc>
          <w:tcPr>
            <w:tcW w:w="2835"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绩效指标描述</w:t>
            </w:r>
          </w:p>
        </w:tc>
        <w:tc>
          <w:tcPr>
            <w:tcW w:w="2551"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指标值</w:t>
            </w:r>
          </w:p>
        </w:tc>
        <w:tc>
          <w:tcPr>
            <w:tcW w:w="2268" w:type="dxa"/>
            <w:noWrap w:val="0"/>
            <w:vAlign w:val="center"/>
          </w:tcPr>
          <w:p>
            <w:pPr>
              <w:spacing w:line="300" w:lineRule="exact"/>
              <w:jc w:val="center"/>
              <w:rPr>
                <w:rFonts w:ascii="方正书宋_GBK" w:eastAsia="方正书宋_GBK"/>
                <w:b/>
                <w:szCs w:val="21"/>
              </w:rPr>
            </w:pPr>
            <w:r>
              <w:rPr>
                <w:rFonts w:hint="eastAsia" w:ascii="方正书宋_GBK" w:eastAsia="方正书宋_GBK"/>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szCs w:val="21"/>
              </w:rPr>
            </w:pPr>
            <w:r>
              <w:rPr>
                <w:rFonts w:hint="eastAsia" w:ascii="方正书宋_GBK" w:eastAsia="方正书宋_GBK"/>
                <w:szCs w:val="21"/>
              </w:rPr>
              <w:t>产出指标</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数量指标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涉军人员数量</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垫付涉军人员数量</w:t>
            </w:r>
          </w:p>
        </w:tc>
        <w:tc>
          <w:tcPr>
            <w:tcW w:w="2551" w:type="dxa"/>
            <w:noWrap w:val="0"/>
            <w:vAlign w:val="center"/>
          </w:tcPr>
          <w:p>
            <w:pPr>
              <w:spacing w:line="300" w:lineRule="exact"/>
              <w:jc w:val="left"/>
              <w:rPr>
                <w:rFonts w:ascii="方正书宋_GBK" w:eastAsia="方正书宋_GBK"/>
                <w:szCs w:val="21"/>
              </w:rPr>
            </w:pPr>
            <w:r>
              <w:rPr>
                <w:rFonts w:ascii="方正书宋_GBK" w:eastAsia="方正书宋_GBK"/>
                <w:szCs w:val="21"/>
              </w:rPr>
              <w:t>1</w:t>
            </w:r>
            <w:r>
              <w:rPr>
                <w:rFonts w:hint="eastAsia" w:ascii="方正书宋_GBK" w:eastAsia="方正书宋_GBK"/>
                <w:szCs w:val="21"/>
              </w:rPr>
              <w:t>人</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质量指标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拨付率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拨付完成比率</w:t>
            </w:r>
          </w:p>
        </w:tc>
        <w:tc>
          <w:tcPr>
            <w:tcW w:w="2551" w:type="dxa"/>
            <w:noWrap w:val="0"/>
            <w:vAlign w:val="center"/>
          </w:tcPr>
          <w:p>
            <w:pPr>
              <w:spacing w:line="300" w:lineRule="exact"/>
              <w:jc w:val="left"/>
              <w:rPr>
                <w:rFonts w:ascii="方正书宋_GBK" w:eastAsia="方正书宋_GBK"/>
                <w:szCs w:val="21"/>
              </w:rPr>
            </w:pPr>
            <w:r>
              <w:rPr>
                <w:rFonts w:ascii="方正书宋_GBK" w:eastAsia="方正书宋_GBK"/>
                <w:szCs w:val="21"/>
              </w:rPr>
              <w:t>100%</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时效指标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拨付时间</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拨付到位时间</w:t>
            </w:r>
          </w:p>
        </w:tc>
        <w:tc>
          <w:tcPr>
            <w:tcW w:w="2551"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上半年完成</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成本指标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相关保险发生额</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养老、医保、工伤及失业保险数额</w:t>
            </w:r>
          </w:p>
        </w:tc>
        <w:tc>
          <w:tcPr>
            <w:tcW w:w="2551" w:type="dxa"/>
            <w:noWrap w:val="0"/>
            <w:vAlign w:val="center"/>
          </w:tcPr>
          <w:p>
            <w:pPr>
              <w:spacing w:line="300" w:lineRule="exact"/>
              <w:jc w:val="left"/>
              <w:rPr>
                <w:rFonts w:ascii="方正书宋_GBK" w:eastAsia="方正书宋_GBK"/>
                <w:szCs w:val="21"/>
              </w:rPr>
            </w:pPr>
            <w:r>
              <w:rPr>
                <w:rFonts w:ascii="方正书宋_GBK" w:eastAsia="方正书宋_GBK"/>
                <w:szCs w:val="21"/>
              </w:rPr>
              <w:t>8248.05</w:t>
            </w:r>
            <w:r>
              <w:rPr>
                <w:rFonts w:hint="eastAsia" w:ascii="方正书宋_GBK" w:eastAsia="方正书宋_GBK"/>
                <w:szCs w:val="21"/>
              </w:rPr>
              <w:t>元</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szCs w:val="21"/>
              </w:rPr>
            </w:pPr>
            <w:r>
              <w:rPr>
                <w:rFonts w:hint="eastAsia" w:ascii="方正书宋_GBK" w:eastAsia="方正书宋_GBK"/>
                <w:szCs w:val="21"/>
              </w:rPr>
              <w:t>效益指标</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经济效益指标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人员经济效益改善</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改善经济效益</w:t>
            </w:r>
          </w:p>
        </w:tc>
        <w:tc>
          <w:tcPr>
            <w:tcW w:w="2551"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改善</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szCs w:val="21"/>
              </w:rPr>
            </w:pP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社会效益指标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社会稳定情况</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进一步促进社会稳定</w:t>
            </w:r>
          </w:p>
        </w:tc>
        <w:tc>
          <w:tcPr>
            <w:tcW w:w="2551"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逐步提高</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szCs w:val="21"/>
              </w:rPr>
            </w:pPr>
            <w:r>
              <w:rPr>
                <w:rFonts w:hint="eastAsia" w:ascii="方正书宋_GBK" w:eastAsia="方正书宋_GBK"/>
                <w:szCs w:val="21"/>
              </w:rPr>
              <w:t>满意度指标</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服务对象满意度指标</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满意度</w:t>
            </w:r>
          </w:p>
        </w:tc>
        <w:tc>
          <w:tcPr>
            <w:tcW w:w="2835"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服务对象的满意程度</w:t>
            </w:r>
          </w:p>
        </w:tc>
        <w:tc>
          <w:tcPr>
            <w:tcW w:w="2551"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w:t>
            </w:r>
            <w:r>
              <w:rPr>
                <w:rFonts w:ascii="方正书宋_GBK" w:eastAsia="方正书宋_GBK"/>
                <w:szCs w:val="21"/>
              </w:rPr>
              <w:t>95%</w:t>
            </w:r>
          </w:p>
        </w:tc>
        <w:tc>
          <w:tcPr>
            <w:tcW w:w="2268" w:type="dxa"/>
            <w:noWrap w:val="0"/>
            <w:vAlign w:val="center"/>
          </w:tcPr>
          <w:p>
            <w:pPr>
              <w:spacing w:line="300" w:lineRule="exact"/>
              <w:jc w:val="left"/>
              <w:rPr>
                <w:rFonts w:ascii="方正书宋_GBK" w:eastAsia="方正书宋_GBK"/>
                <w:szCs w:val="21"/>
              </w:rPr>
            </w:pPr>
            <w:r>
              <w:rPr>
                <w:rFonts w:hint="eastAsia" w:ascii="方正书宋_GBK" w:eastAsia="方正书宋_GBK"/>
                <w:szCs w:val="21"/>
              </w:rPr>
              <w:t>工作安排</w:t>
            </w:r>
          </w:p>
        </w:tc>
      </w:tr>
    </w:tbl>
    <w:p>
      <w:pPr>
        <w:spacing w:line="300" w:lineRule="exact"/>
        <w:jc w:val="left"/>
        <w:rPr>
          <w:sz w:val="15"/>
          <w:szCs w:val="15"/>
        </w:rPr>
      </w:pPr>
    </w:p>
    <w:p>
      <w:pPr>
        <w:adjustRightInd w:val="0"/>
        <w:snapToGrid w:val="0"/>
        <w:spacing w:line="360" w:lineRule="auto"/>
        <w:ind w:firstLine="640" w:firstLineChars="200"/>
        <w:jc w:val="center"/>
        <w:rPr>
          <w:rFonts w:ascii="方正小标宋简体" w:hAnsi="黑体" w:eastAsia="方正小标宋简体"/>
          <w:sz w:val="32"/>
          <w:szCs w:val="32"/>
        </w:rPr>
      </w:pPr>
      <w:bookmarkStart w:id="2" w:name="_Toc478120146"/>
      <w:r>
        <w:rPr>
          <w:rFonts w:hint="eastAsia" w:ascii="方正小标宋简体" w:hAnsi="黑体" w:eastAsia="方正小标宋简体"/>
          <w:sz w:val="32"/>
          <w:szCs w:val="32"/>
        </w:rPr>
        <w:t>第六部分：政府采购预算</w:t>
      </w:r>
      <w:bookmarkEnd w:id="2"/>
      <w:r>
        <w:rPr>
          <w:rFonts w:hint="eastAsia" w:ascii="方正小标宋简体" w:hAnsi="黑体" w:eastAsia="方正小标宋简体"/>
          <w:sz w:val="32"/>
          <w:szCs w:val="32"/>
        </w:rPr>
        <w:t>情况</w:t>
      </w:r>
    </w:p>
    <w:p>
      <w:pPr>
        <w:ind w:firstLine="640" w:firstLineChars="200"/>
        <w:outlineLvl w:val="0"/>
        <w:rPr>
          <w:rFonts w:hint="eastAsia" w:ascii="方正小标宋简体" w:hAnsi="黑体" w:eastAsia="方正小标宋简体"/>
          <w:sz w:val="32"/>
          <w:szCs w:val="32"/>
        </w:rPr>
      </w:pPr>
      <w:r>
        <w:rPr>
          <w:rFonts w:hint="eastAsia" w:ascii="方正小标宋简体" w:hAnsi="黑体" w:eastAsia="方正小标宋简体"/>
          <w:sz w:val="32"/>
          <w:szCs w:val="32"/>
        </w:rPr>
        <w:t>2021年，我部门无政府采购预算，空表列示。</w:t>
      </w:r>
    </w:p>
    <w:p>
      <w:pPr>
        <w:spacing w:line="360" w:lineRule="auto"/>
        <w:jc w:val="center"/>
        <w:rPr>
          <w:rFonts w:hint="eastAsia" w:ascii="宋体" w:hAnsi="宋体" w:cs="宋体"/>
          <w:sz w:val="32"/>
        </w:rPr>
      </w:pPr>
    </w:p>
    <w:p>
      <w:pPr>
        <w:spacing w:line="360" w:lineRule="auto"/>
        <w:jc w:val="center"/>
        <w:rPr>
          <w:rFonts w:hint="eastAsia" w:ascii="宋体" w:hAnsi="宋体" w:cs="宋体"/>
          <w:sz w:val="32"/>
        </w:rPr>
      </w:pPr>
    </w:p>
    <w:p>
      <w:pPr>
        <w:spacing w:line="360" w:lineRule="auto"/>
        <w:jc w:val="center"/>
        <w:rPr>
          <w:rFonts w:hint="eastAsia" w:ascii="宋体" w:hAnsi="宋体" w:cs="宋体"/>
          <w:sz w:val="32"/>
        </w:rPr>
      </w:pPr>
    </w:p>
    <w:p>
      <w:pPr>
        <w:spacing w:line="360" w:lineRule="auto"/>
        <w:jc w:val="center"/>
        <w:rPr>
          <w:rFonts w:hint="eastAsia" w:ascii="宋体" w:hAnsi="宋体" w:cs="宋体"/>
          <w:sz w:val="32"/>
        </w:rPr>
      </w:pPr>
    </w:p>
    <w:p>
      <w:pPr>
        <w:spacing w:line="360" w:lineRule="auto"/>
        <w:jc w:val="center"/>
        <w:rPr>
          <w:rFonts w:hint="eastAsia" w:ascii="宋体" w:hAnsi="宋体" w:cs="宋体"/>
          <w:sz w:val="32"/>
        </w:rPr>
      </w:pPr>
    </w:p>
    <w:p>
      <w:pPr>
        <w:spacing w:line="360" w:lineRule="auto"/>
        <w:jc w:val="center"/>
        <w:rPr>
          <w:rFonts w:hint="eastAsia" w:ascii="宋体" w:hAnsi="宋体" w:cs="宋体"/>
          <w:sz w:val="32"/>
        </w:rPr>
      </w:pPr>
    </w:p>
    <w:p>
      <w:pPr>
        <w:spacing w:line="360" w:lineRule="auto"/>
        <w:jc w:val="center"/>
        <w:rPr>
          <w:rFonts w:hint="eastAsia" w:ascii="宋体" w:hAnsi="宋体" w:cs="宋体"/>
          <w:sz w:val="32"/>
        </w:rPr>
      </w:pPr>
    </w:p>
    <w:p>
      <w:pPr>
        <w:spacing w:line="360" w:lineRule="auto"/>
        <w:jc w:val="center"/>
        <w:rPr>
          <w:rFonts w:hint="eastAsia" w:ascii="宋体" w:hAnsi="宋体" w:cs="宋体"/>
          <w:sz w:val="32"/>
        </w:rPr>
      </w:pPr>
    </w:p>
    <w:p>
      <w:pPr>
        <w:spacing w:line="360" w:lineRule="auto"/>
        <w:jc w:val="center"/>
        <w:rPr>
          <w:rFonts w:hint="eastAsia" w:ascii="宋体" w:hAnsi="宋体" w:cs="宋体"/>
          <w:sz w:val="32"/>
        </w:rPr>
      </w:pPr>
    </w:p>
    <w:p>
      <w:pPr>
        <w:spacing w:line="360" w:lineRule="auto"/>
        <w:jc w:val="center"/>
        <w:rPr>
          <w:rFonts w:ascii="宋体" w:hAnsi="宋体" w:cs="方正小标宋_GBK"/>
          <w:sz w:val="32"/>
        </w:rPr>
      </w:pPr>
      <w:r>
        <w:rPr>
          <w:rFonts w:hint="eastAsia" w:ascii="宋体" w:hAnsi="宋体" w:cs="宋体"/>
          <w:sz w:val="32"/>
        </w:rPr>
        <w:t>部门政府采购预算</w:t>
      </w:r>
    </w:p>
    <w:tbl>
      <w:tblPr>
        <w:tblStyle w:val="6"/>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rPr>
                <w:rFonts w:hint="eastAsia" w:ascii="宋体" w:hAnsi="宋体" w:cs="方正小标宋_GBK"/>
                <w:sz w:val="32"/>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Cs w:val="24"/>
              </w:rPr>
            </w:pPr>
            <w:r>
              <w:rPr>
                <w:rFonts w:hint="eastAsia" w:ascii="宋体" w:hAnsi="宋体" w:cs="宋体"/>
                <w:sz w:val="24"/>
              </w:rPr>
              <w:t>单位：万元</w:t>
            </w:r>
          </w:p>
        </w:tc>
      </w:tr>
      <w:tr>
        <w:tblPrEx>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rPr>
            </w:pPr>
            <w:r>
              <w:rPr>
                <w:rFonts w:hint="eastAsia" w:ascii="宋体" w:hAnsi="宋体" w:cs="宋体"/>
                <w:b/>
              </w:rPr>
              <w:t>数量</w:t>
            </w:r>
            <w:r>
              <w:rPr>
                <w:rFonts w:hint="eastAsia" w:ascii="宋体" w:hAnsi="宋体" w:cs="方正书宋_GBK"/>
                <w:b/>
              </w:rPr>
              <w:t xml:space="preserve">  </w:t>
            </w:r>
            <w:r>
              <w:rPr>
                <w:rFonts w:hint="eastAsia" w:ascii="宋体" w:hAnsi="宋体" w:cs="宋体"/>
                <w:b/>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政府采购金额</w:t>
            </w:r>
          </w:p>
        </w:tc>
      </w:tr>
      <w:tr>
        <w:tblPrEx>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其他渠道资金</w:t>
            </w:r>
          </w:p>
        </w:tc>
      </w:tr>
      <w:tr>
        <w:tblPrEx>
          <w:tblCellMar>
            <w:top w:w="0" w:type="dxa"/>
            <w:left w:w="10" w:type="dxa"/>
            <w:bottom w:w="0" w:type="dxa"/>
            <w:right w:w="10" w:type="dxa"/>
          </w:tblCellMar>
        </w:tblPrEx>
        <w:trPr>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4420"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sz w:val="22"/>
              </w:rPr>
            </w:pPr>
            <w:r>
              <w:rPr>
                <w:rFonts w:hint="eastAsia" w:ascii="宋体" w:hAnsi="宋体" w:cs="宋体"/>
                <w:b/>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r>
    </w:tbl>
    <w:p>
      <w:pPr>
        <w:ind w:firstLine="640" w:firstLineChars="200"/>
        <w:outlineLvl w:val="0"/>
        <w:rPr>
          <w:rFonts w:ascii="方正小标宋简体" w:hAnsi="黑体" w:eastAsia="方正小标宋简体"/>
          <w:sz w:val="32"/>
          <w:szCs w:val="32"/>
        </w:rPr>
      </w:pPr>
    </w:p>
    <w:p>
      <w:pPr>
        <w:spacing w:line="480" w:lineRule="auto"/>
        <w:rPr>
          <w:rFonts w:ascii="仿宋" w:hAnsi="仿宋" w:eastAsia="仿宋"/>
          <w:color w:val="000000"/>
          <w:sz w:val="32"/>
          <w:szCs w:val="32"/>
        </w:rPr>
      </w:pPr>
    </w:p>
    <w:p>
      <w:pPr>
        <w:tabs>
          <w:tab w:val="left" w:pos="916"/>
        </w:tabs>
        <w:spacing w:line="560" w:lineRule="exact"/>
        <w:ind w:firstLine="640" w:firstLineChars="200"/>
        <w:jc w:val="left"/>
        <w:rPr>
          <w:rFonts w:ascii="仿宋_GB2312" w:hAnsi="仿宋_GB2312" w:eastAsia="仿宋_GB2312" w:cs="仿宋"/>
          <w:bCs/>
          <w:sz w:val="32"/>
          <w:szCs w:val="32"/>
        </w:rPr>
      </w:pPr>
    </w:p>
    <w:p>
      <w:pPr>
        <w:spacing w:line="300" w:lineRule="exact"/>
        <w:ind w:firstLine="560" w:firstLineChars="200"/>
        <w:jc w:val="left"/>
        <w:outlineLvl w:val="0"/>
        <w:rPr>
          <w:rFonts w:ascii="Times New Roman" w:eastAsia="方正仿宋_GBK"/>
          <w:sz w:val="28"/>
        </w:rPr>
      </w:pPr>
    </w:p>
    <w:p/>
    <w:p/>
    <w:p/>
    <w:p/>
    <w:p/>
    <w:p/>
    <w:p/>
    <w:p>
      <w:pPr>
        <w:adjustRightInd w:val="0"/>
        <w:snapToGrid w:val="0"/>
        <w:spacing w:line="600" w:lineRule="exact"/>
        <w:ind w:firstLine="640" w:firstLineChars="200"/>
        <w:jc w:val="center"/>
        <w:rPr>
          <w:rFonts w:ascii="方正小标宋简体" w:hAnsi="黑体" w:eastAsia="方正小标宋简体"/>
          <w:sz w:val="32"/>
          <w:szCs w:val="32"/>
        </w:rPr>
      </w:pPr>
      <w:r>
        <w:rPr>
          <w:rFonts w:hint="eastAsia" w:ascii="方正小标宋简体" w:hAnsi="黑体" w:eastAsia="方正小标宋简体"/>
          <w:sz w:val="32"/>
          <w:szCs w:val="32"/>
        </w:rPr>
        <w:t>第七部分：国有资产信息</w:t>
      </w:r>
    </w:p>
    <w:p>
      <w:pPr>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sz w:val="32"/>
          <w:szCs w:val="32"/>
        </w:rPr>
        <w:t>保定市商务局部门2020年末固定资产总金额为130.82万元（详见下表）。2021年我部门本年度无国有资产购置计划。</w:t>
      </w:r>
    </w:p>
    <w:p>
      <w:pPr>
        <w:tabs>
          <w:tab w:val="left" w:pos="916"/>
        </w:tabs>
        <w:spacing w:line="560" w:lineRule="exact"/>
        <w:jc w:val="center"/>
        <w:rPr>
          <w:rFonts w:ascii="仿宋" w:hAnsi="仿宋" w:eastAsia="仿宋" w:cs="仿宋"/>
          <w:sz w:val="32"/>
          <w:szCs w:val="32"/>
        </w:rPr>
      </w:pPr>
      <w:r>
        <w:rPr>
          <w:rFonts w:hint="eastAsia" w:ascii="仿宋" w:hAnsi="仿宋" w:eastAsia="仿宋" w:cs="仿宋"/>
          <w:sz w:val="32"/>
          <w:szCs w:val="32"/>
        </w:rPr>
        <w:t>保定市满城区商务局固定资产占用情况表</w:t>
      </w:r>
    </w:p>
    <w:p>
      <w:pPr>
        <w:tabs>
          <w:tab w:val="left" w:pos="916"/>
        </w:tabs>
        <w:spacing w:line="560" w:lineRule="exact"/>
        <w:jc w:val="center"/>
        <w:rPr>
          <w:rFonts w:ascii="仿宋_GB2312" w:hAnsi="仿宋_GB2312" w:eastAsia="仿宋_GB2312" w:cs="Times New Roman"/>
        </w:rPr>
      </w:pPr>
      <w:r>
        <w:rPr>
          <w:rFonts w:hint="eastAsia" w:ascii="仿宋_GB2312" w:hAnsi="仿宋_GB2312" w:eastAsia="仿宋_GB2312" w:cs="Times New Roman"/>
        </w:rPr>
        <w:t>截止时间：2020年12月31日</w:t>
      </w:r>
    </w:p>
    <w:tbl>
      <w:tblPr>
        <w:tblStyle w:val="6"/>
        <w:tblpPr w:leftFromText="180" w:rightFromText="180" w:vertAnchor="text" w:horzAnchor="page" w:tblpX="1188" w:tblpY="89"/>
        <w:tblOverlap w:val="never"/>
        <w:tblW w:w="4842"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022"/>
        <w:gridCol w:w="1800"/>
        <w:gridCol w:w="29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5" w:hRule="atLeast"/>
          <w:tblHeader/>
        </w:trPr>
        <w:tc>
          <w:tcPr>
            <w:tcW w:w="2571" w:type="pct"/>
            <w:noWrap w:val="0"/>
            <w:vAlign w:val="center"/>
          </w:tcPr>
          <w:p>
            <w:pPr>
              <w:spacing w:line="560" w:lineRule="exact"/>
              <w:jc w:val="center"/>
              <w:rPr>
                <w:rFonts w:ascii="方正小标宋简体" w:hAnsi="仿宋_GB2312" w:eastAsia="方正小标宋简体" w:cs="Times New Roman"/>
              </w:rPr>
            </w:pPr>
            <w:r>
              <w:rPr>
                <w:rFonts w:hint="eastAsia" w:ascii="方正小标宋简体" w:hAnsi="仿宋_GB2312" w:eastAsia="方正小标宋简体" w:cs="Times New Roman"/>
              </w:rPr>
              <w:t>项目</w:t>
            </w:r>
          </w:p>
        </w:tc>
        <w:tc>
          <w:tcPr>
            <w:tcW w:w="922" w:type="pct"/>
            <w:noWrap w:val="0"/>
            <w:vAlign w:val="center"/>
          </w:tcPr>
          <w:p>
            <w:pPr>
              <w:spacing w:line="560" w:lineRule="exact"/>
              <w:jc w:val="center"/>
              <w:rPr>
                <w:rFonts w:ascii="方正小标宋简体" w:hAnsi="仿宋_GB2312" w:eastAsia="方正小标宋简体" w:cs="Times New Roman"/>
              </w:rPr>
            </w:pPr>
            <w:r>
              <w:rPr>
                <w:rFonts w:hint="eastAsia" w:ascii="方正小标宋简体" w:hAnsi="仿宋_GB2312" w:eastAsia="方正小标宋简体" w:cs="Times New Roman"/>
              </w:rPr>
              <w:t>数量</w:t>
            </w:r>
          </w:p>
        </w:tc>
        <w:tc>
          <w:tcPr>
            <w:tcW w:w="1505" w:type="pct"/>
            <w:noWrap w:val="0"/>
            <w:vAlign w:val="center"/>
          </w:tcPr>
          <w:p>
            <w:pPr>
              <w:spacing w:line="560" w:lineRule="exact"/>
              <w:jc w:val="center"/>
              <w:rPr>
                <w:rFonts w:ascii="方正小标宋简体" w:hAnsi="仿宋_GB2312" w:eastAsia="方正小标宋简体" w:cs="Times New Roman"/>
              </w:rPr>
            </w:pPr>
            <w:r>
              <w:rPr>
                <w:rFonts w:hint="eastAsia" w:ascii="方正小标宋简体" w:hAnsi="仿宋_GB2312" w:eastAsia="方正小标宋简体" w:cs="Times New Roman"/>
              </w:rPr>
              <w:t>价值（单位：万元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5" w:hRule="atLeast"/>
        </w:trPr>
        <w:tc>
          <w:tcPr>
            <w:tcW w:w="2571" w:type="pct"/>
            <w:noWrap w:val="0"/>
            <w:vAlign w:val="center"/>
          </w:tcPr>
          <w:p>
            <w:pPr>
              <w:spacing w:line="560" w:lineRule="exact"/>
              <w:jc w:val="center"/>
              <w:rPr>
                <w:rFonts w:ascii="仿宋_GB2312" w:hAnsi="仿宋_GB2312" w:eastAsia="仿宋_GB2312" w:cs="Times New Roman"/>
                <w:b/>
              </w:rPr>
            </w:pPr>
            <w:r>
              <w:rPr>
                <w:rFonts w:hint="eastAsia" w:ascii="仿宋_GB2312" w:hAnsi="仿宋_GB2312" w:eastAsia="仿宋_GB2312"/>
                <w:b/>
              </w:rPr>
              <w:t>固定</w:t>
            </w:r>
            <w:r>
              <w:rPr>
                <w:rFonts w:hint="eastAsia" w:ascii="仿宋_GB2312" w:hAnsi="仿宋_GB2312" w:eastAsia="仿宋_GB2312" w:cs="Times New Roman"/>
                <w:b/>
              </w:rPr>
              <w:t>资产总额</w:t>
            </w:r>
          </w:p>
        </w:tc>
        <w:tc>
          <w:tcPr>
            <w:tcW w:w="922" w:type="pct"/>
            <w:noWrap w:val="0"/>
            <w:vAlign w:val="center"/>
          </w:tcPr>
          <w:p>
            <w:pPr>
              <w:spacing w:line="560" w:lineRule="exact"/>
              <w:jc w:val="center"/>
              <w:rPr>
                <w:rFonts w:ascii="仿宋_GB2312" w:hAnsi="仿宋_GB2312" w:eastAsia="仿宋_GB2312" w:cs="Times New Roman"/>
                <w:b/>
              </w:rPr>
            </w:pPr>
            <w:r>
              <w:rPr>
                <w:rFonts w:hint="eastAsia" w:ascii="仿宋_GB2312" w:hAnsi="仿宋_GB2312" w:eastAsia="仿宋_GB2312" w:cs="Times New Roman"/>
              </w:rPr>
              <w:t>——</w:t>
            </w:r>
          </w:p>
        </w:tc>
        <w:tc>
          <w:tcPr>
            <w:tcW w:w="1505" w:type="pct"/>
            <w:noWrap w:val="0"/>
            <w:vAlign w:val="center"/>
          </w:tcPr>
          <w:p>
            <w:pPr>
              <w:spacing w:line="560" w:lineRule="exact"/>
              <w:jc w:val="center"/>
              <w:rPr>
                <w:rFonts w:ascii="仿宋_GB2312" w:hAnsi="仿宋_GB2312" w:eastAsia="仿宋_GB2312" w:cs="Times New Roman"/>
                <w:b/>
              </w:rPr>
            </w:pPr>
            <w:r>
              <w:rPr>
                <w:rFonts w:hint="eastAsia" w:ascii="仿宋_GB2312" w:hAnsi="仿宋_GB2312" w:eastAsia="仿宋_GB2312" w:cs="Times New Roman"/>
                <w:b/>
              </w:rPr>
              <w:t>130.82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0" w:hRule="atLeast"/>
        </w:trPr>
        <w:tc>
          <w:tcPr>
            <w:tcW w:w="2571" w:type="pct"/>
            <w:noWrap w:val="0"/>
            <w:vAlign w:val="center"/>
          </w:tcPr>
          <w:p>
            <w:pPr>
              <w:spacing w:line="560" w:lineRule="exact"/>
              <w:jc w:val="left"/>
              <w:rPr>
                <w:rFonts w:ascii="仿宋_GB2312" w:hAnsi="仿宋_GB2312" w:eastAsia="仿宋_GB2312" w:cs="Times New Roman"/>
              </w:rPr>
            </w:pPr>
            <w:r>
              <w:rPr>
                <w:rFonts w:hint="eastAsia" w:ascii="仿宋_GB2312" w:hAnsi="仿宋_GB2312" w:eastAsia="仿宋_GB2312" w:cs="Times New Roman"/>
              </w:rPr>
              <w:t>1、房屋（平方米）</w:t>
            </w:r>
          </w:p>
        </w:tc>
        <w:tc>
          <w:tcPr>
            <w:tcW w:w="922" w:type="pct"/>
            <w:noWrap w:val="0"/>
            <w:vAlign w:val="center"/>
          </w:tcPr>
          <w:p>
            <w:pPr>
              <w:spacing w:line="560" w:lineRule="exact"/>
              <w:jc w:val="center"/>
              <w:rPr>
                <w:rFonts w:ascii="仿宋_GB2312" w:hAnsi="仿宋_GB2312" w:eastAsia="仿宋_GB2312" w:cs="Times New Roman"/>
              </w:rPr>
            </w:pPr>
          </w:p>
        </w:tc>
        <w:tc>
          <w:tcPr>
            <w:tcW w:w="1505" w:type="pct"/>
            <w:noWrap w:val="0"/>
            <w:vAlign w:val="center"/>
          </w:tcPr>
          <w:p>
            <w:pPr>
              <w:spacing w:line="560" w:lineRule="exact"/>
              <w:jc w:val="center"/>
              <w:rPr>
                <w:rFonts w:ascii="仿宋_GB2312" w:hAnsi="仿宋_GB2312" w:eastAsia="仿宋_GB2312" w:cs="Times New Roman"/>
              </w:rPr>
            </w:pPr>
            <w:r>
              <w:rPr>
                <w:rFonts w:hint="eastAsia" w:ascii="仿宋_GB2312" w:hAnsi="仿宋_GB2312" w:eastAsia="仿宋_GB2312" w:cs="Times New Roman"/>
              </w:rPr>
              <w:t>79.36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0" w:hRule="atLeast"/>
        </w:trPr>
        <w:tc>
          <w:tcPr>
            <w:tcW w:w="2571" w:type="pct"/>
            <w:noWrap w:val="0"/>
            <w:vAlign w:val="center"/>
          </w:tcPr>
          <w:p>
            <w:pPr>
              <w:spacing w:line="560" w:lineRule="exact"/>
              <w:jc w:val="left"/>
              <w:rPr>
                <w:rFonts w:ascii="仿宋_GB2312" w:hAnsi="仿宋_GB2312" w:eastAsia="仿宋_GB2312" w:cs="Times New Roman"/>
              </w:rPr>
            </w:pPr>
            <w:r>
              <w:rPr>
                <w:rFonts w:hint="eastAsia" w:ascii="仿宋_GB2312" w:hAnsi="仿宋_GB2312" w:eastAsia="仿宋_GB2312" w:cs="Times New Roman"/>
              </w:rPr>
              <w:t xml:space="preserve">   其中：办公用房（平方米）</w:t>
            </w:r>
          </w:p>
        </w:tc>
        <w:tc>
          <w:tcPr>
            <w:tcW w:w="922" w:type="pct"/>
            <w:noWrap w:val="0"/>
            <w:vAlign w:val="center"/>
          </w:tcPr>
          <w:p>
            <w:pPr>
              <w:spacing w:line="560" w:lineRule="exact"/>
              <w:rPr>
                <w:rFonts w:ascii="仿宋_GB2312" w:hAnsi="仿宋_GB2312" w:eastAsia="仿宋_GB2312"/>
              </w:rPr>
            </w:pPr>
          </w:p>
        </w:tc>
        <w:tc>
          <w:tcPr>
            <w:tcW w:w="1505" w:type="pct"/>
            <w:noWrap w:val="0"/>
            <w:vAlign w:val="center"/>
          </w:tcPr>
          <w:p>
            <w:pPr>
              <w:spacing w:line="560" w:lineRule="exact"/>
              <w:jc w:val="center"/>
              <w:rPr>
                <w:rFonts w:ascii="仿宋_GB2312" w:hAnsi="仿宋_GB2312" w:eastAsia="仿宋_GB2312"/>
              </w:rPr>
            </w:pPr>
            <w:r>
              <w:rPr>
                <w:rFonts w:hint="eastAsia" w:ascii="仿宋_GB2312" w:hAnsi="仿宋_GB2312" w:eastAsia="仿宋_GB231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0" w:hRule="atLeast"/>
        </w:trPr>
        <w:tc>
          <w:tcPr>
            <w:tcW w:w="2571" w:type="pct"/>
            <w:noWrap w:val="0"/>
            <w:vAlign w:val="center"/>
          </w:tcPr>
          <w:p>
            <w:pPr>
              <w:spacing w:line="560" w:lineRule="exact"/>
              <w:jc w:val="left"/>
              <w:rPr>
                <w:rFonts w:ascii="仿宋_GB2312" w:hAnsi="仿宋_GB2312" w:eastAsia="仿宋_GB2312" w:cs="Times New Roman"/>
              </w:rPr>
            </w:pPr>
            <w:r>
              <w:rPr>
                <w:rFonts w:hint="eastAsia" w:ascii="仿宋_GB2312" w:hAnsi="仿宋_GB2312" w:eastAsia="仿宋_GB2312" w:cs="Times New Roman"/>
              </w:rPr>
              <w:t>2、车辆（台、辆）</w:t>
            </w:r>
          </w:p>
        </w:tc>
        <w:tc>
          <w:tcPr>
            <w:tcW w:w="922" w:type="pct"/>
            <w:noWrap w:val="0"/>
            <w:vAlign w:val="center"/>
          </w:tcPr>
          <w:p>
            <w:pPr>
              <w:spacing w:line="560" w:lineRule="exact"/>
              <w:jc w:val="center"/>
              <w:rPr>
                <w:rFonts w:ascii="仿宋_GB2312" w:hAnsi="仿宋_GB2312" w:eastAsia="仿宋_GB2312" w:cs="Times New Roman"/>
              </w:rPr>
            </w:pPr>
            <w:r>
              <w:rPr>
                <w:rFonts w:hint="eastAsia" w:ascii="仿宋_GB2312" w:hAnsi="仿宋_GB2312" w:eastAsia="仿宋_GB2312" w:cs="Times New Roman"/>
              </w:rPr>
              <w:t>5</w:t>
            </w:r>
          </w:p>
        </w:tc>
        <w:tc>
          <w:tcPr>
            <w:tcW w:w="1505" w:type="pct"/>
            <w:noWrap w:val="0"/>
            <w:vAlign w:val="center"/>
          </w:tcPr>
          <w:p>
            <w:pPr>
              <w:spacing w:line="560" w:lineRule="exact"/>
              <w:jc w:val="center"/>
              <w:rPr>
                <w:rFonts w:ascii="仿宋_GB2312" w:hAnsi="仿宋_GB2312" w:eastAsia="仿宋_GB2312" w:cs="Times New Roman"/>
              </w:rPr>
            </w:pPr>
            <w:r>
              <w:rPr>
                <w:rFonts w:hint="eastAsia" w:ascii="仿宋_GB2312" w:hAnsi="仿宋_GB2312" w:eastAsia="仿宋_GB2312" w:cs="Times New Roman"/>
              </w:rPr>
              <w:t>23.79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0" w:hRule="atLeast"/>
        </w:trPr>
        <w:tc>
          <w:tcPr>
            <w:tcW w:w="2571" w:type="pct"/>
            <w:noWrap w:val="0"/>
            <w:vAlign w:val="center"/>
          </w:tcPr>
          <w:p>
            <w:pPr>
              <w:spacing w:line="560" w:lineRule="exact"/>
              <w:jc w:val="left"/>
              <w:rPr>
                <w:rFonts w:ascii="仿宋_GB2312" w:hAnsi="仿宋_GB2312" w:eastAsia="仿宋_GB2312" w:cs="Times New Roman"/>
              </w:rPr>
            </w:pPr>
            <w:r>
              <w:rPr>
                <w:rFonts w:hint="eastAsia" w:ascii="仿宋_GB2312" w:hAnsi="仿宋_GB2312" w:eastAsia="仿宋_GB2312" w:cs="Times New Roman"/>
              </w:rPr>
              <w:t>3、单价在50万以上设备</w:t>
            </w:r>
            <w:r>
              <w:rPr>
                <w:rFonts w:hint="eastAsia" w:ascii="仿宋_GB2312" w:hAnsi="仿宋_GB2312" w:eastAsia="仿宋_GB2312"/>
              </w:rPr>
              <w:t>（台、套）</w:t>
            </w:r>
          </w:p>
        </w:tc>
        <w:tc>
          <w:tcPr>
            <w:tcW w:w="922" w:type="pct"/>
            <w:noWrap w:val="0"/>
            <w:vAlign w:val="center"/>
          </w:tcPr>
          <w:p>
            <w:pPr>
              <w:spacing w:line="560" w:lineRule="exact"/>
              <w:jc w:val="center"/>
              <w:rPr>
                <w:rFonts w:ascii="仿宋_GB2312" w:hAnsi="仿宋_GB2312" w:eastAsia="仿宋_GB2312" w:cs="Times New Roman"/>
              </w:rPr>
            </w:pPr>
          </w:p>
        </w:tc>
        <w:tc>
          <w:tcPr>
            <w:tcW w:w="1505" w:type="pct"/>
            <w:noWrap w:val="0"/>
            <w:vAlign w:val="center"/>
          </w:tcPr>
          <w:p>
            <w:pPr>
              <w:spacing w:line="560" w:lineRule="exact"/>
              <w:rPr>
                <w:rFonts w:ascii="仿宋_GB2312" w:hAnsi="仿宋_GB2312"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0" w:hRule="atLeast"/>
        </w:trPr>
        <w:tc>
          <w:tcPr>
            <w:tcW w:w="2571" w:type="pct"/>
            <w:noWrap w:val="0"/>
            <w:vAlign w:val="center"/>
          </w:tcPr>
          <w:p>
            <w:pPr>
              <w:spacing w:line="560" w:lineRule="exact"/>
              <w:jc w:val="left"/>
              <w:rPr>
                <w:rFonts w:ascii="仿宋_GB2312" w:hAnsi="仿宋_GB2312" w:eastAsia="仿宋_GB2312" w:cs="Times New Roman"/>
              </w:rPr>
            </w:pPr>
            <w:r>
              <w:rPr>
                <w:rFonts w:hint="eastAsia" w:ascii="仿宋_GB2312" w:hAnsi="仿宋_GB2312" w:eastAsia="仿宋_GB2312" w:cs="Times New Roman"/>
              </w:rPr>
              <w:t xml:space="preserve">   其中：单价50万元（含）以上的通用设备</w:t>
            </w:r>
          </w:p>
        </w:tc>
        <w:tc>
          <w:tcPr>
            <w:tcW w:w="922" w:type="pct"/>
            <w:noWrap w:val="0"/>
            <w:vAlign w:val="center"/>
          </w:tcPr>
          <w:p>
            <w:pPr>
              <w:spacing w:line="560" w:lineRule="exact"/>
              <w:jc w:val="center"/>
              <w:rPr>
                <w:rFonts w:ascii="仿宋_GB2312" w:hAnsi="仿宋_GB2312" w:eastAsia="仿宋_GB2312"/>
              </w:rPr>
            </w:pPr>
          </w:p>
        </w:tc>
        <w:tc>
          <w:tcPr>
            <w:tcW w:w="1505" w:type="pct"/>
            <w:noWrap w:val="0"/>
            <w:vAlign w:val="center"/>
          </w:tcPr>
          <w:p>
            <w:pPr>
              <w:spacing w:line="560" w:lineRule="exact"/>
              <w:jc w:val="center"/>
              <w:rPr>
                <w:rFonts w:ascii="仿宋_GB2312" w:hAns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00" w:hRule="atLeast"/>
        </w:trPr>
        <w:tc>
          <w:tcPr>
            <w:tcW w:w="2571" w:type="pct"/>
            <w:noWrap w:val="0"/>
            <w:vAlign w:val="center"/>
          </w:tcPr>
          <w:p>
            <w:pPr>
              <w:spacing w:line="560" w:lineRule="exact"/>
              <w:jc w:val="left"/>
              <w:rPr>
                <w:rFonts w:ascii="仿宋_GB2312" w:hAnsi="仿宋_GB2312" w:eastAsia="仿宋_GB2312" w:cs="Times New Roman"/>
              </w:rPr>
            </w:pPr>
            <w:r>
              <w:rPr>
                <w:rFonts w:hint="eastAsia" w:ascii="仿宋_GB2312" w:hAnsi="仿宋_GB2312" w:eastAsia="仿宋_GB2312" w:cs="Times New Roman"/>
              </w:rPr>
              <w:t xml:space="preserve">         单价100万元（含）以上的专用设备</w:t>
            </w:r>
          </w:p>
        </w:tc>
        <w:tc>
          <w:tcPr>
            <w:tcW w:w="922" w:type="pct"/>
            <w:noWrap w:val="0"/>
            <w:vAlign w:val="center"/>
          </w:tcPr>
          <w:p>
            <w:pPr>
              <w:spacing w:line="560" w:lineRule="exact"/>
              <w:jc w:val="center"/>
              <w:rPr>
                <w:rFonts w:ascii="仿宋_GB2312" w:hAnsi="仿宋_GB2312" w:eastAsia="仿宋_GB2312"/>
              </w:rPr>
            </w:pPr>
            <w:r>
              <w:rPr>
                <w:rFonts w:hint="eastAsia" w:ascii="仿宋_GB2312" w:hAnsi="仿宋_GB2312" w:eastAsia="仿宋_GB2312" w:cs="Times New Roman"/>
              </w:rPr>
              <w:t>——</w:t>
            </w:r>
          </w:p>
        </w:tc>
        <w:tc>
          <w:tcPr>
            <w:tcW w:w="1505" w:type="pct"/>
            <w:noWrap w:val="0"/>
            <w:vAlign w:val="center"/>
          </w:tcPr>
          <w:p>
            <w:pPr>
              <w:spacing w:line="560" w:lineRule="exact"/>
              <w:jc w:val="center"/>
              <w:rPr>
                <w:rFonts w:ascii="仿宋_GB2312" w:hAnsi="仿宋_GB2312" w:eastAsia="仿宋_GB2312"/>
              </w:rPr>
            </w:pPr>
            <w:r>
              <w:rPr>
                <w:rFonts w:hint="eastAsia" w:ascii="仿宋_GB2312" w:hAnsi="仿宋_GB2312" w:eastAsia="仿宋_GB2312" w:cs="Times New Roma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0" w:hRule="atLeast"/>
        </w:trPr>
        <w:tc>
          <w:tcPr>
            <w:tcW w:w="2571" w:type="pct"/>
            <w:noWrap w:val="0"/>
            <w:vAlign w:val="center"/>
          </w:tcPr>
          <w:p>
            <w:pPr>
              <w:spacing w:line="560" w:lineRule="exact"/>
              <w:jc w:val="left"/>
              <w:rPr>
                <w:rFonts w:ascii="仿宋_GB2312" w:hAnsi="仿宋_GB2312" w:eastAsia="仿宋_GB2312" w:cs="Times New Roman"/>
              </w:rPr>
            </w:pPr>
            <w:r>
              <w:rPr>
                <w:rFonts w:hint="eastAsia" w:ascii="仿宋_GB2312" w:hAnsi="仿宋_GB2312" w:eastAsia="仿宋_GB2312" w:cs="Times New Roman"/>
              </w:rPr>
              <w:t>4、其他固定资产</w:t>
            </w:r>
          </w:p>
        </w:tc>
        <w:tc>
          <w:tcPr>
            <w:tcW w:w="922" w:type="pct"/>
            <w:noWrap w:val="0"/>
            <w:vAlign w:val="center"/>
          </w:tcPr>
          <w:p>
            <w:pPr>
              <w:spacing w:line="560" w:lineRule="exact"/>
              <w:jc w:val="center"/>
              <w:rPr>
                <w:rFonts w:ascii="仿宋_GB2312" w:hAnsi="仿宋_GB2312" w:eastAsia="仿宋_GB2312" w:cs="Times New Roman"/>
              </w:rPr>
            </w:pPr>
            <w:r>
              <w:rPr>
                <w:rFonts w:hint="eastAsia" w:ascii="仿宋_GB2312" w:hAnsi="仿宋_GB2312" w:eastAsia="仿宋_GB2312" w:cs="Times New Roman"/>
              </w:rPr>
              <w:t>——</w:t>
            </w:r>
          </w:p>
        </w:tc>
        <w:tc>
          <w:tcPr>
            <w:tcW w:w="1505" w:type="pct"/>
            <w:noWrap w:val="0"/>
            <w:vAlign w:val="center"/>
          </w:tcPr>
          <w:p>
            <w:pPr>
              <w:spacing w:line="560" w:lineRule="exact"/>
              <w:jc w:val="center"/>
              <w:rPr>
                <w:rFonts w:ascii="仿宋_GB2312" w:hAnsi="仿宋_GB2312" w:eastAsia="仿宋_GB2312" w:cs="Times New Roman"/>
              </w:rPr>
            </w:pPr>
            <w:r>
              <w:rPr>
                <w:rFonts w:hint="eastAsia" w:ascii="仿宋_GB2312" w:hAnsi="仿宋_GB2312" w:eastAsia="仿宋_GB2312" w:cs="Times New Roman"/>
              </w:rPr>
              <w:t>27.67</w:t>
            </w:r>
          </w:p>
        </w:tc>
      </w:tr>
    </w:tbl>
    <w:p>
      <w:pPr>
        <w:adjustRightInd w:val="0"/>
        <w:snapToGrid w:val="0"/>
        <w:spacing w:line="600" w:lineRule="exact"/>
        <w:outlineLvl w:val="0"/>
        <w:rPr>
          <w:rFonts w:ascii="方正小标宋简体" w:hAnsi="黑体" w:eastAsia="方正小标宋简体"/>
          <w:sz w:val="32"/>
          <w:szCs w:val="32"/>
        </w:rPr>
      </w:pPr>
    </w:p>
    <w:p>
      <w:pPr>
        <w:adjustRightInd w:val="0"/>
        <w:snapToGrid w:val="0"/>
        <w:spacing w:line="600" w:lineRule="exact"/>
        <w:ind w:firstLine="640" w:firstLineChars="200"/>
        <w:jc w:val="center"/>
        <w:outlineLvl w:val="0"/>
        <w:rPr>
          <w:rFonts w:ascii="方正小标宋简体" w:hAnsi="黑体" w:eastAsia="方正小标宋简体" w:cs="Times New Roman"/>
          <w:sz w:val="32"/>
          <w:szCs w:val="32"/>
        </w:rPr>
      </w:pPr>
      <w:r>
        <w:rPr>
          <w:rFonts w:hint="eastAsia" w:ascii="方正小标宋简体" w:hAnsi="黑体" w:eastAsia="方正小标宋简体"/>
          <w:sz w:val="32"/>
          <w:szCs w:val="32"/>
        </w:rPr>
        <w:t>第八部分：</w:t>
      </w:r>
      <w:r>
        <w:rPr>
          <w:rFonts w:hint="eastAsia" w:ascii="方正小标宋简体" w:hAnsi="黑体" w:eastAsia="方正小标宋简体" w:cs="Times New Roman"/>
          <w:sz w:val="32"/>
          <w:szCs w:val="32"/>
        </w:rPr>
        <w:t>名词解释</w:t>
      </w:r>
    </w:p>
    <w:p>
      <w:pPr>
        <w:adjustRightInd w:val="0"/>
        <w:snapToGrid w:val="0"/>
        <w:spacing w:line="600" w:lineRule="exact"/>
        <w:ind w:firstLine="640" w:firstLineChars="200"/>
        <w:jc w:val="left"/>
        <w:outlineLvl w:val="0"/>
        <w:rPr>
          <w:rFonts w:ascii="仿宋" w:hAnsi="仿宋" w:eastAsia="仿宋" w:cs="Times New Roman"/>
          <w:sz w:val="32"/>
          <w:szCs w:val="32"/>
        </w:rPr>
      </w:pPr>
      <w:r>
        <w:rPr>
          <w:rFonts w:hint="eastAsia" w:ascii="仿宋" w:hAnsi="仿宋" w:eastAsia="仿宋" w:cs="仿宋"/>
          <w:sz w:val="32"/>
          <w:szCs w:val="32"/>
        </w:rPr>
        <w:t>1、财政拨款收入：</w:t>
      </w:r>
      <w:r>
        <w:rPr>
          <w:rFonts w:hint="eastAsia" w:ascii="仿宋" w:hAnsi="仿宋" w:eastAsia="仿宋" w:cs="Times New Roman"/>
          <w:sz w:val="32"/>
          <w:szCs w:val="32"/>
        </w:rPr>
        <w:t>指区级财政当年拨付的资金。</w:t>
      </w:r>
    </w:p>
    <w:p>
      <w:pPr>
        <w:adjustRightInd w:val="0"/>
        <w:snapToGrid w:val="0"/>
        <w:spacing w:line="600" w:lineRule="exact"/>
        <w:ind w:firstLine="640" w:firstLineChars="200"/>
        <w:jc w:val="left"/>
        <w:outlineLvl w:val="0"/>
        <w:rPr>
          <w:rFonts w:ascii="仿宋" w:hAnsi="仿宋" w:eastAsia="仿宋" w:cs="Times New Roman"/>
          <w:sz w:val="32"/>
          <w:szCs w:val="32"/>
        </w:rPr>
      </w:pPr>
      <w:r>
        <w:rPr>
          <w:rFonts w:hint="eastAsia" w:ascii="仿宋" w:hAnsi="仿宋" w:eastAsia="仿宋" w:cs="仿宋"/>
          <w:sz w:val="32"/>
          <w:szCs w:val="32"/>
        </w:rPr>
        <w:t>2、其他收入：</w:t>
      </w:r>
      <w:r>
        <w:rPr>
          <w:rFonts w:hint="eastAsia" w:ascii="仿宋" w:hAnsi="仿宋" w:eastAsia="仿宋" w:cs="Times New Roman"/>
          <w:sz w:val="32"/>
          <w:szCs w:val="32"/>
        </w:rPr>
        <w:t>指除上述“财政拨款收入”、“事业收入”等以外的收入。</w:t>
      </w:r>
    </w:p>
    <w:p>
      <w:pPr>
        <w:adjustRightInd w:val="0"/>
        <w:snapToGrid w:val="0"/>
        <w:spacing w:line="600" w:lineRule="exact"/>
        <w:ind w:firstLine="640" w:firstLineChars="200"/>
        <w:jc w:val="left"/>
        <w:outlineLvl w:val="0"/>
        <w:rPr>
          <w:rFonts w:ascii="仿宋" w:hAnsi="仿宋" w:eastAsia="仿宋" w:cs="Times New Roman"/>
          <w:sz w:val="32"/>
          <w:szCs w:val="32"/>
        </w:rPr>
      </w:pPr>
      <w:r>
        <w:rPr>
          <w:rFonts w:hint="eastAsia" w:ascii="仿宋" w:hAnsi="仿宋" w:eastAsia="仿宋" w:cs="仿宋"/>
          <w:sz w:val="32"/>
          <w:szCs w:val="32"/>
        </w:rPr>
        <w:t>3、基本支出：</w:t>
      </w:r>
      <w:r>
        <w:rPr>
          <w:rFonts w:hint="eastAsia" w:ascii="仿宋" w:hAnsi="仿宋" w:eastAsia="仿宋" w:cs="Times New Roman"/>
          <w:sz w:val="32"/>
          <w:szCs w:val="32"/>
        </w:rPr>
        <w:t>指为保障机构正常运转、完成日常工作任务而发生的人员支出和公用支出。</w:t>
      </w:r>
    </w:p>
    <w:p>
      <w:pPr>
        <w:adjustRightInd w:val="0"/>
        <w:snapToGrid w:val="0"/>
        <w:spacing w:line="600" w:lineRule="exact"/>
        <w:ind w:firstLine="640" w:firstLineChars="200"/>
        <w:jc w:val="left"/>
        <w:outlineLvl w:val="0"/>
        <w:rPr>
          <w:rFonts w:ascii="仿宋" w:hAnsi="仿宋" w:eastAsia="仿宋" w:cs="Times New Roman"/>
          <w:sz w:val="32"/>
          <w:szCs w:val="32"/>
        </w:rPr>
      </w:pPr>
      <w:r>
        <w:rPr>
          <w:rFonts w:hint="eastAsia" w:ascii="仿宋" w:hAnsi="仿宋" w:eastAsia="仿宋" w:cs="仿宋"/>
          <w:sz w:val="32"/>
          <w:szCs w:val="32"/>
        </w:rPr>
        <w:t>4、项目支出：</w:t>
      </w:r>
      <w:r>
        <w:rPr>
          <w:rFonts w:hint="eastAsia" w:ascii="仿宋" w:hAnsi="仿宋" w:eastAsia="仿宋" w:cs="Times New Roman"/>
          <w:sz w:val="32"/>
          <w:szCs w:val="32"/>
        </w:rPr>
        <w:t>指在基本支出之外为完成特定行政任务和事业发展目标所发生的支出。</w:t>
      </w:r>
    </w:p>
    <w:p>
      <w:pPr>
        <w:adjustRightInd w:val="0"/>
        <w:snapToGrid w:val="0"/>
        <w:spacing w:line="600" w:lineRule="exact"/>
        <w:ind w:firstLine="640" w:firstLineChars="200"/>
        <w:jc w:val="left"/>
        <w:outlineLvl w:val="0"/>
        <w:rPr>
          <w:rFonts w:ascii="仿宋" w:hAnsi="仿宋" w:eastAsia="仿宋" w:cs="Times New Roman"/>
          <w:sz w:val="32"/>
          <w:szCs w:val="32"/>
        </w:rPr>
      </w:pPr>
      <w:r>
        <w:rPr>
          <w:rFonts w:hint="eastAsia" w:ascii="仿宋" w:hAnsi="仿宋" w:eastAsia="仿宋" w:cs="仿宋"/>
          <w:sz w:val="32"/>
          <w:szCs w:val="32"/>
        </w:rPr>
        <w:t>5、“三公”经费：</w:t>
      </w:r>
      <w:r>
        <w:rPr>
          <w:rFonts w:hint="eastAsia" w:ascii="仿宋" w:hAnsi="仿宋" w:eastAsia="仿宋" w:cs="Times New Roman"/>
          <w:sz w:val="32"/>
          <w:szCs w:val="32"/>
        </w:rPr>
        <w:t>纳入区级财政预算管理的“三公”经费，是指区级部门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费及按规定保留的公务用车租用费、燃料费、维修费、过桥过路费、保险费、安全奖励费用等支出；公务接待费反映单位按规定开支的各类公务接待（含外宾接待）费用。</w:t>
      </w:r>
    </w:p>
    <w:p>
      <w:pPr>
        <w:widowControl/>
        <w:adjustRightInd w:val="0"/>
        <w:snapToGrid w:val="0"/>
        <w:spacing w:line="600" w:lineRule="exact"/>
        <w:ind w:firstLine="640" w:firstLineChars="200"/>
        <w:jc w:val="left"/>
        <w:rPr>
          <w:rFonts w:ascii="仿宋" w:hAnsi="仿宋" w:eastAsia="仿宋" w:cs="Times New Roman"/>
          <w:sz w:val="32"/>
          <w:szCs w:val="32"/>
        </w:rPr>
      </w:pPr>
      <w:r>
        <w:rPr>
          <w:rFonts w:hint="eastAsia" w:ascii="仿宋" w:hAnsi="仿宋" w:eastAsia="仿宋" w:cs="仿宋"/>
          <w:sz w:val="32"/>
          <w:szCs w:val="32"/>
        </w:rPr>
        <w:t>6、机关运行费：为保障</w:t>
      </w:r>
      <w:r>
        <w:rPr>
          <w:rFonts w:hint="eastAsia" w:ascii="仿宋_GB2312" w:hAnsi="仿宋_GB2312" w:eastAsia="仿宋_GB2312" w:cs="仿宋"/>
          <w:color w:val="000000"/>
          <w:sz w:val="32"/>
          <w:szCs w:val="32"/>
        </w:rPr>
        <w:t>行政单位（含参照公务员法管理的事业单位）运行用于购买货物和服务的各项资金，</w:t>
      </w:r>
      <w:r>
        <w:rPr>
          <w:rFonts w:hint="eastAsia" w:ascii="仿宋" w:hAnsi="仿宋" w:eastAsia="仿宋" w:cs="Times New Roman"/>
          <w:sz w:val="32"/>
          <w:szCs w:val="32"/>
        </w:rPr>
        <w:t>包括办公及印刷费、邮电费、差旅费、会议费、工会经费、福利费、日常维修（护）费、专用材料及一般设备购置费、办公用房水电费、办公用房取暖费、办公用房物业管理费、公务用车运行维护费、其他交通费以及其他费用。</w:t>
      </w:r>
    </w:p>
    <w:p>
      <w:pPr>
        <w:widowControl/>
        <w:adjustRightInd w:val="0"/>
        <w:snapToGrid w:val="0"/>
        <w:spacing w:line="600" w:lineRule="exact"/>
        <w:ind w:firstLine="640" w:firstLineChars="200"/>
        <w:jc w:val="left"/>
        <w:rPr>
          <w:rFonts w:ascii="仿宋_GB2312" w:hAnsi="仿宋_GB2312" w:eastAsia="仿宋_GB2312" w:cs="仿宋"/>
          <w:color w:val="000000"/>
          <w:sz w:val="32"/>
          <w:szCs w:val="32"/>
        </w:rPr>
      </w:pPr>
      <w:r>
        <w:rPr>
          <w:rFonts w:hint="eastAsia" w:ascii="仿宋" w:hAnsi="仿宋" w:eastAsia="仿宋" w:cs="仿宋"/>
          <w:bCs/>
          <w:color w:val="000000"/>
          <w:sz w:val="32"/>
          <w:szCs w:val="32"/>
        </w:rPr>
        <w:t>7、公务费</w:t>
      </w:r>
      <w:r>
        <w:rPr>
          <w:rFonts w:hint="eastAsia" w:ascii="仿宋" w:hAnsi="仿宋" w:eastAsia="仿宋" w:cs="仿宋"/>
          <w:color w:val="000000"/>
          <w:sz w:val="32"/>
          <w:szCs w:val="32"/>
        </w:rPr>
        <w:t>：</w:t>
      </w:r>
      <w:r>
        <w:rPr>
          <w:rFonts w:hint="eastAsia" w:ascii="仿宋_GB2312" w:hAnsi="仿宋_GB2312" w:eastAsia="仿宋_GB2312" w:cs="仿宋"/>
          <w:color w:val="000000"/>
          <w:sz w:val="32"/>
          <w:szCs w:val="32"/>
        </w:rPr>
        <w:t>包括办公费、水电费、邮电费、取暖费、交通费、一般会议费和物业管理费之和。</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600" w:lineRule="exact"/>
        <w:ind w:firstLine="640" w:firstLineChars="200"/>
        <w:jc w:val="center"/>
        <w:rPr>
          <w:rFonts w:ascii="方正小标宋简体" w:hAnsi="黑体" w:eastAsia="方正小标宋简体" w:cs="宋体"/>
          <w:sz w:val="32"/>
          <w:szCs w:val="32"/>
        </w:rPr>
      </w:pPr>
      <w:r>
        <w:rPr>
          <w:rFonts w:hint="eastAsia" w:ascii="方正小标宋简体" w:hAnsi="黑体" w:eastAsia="方正小标宋简体" w:cs="仿宋"/>
          <w:color w:val="000000"/>
          <w:sz w:val="32"/>
          <w:szCs w:val="32"/>
        </w:rPr>
        <w:t>第九部分：</w:t>
      </w:r>
      <w:r>
        <w:rPr>
          <w:rFonts w:hint="eastAsia" w:ascii="方正小标宋简体" w:hAnsi="黑体" w:eastAsia="方正小标宋简体" w:cs="宋体"/>
          <w:sz w:val="32"/>
          <w:szCs w:val="32"/>
        </w:rPr>
        <w:t>其他需说明的事项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无其他事项的解释和说明。</w:t>
      </w:r>
    </w:p>
    <w:sectPr>
      <w:footerReference r:id="rId3" w:type="default"/>
      <w:pgSz w:w="11907" w:h="16839"/>
      <w:pgMar w:top="1361" w:right="1020" w:bottom="1361" w:left="102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roma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15</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719246"/>
    <w:multiLevelType w:val="singleLevel"/>
    <w:tmpl w:val="0071924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0ZDIzZjE3NDFjOTFjZmQ4ZDhjNzM3ZGY1N2YyMzEifQ=="/>
  </w:docVars>
  <w:rsids>
    <w:rsidRoot w:val="007427AA"/>
    <w:rsid w:val="0000078B"/>
    <w:rsid w:val="00011F19"/>
    <w:rsid w:val="00011F31"/>
    <w:rsid w:val="00030A5D"/>
    <w:rsid w:val="00042C37"/>
    <w:rsid w:val="00044A7D"/>
    <w:rsid w:val="00045BD2"/>
    <w:rsid w:val="00046530"/>
    <w:rsid w:val="000472D6"/>
    <w:rsid w:val="00054C27"/>
    <w:rsid w:val="00054E59"/>
    <w:rsid w:val="000575C8"/>
    <w:rsid w:val="00066ADD"/>
    <w:rsid w:val="00074110"/>
    <w:rsid w:val="000815C2"/>
    <w:rsid w:val="000818C1"/>
    <w:rsid w:val="00082C67"/>
    <w:rsid w:val="00091DB3"/>
    <w:rsid w:val="00093B57"/>
    <w:rsid w:val="000945F6"/>
    <w:rsid w:val="00096ABA"/>
    <w:rsid w:val="000A0865"/>
    <w:rsid w:val="000B1FFC"/>
    <w:rsid w:val="000B253B"/>
    <w:rsid w:val="000D287F"/>
    <w:rsid w:val="000E74A9"/>
    <w:rsid w:val="000F2A7A"/>
    <w:rsid w:val="000F6417"/>
    <w:rsid w:val="000F6D9D"/>
    <w:rsid w:val="000F6FBD"/>
    <w:rsid w:val="000F7CE6"/>
    <w:rsid w:val="00102AF7"/>
    <w:rsid w:val="00106D3B"/>
    <w:rsid w:val="001119A2"/>
    <w:rsid w:val="0012350B"/>
    <w:rsid w:val="0012448D"/>
    <w:rsid w:val="00127202"/>
    <w:rsid w:val="00134A4C"/>
    <w:rsid w:val="00135DA7"/>
    <w:rsid w:val="001447EE"/>
    <w:rsid w:val="00146BF0"/>
    <w:rsid w:val="00146F35"/>
    <w:rsid w:val="0014795A"/>
    <w:rsid w:val="001530D7"/>
    <w:rsid w:val="001547DC"/>
    <w:rsid w:val="00155DE6"/>
    <w:rsid w:val="001660DA"/>
    <w:rsid w:val="001666E1"/>
    <w:rsid w:val="001703A5"/>
    <w:rsid w:val="00173824"/>
    <w:rsid w:val="0017688E"/>
    <w:rsid w:val="001816DE"/>
    <w:rsid w:val="00183C3F"/>
    <w:rsid w:val="00190D3D"/>
    <w:rsid w:val="001A2AFA"/>
    <w:rsid w:val="001A602E"/>
    <w:rsid w:val="001C0BEF"/>
    <w:rsid w:val="001C551B"/>
    <w:rsid w:val="001D1C17"/>
    <w:rsid w:val="001D2E3B"/>
    <w:rsid w:val="001D5EE2"/>
    <w:rsid w:val="001D619D"/>
    <w:rsid w:val="001D7426"/>
    <w:rsid w:val="001E60E1"/>
    <w:rsid w:val="001E6AC5"/>
    <w:rsid w:val="001F1449"/>
    <w:rsid w:val="001F3921"/>
    <w:rsid w:val="001F4379"/>
    <w:rsid w:val="001F7261"/>
    <w:rsid w:val="001F7D14"/>
    <w:rsid w:val="0020167A"/>
    <w:rsid w:val="002056F0"/>
    <w:rsid w:val="002072AC"/>
    <w:rsid w:val="002241F8"/>
    <w:rsid w:val="002253D2"/>
    <w:rsid w:val="00227217"/>
    <w:rsid w:val="00233B3B"/>
    <w:rsid w:val="00243E10"/>
    <w:rsid w:val="002517F7"/>
    <w:rsid w:val="00252AA0"/>
    <w:rsid w:val="0026569B"/>
    <w:rsid w:val="00265C94"/>
    <w:rsid w:val="00270CCA"/>
    <w:rsid w:val="002951D4"/>
    <w:rsid w:val="002965C2"/>
    <w:rsid w:val="002A460B"/>
    <w:rsid w:val="002A691E"/>
    <w:rsid w:val="002C664B"/>
    <w:rsid w:val="002D0162"/>
    <w:rsid w:val="002D3CF9"/>
    <w:rsid w:val="002D5092"/>
    <w:rsid w:val="002D7E79"/>
    <w:rsid w:val="002E3D60"/>
    <w:rsid w:val="002E5614"/>
    <w:rsid w:val="002F420C"/>
    <w:rsid w:val="002F459A"/>
    <w:rsid w:val="00300CC5"/>
    <w:rsid w:val="003044BF"/>
    <w:rsid w:val="003208BE"/>
    <w:rsid w:val="00327A80"/>
    <w:rsid w:val="00333F53"/>
    <w:rsid w:val="0033746F"/>
    <w:rsid w:val="0035051B"/>
    <w:rsid w:val="00357A1C"/>
    <w:rsid w:val="00364F44"/>
    <w:rsid w:val="00372E71"/>
    <w:rsid w:val="00376C4E"/>
    <w:rsid w:val="003972D4"/>
    <w:rsid w:val="003A332B"/>
    <w:rsid w:val="003B5E8C"/>
    <w:rsid w:val="003B64AE"/>
    <w:rsid w:val="003C418D"/>
    <w:rsid w:val="003D5028"/>
    <w:rsid w:val="003E5ECA"/>
    <w:rsid w:val="003E6D3E"/>
    <w:rsid w:val="003F415F"/>
    <w:rsid w:val="0040160C"/>
    <w:rsid w:val="004065CA"/>
    <w:rsid w:val="0042351F"/>
    <w:rsid w:val="00427E9B"/>
    <w:rsid w:val="004331BA"/>
    <w:rsid w:val="0044658C"/>
    <w:rsid w:val="0045346A"/>
    <w:rsid w:val="00456029"/>
    <w:rsid w:val="00457622"/>
    <w:rsid w:val="00463D6D"/>
    <w:rsid w:val="004650DB"/>
    <w:rsid w:val="00470012"/>
    <w:rsid w:val="004729CE"/>
    <w:rsid w:val="004738EB"/>
    <w:rsid w:val="0048495F"/>
    <w:rsid w:val="0048714B"/>
    <w:rsid w:val="00490A23"/>
    <w:rsid w:val="00494EA7"/>
    <w:rsid w:val="004955B0"/>
    <w:rsid w:val="0049685F"/>
    <w:rsid w:val="004A2E27"/>
    <w:rsid w:val="004A442B"/>
    <w:rsid w:val="004A71F6"/>
    <w:rsid w:val="004D0ED6"/>
    <w:rsid w:val="004D7EA4"/>
    <w:rsid w:val="004E0297"/>
    <w:rsid w:val="004F6FE8"/>
    <w:rsid w:val="0050194B"/>
    <w:rsid w:val="005123B9"/>
    <w:rsid w:val="00512967"/>
    <w:rsid w:val="00516F13"/>
    <w:rsid w:val="005214F7"/>
    <w:rsid w:val="00522225"/>
    <w:rsid w:val="00526E43"/>
    <w:rsid w:val="005316C7"/>
    <w:rsid w:val="005417DF"/>
    <w:rsid w:val="00543B0A"/>
    <w:rsid w:val="00546C9A"/>
    <w:rsid w:val="00551060"/>
    <w:rsid w:val="00554AB5"/>
    <w:rsid w:val="00557EE4"/>
    <w:rsid w:val="00567FD5"/>
    <w:rsid w:val="00574457"/>
    <w:rsid w:val="00576A51"/>
    <w:rsid w:val="00577ECA"/>
    <w:rsid w:val="00586FFF"/>
    <w:rsid w:val="005B32D0"/>
    <w:rsid w:val="005B33F7"/>
    <w:rsid w:val="005B7934"/>
    <w:rsid w:val="005C0A71"/>
    <w:rsid w:val="005C7A1B"/>
    <w:rsid w:val="005D53F4"/>
    <w:rsid w:val="005E4DC0"/>
    <w:rsid w:val="005E6703"/>
    <w:rsid w:val="005E754A"/>
    <w:rsid w:val="005F6799"/>
    <w:rsid w:val="00600B84"/>
    <w:rsid w:val="00603015"/>
    <w:rsid w:val="00624EF1"/>
    <w:rsid w:val="00627075"/>
    <w:rsid w:val="00632622"/>
    <w:rsid w:val="00640ED7"/>
    <w:rsid w:val="00645F36"/>
    <w:rsid w:val="00651BB6"/>
    <w:rsid w:val="00652FA2"/>
    <w:rsid w:val="00653CDE"/>
    <w:rsid w:val="00655C5F"/>
    <w:rsid w:val="0066011E"/>
    <w:rsid w:val="00665EB8"/>
    <w:rsid w:val="00666824"/>
    <w:rsid w:val="00671DC2"/>
    <w:rsid w:val="00672D3F"/>
    <w:rsid w:val="006737C3"/>
    <w:rsid w:val="00677673"/>
    <w:rsid w:val="00690047"/>
    <w:rsid w:val="0069092E"/>
    <w:rsid w:val="00696118"/>
    <w:rsid w:val="00696C95"/>
    <w:rsid w:val="006A4C53"/>
    <w:rsid w:val="006B0509"/>
    <w:rsid w:val="006B29AA"/>
    <w:rsid w:val="006C33DF"/>
    <w:rsid w:val="006C451A"/>
    <w:rsid w:val="006D3A93"/>
    <w:rsid w:val="006F54AC"/>
    <w:rsid w:val="007041DA"/>
    <w:rsid w:val="00712898"/>
    <w:rsid w:val="0071417D"/>
    <w:rsid w:val="0071543D"/>
    <w:rsid w:val="0072345C"/>
    <w:rsid w:val="00727FB7"/>
    <w:rsid w:val="007408EC"/>
    <w:rsid w:val="00742002"/>
    <w:rsid w:val="007427AA"/>
    <w:rsid w:val="00742B36"/>
    <w:rsid w:val="007770B1"/>
    <w:rsid w:val="00786748"/>
    <w:rsid w:val="00791D80"/>
    <w:rsid w:val="007945C9"/>
    <w:rsid w:val="007A38F2"/>
    <w:rsid w:val="007A4C03"/>
    <w:rsid w:val="007A7D70"/>
    <w:rsid w:val="007C041D"/>
    <w:rsid w:val="007D208B"/>
    <w:rsid w:val="007D6ED4"/>
    <w:rsid w:val="007F61E2"/>
    <w:rsid w:val="00802C30"/>
    <w:rsid w:val="008037BD"/>
    <w:rsid w:val="00805642"/>
    <w:rsid w:val="00805B6B"/>
    <w:rsid w:val="00814E97"/>
    <w:rsid w:val="00823913"/>
    <w:rsid w:val="00825F13"/>
    <w:rsid w:val="00827317"/>
    <w:rsid w:val="00832763"/>
    <w:rsid w:val="0083335C"/>
    <w:rsid w:val="00840484"/>
    <w:rsid w:val="008452BC"/>
    <w:rsid w:val="00846DBF"/>
    <w:rsid w:val="0085469F"/>
    <w:rsid w:val="00861B82"/>
    <w:rsid w:val="00863DB3"/>
    <w:rsid w:val="00866D29"/>
    <w:rsid w:val="00876F51"/>
    <w:rsid w:val="00883002"/>
    <w:rsid w:val="00883632"/>
    <w:rsid w:val="00885DEB"/>
    <w:rsid w:val="00887F28"/>
    <w:rsid w:val="0089019E"/>
    <w:rsid w:val="00893CDF"/>
    <w:rsid w:val="00894017"/>
    <w:rsid w:val="00897707"/>
    <w:rsid w:val="008A4919"/>
    <w:rsid w:val="008A68BC"/>
    <w:rsid w:val="008B2AD1"/>
    <w:rsid w:val="008B5E30"/>
    <w:rsid w:val="008C57D7"/>
    <w:rsid w:val="008C5A00"/>
    <w:rsid w:val="008D695A"/>
    <w:rsid w:val="008E185B"/>
    <w:rsid w:val="008E6D46"/>
    <w:rsid w:val="008F6C49"/>
    <w:rsid w:val="00912379"/>
    <w:rsid w:val="00921399"/>
    <w:rsid w:val="00921548"/>
    <w:rsid w:val="00932988"/>
    <w:rsid w:val="009438C8"/>
    <w:rsid w:val="009500EE"/>
    <w:rsid w:val="00960182"/>
    <w:rsid w:val="009612BA"/>
    <w:rsid w:val="0096662F"/>
    <w:rsid w:val="00967811"/>
    <w:rsid w:val="00973430"/>
    <w:rsid w:val="009A172E"/>
    <w:rsid w:val="009A210C"/>
    <w:rsid w:val="009B42EE"/>
    <w:rsid w:val="009B4499"/>
    <w:rsid w:val="009B48E7"/>
    <w:rsid w:val="009B511C"/>
    <w:rsid w:val="009B7130"/>
    <w:rsid w:val="009C2065"/>
    <w:rsid w:val="009C348B"/>
    <w:rsid w:val="009D3A28"/>
    <w:rsid w:val="009D4462"/>
    <w:rsid w:val="009D52F1"/>
    <w:rsid w:val="009D6AF3"/>
    <w:rsid w:val="009E266D"/>
    <w:rsid w:val="009E3927"/>
    <w:rsid w:val="009E4418"/>
    <w:rsid w:val="009F4F00"/>
    <w:rsid w:val="00A0106F"/>
    <w:rsid w:val="00A01FD2"/>
    <w:rsid w:val="00A02DC3"/>
    <w:rsid w:val="00A03C8A"/>
    <w:rsid w:val="00A05D16"/>
    <w:rsid w:val="00A101E9"/>
    <w:rsid w:val="00A113B8"/>
    <w:rsid w:val="00A11EFD"/>
    <w:rsid w:val="00A14134"/>
    <w:rsid w:val="00A25DA0"/>
    <w:rsid w:val="00A3172E"/>
    <w:rsid w:val="00A35DC5"/>
    <w:rsid w:val="00A37C62"/>
    <w:rsid w:val="00A45090"/>
    <w:rsid w:val="00A46BFB"/>
    <w:rsid w:val="00A5159D"/>
    <w:rsid w:val="00A525D0"/>
    <w:rsid w:val="00A55DBD"/>
    <w:rsid w:val="00A71BA7"/>
    <w:rsid w:val="00A736DF"/>
    <w:rsid w:val="00A816C5"/>
    <w:rsid w:val="00A841F2"/>
    <w:rsid w:val="00A95D2F"/>
    <w:rsid w:val="00AB0A8E"/>
    <w:rsid w:val="00AB57FD"/>
    <w:rsid w:val="00AC6AF1"/>
    <w:rsid w:val="00AC7069"/>
    <w:rsid w:val="00AD3EE3"/>
    <w:rsid w:val="00AD56A0"/>
    <w:rsid w:val="00AE1EA4"/>
    <w:rsid w:val="00AE3BF1"/>
    <w:rsid w:val="00AF43E6"/>
    <w:rsid w:val="00AF5953"/>
    <w:rsid w:val="00B002E7"/>
    <w:rsid w:val="00B0373D"/>
    <w:rsid w:val="00B04097"/>
    <w:rsid w:val="00B04C0C"/>
    <w:rsid w:val="00B052DC"/>
    <w:rsid w:val="00B124B4"/>
    <w:rsid w:val="00B22AF4"/>
    <w:rsid w:val="00B23F64"/>
    <w:rsid w:val="00B27BCD"/>
    <w:rsid w:val="00B326CA"/>
    <w:rsid w:val="00B3497B"/>
    <w:rsid w:val="00B35D06"/>
    <w:rsid w:val="00B4027B"/>
    <w:rsid w:val="00B440AE"/>
    <w:rsid w:val="00B54BC6"/>
    <w:rsid w:val="00B57A8C"/>
    <w:rsid w:val="00B60195"/>
    <w:rsid w:val="00B6065C"/>
    <w:rsid w:val="00B74780"/>
    <w:rsid w:val="00B97926"/>
    <w:rsid w:val="00BA024C"/>
    <w:rsid w:val="00BA1B24"/>
    <w:rsid w:val="00BA29D9"/>
    <w:rsid w:val="00BA6B33"/>
    <w:rsid w:val="00BB0E0D"/>
    <w:rsid w:val="00BD0655"/>
    <w:rsid w:val="00BD1B61"/>
    <w:rsid w:val="00BD2981"/>
    <w:rsid w:val="00BD7824"/>
    <w:rsid w:val="00BE18C0"/>
    <w:rsid w:val="00C00BDD"/>
    <w:rsid w:val="00C07D64"/>
    <w:rsid w:val="00C07FF4"/>
    <w:rsid w:val="00C22186"/>
    <w:rsid w:val="00C255E5"/>
    <w:rsid w:val="00C3111E"/>
    <w:rsid w:val="00C329B4"/>
    <w:rsid w:val="00C36C17"/>
    <w:rsid w:val="00C538ED"/>
    <w:rsid w:val="00C614D0"/>
    <w:rsid w:val="00C619B9"/>
    <w:rsid w:val="00C71DE6"/>
    <w:rsid w:val="00C85E52"/>
    <w:rsid w:val="00C8620C"/>
    <w:rsid w:val="00C87607"/>
    <w:rsid w:val="00C93C62"/>
    <w:rsid w:val="00C956C2"/>
    <w:rsid w:val="00CA1B58"/>
    <w:rsid w:val="00CA3A7B"/>
    <w:rsid w:val="00CA4337"/>
    <w:rsid w:val="00CA5C69"/>
    <w:rsid w:val="00CB0550"/>
    <w:rsid w:val="00CB5656"/>
    <w:rsid w:val="00CB577A"/>
    <w:rsid w:val="00CD3537"/>
    <w:rsid w:val="00CF561F"/>
    <w:rsid w:val="00D044B8"/>
    <w:rsid w:val="00D0604A"/>
    <w:rsid w:val="00D07260"/>
    <w:rsid w:val="00D147B6"/>
    <w:rsid w:val="00D26049"/>
    <w:rsid w:val="00D26FA0"/>
    <w:rsid w:val="00D41B08"/>
    <w:rsid w:val="00D465F2"/>
    <w:rsid w:val="00D512C5"/>
    <w:rsid w:val="00D51D78"/>
    <w:rsid w:val="00D520C1"/>
    <w:rsid w:val="00D52A31"/>
    <w:rsid w:val="00D541D1"/>
    <w:rsid w:val="00D57F29"/>
    <w:rsid w:val="00D64CDD"/>
    <w:rsid w:val="00D6605E"/>
    <w:rsid w:val="00D6695C"/>
    <w:rsid w:val="00D676AC"/>
    <w:rsid w:val="00D7005D"/>
    <w:rsid w:val="00D700F4"/>
    <w:rsid w:val="00D74A62"/>
    <w:rsid w:val="00D77205"/>
    <w:rsid w:val="00D803BE"/>
    <w:rsid w:val="00D8325C"/>
    <w:rsid w:val="00D862B2"/>
    <w:rsid w:val="00D9434C"/>
    <w:rsid w:val="00D972F2"/>
    <w:rsid w:val="00D97C7F"/>
    <w:rsid w:val="00DA3D65"/>
    <w:rsid w:val="00DA56FF"/>
    <w:rsid w:val="00DB3453"/>
    <w:rsid w:val="00DB649A"/>
    <w:rsid w:val="00DB70FC"/>
    <w:rsid w:val="00DC2097"/>
    <w:rsid w:val="00DC4782"/>
    <w:rsid w:val="00DC4EA0"/>
    <w:rsid w:val="00DC5712"/>
    <w:rsid w:val="00DD3955"/>
    <w:rsid w:val="00DD72C5"/>
    <w:rsid w:val="00DF0057"/>
    <w:rsid w:val="00DF3B35"/>
    <w:rsid w:val="00E0431A"/>
    <w:rsid w:val="00E0578D"/>
    <w:rsid w:val="00E11761"/>
    <w:rsid w:val="00E1464B"/>
    <w:rsid w:val="00E159C4"/>
    <w:rsid w:val="00E21219"/>
    <w:rsid w:val="00E32590"/>
    <w:rsid w:val="00E3274E"/>
    <w:rsid w:val="00E452B9"/>
    <w:rsid w:val="00E46347"/>
    <w:rsid w:val="00E51BC9"/>
    <w:rsid w:val="00E5271E"/>
    <w:rsid w:val="00E66D3E"/>
    <w:rsid w:val="00E77823"/>
    <w:rsid w:val="00E8614D"/>
    <w:rsid w:val="00E87177"/>
    <w:rsid w:val="00E90228"/>
    <w:rsid w:val="00EB21A7"/>
    <w:rsid w:val="00EB67DB"/>
    <w:rsid w:val="00ED2D7B"/>
    <w:rsid w:val="00EE4639"/>
    <w:rsid w:val="00EE7382"/>
    <w:rsid w:val="00EE7D9F"/>
    <w:rsid w:val="00EF0777"/>
    <w:rsid w:val="00EF5383"/>
    <w:rsid w:val="00EF5D8D"/>
    <w:rsid w:val="00F03048"/>
    <w:rsid w:val="00F0679A"/>
    <w:rsid w:val="00F15BD6"/>
    <w:rsid w:val="00F21267"/>
    <w:rsid w:val="00F21A5D"/>
    <w:rsid w:val="00F2334F"/>
    <w:rsid w:val="00F23F0E"/>
    <w:rsid w:val="00F24AB1"/>
    <w:rsid w:val="00F331D9"/>
    <w:rsid w:val="00F3558D"/>
    <w:rsid w:val="00F40F47"/>
    <w:rsid w:val="00F413CC"/>
    <w:rsid w:val="00F471B4"/>
    <w:rsid w:val="00F478AC"/>
    <w:rsid w:val="00F50FF7"/>
    <w:rsid w:val="00F57F58"/>
    <w:rsid w:val="00F60781"/>
    <w:rsid w:val="00F70296"/>
    <w:rsid w:val="00F71237"/>
    <w:rsid w:val="00F73EBD"/>
    <w:rsid w:val="00F82FA5"/>
    <w:rsid w:val="00F90CE0"/>
    <w:rsid w:val="00F91B7F"/>
    <w:rsid w:val="00FA2B72"/>
    <w:rsid w:val="00FB13B5"/>
    <w:rsid w:val="00FB343C"/>
    <w:rsid w:val="00FD4616"/>
    <w:rsid w:val="00FD55AE"/>
    <w:rsid w:val="00FD6032"/>
    <w:rsid w:val="00FE03ED"/>
    <w:rsid w:val="00FE545E"/>
    <w:rsid w:val="00FF59CE"/>
    <w:rsid w:val="00FF6B1C"/>
    <w:rsid w:val="013D3CAD"/>
    <w:rsid w:val="013F5A96"/>
    <w:rsid w:val="02064C0F"/>
    <w:rsid w:val="02685AC4"/>
    <w:rsid w:val="033647C2"/>
    <w:rsid w:val="03F7527D"/>
    <w:rsid w:val="042C738E"/>
    <w:rsid w:val="04A63802"/>
    <w:rsid w:val="04C14D7E"/>
    <w:rsid w:val="05273A64"/>
    <w:rsid w:val="052D166E"/>
    <w:rsid w:val="056016FE"/>
    <w:rsid w:val="0602425A"/>
    <w:rsid w:val="06076FB2"/>
    <w:rsid w:val="062026B3"/>
    <w:rsid w:val="064D6DE8"/>
    <w:rsid w:val="0654767E"/>
    <w:rsid w:val="06F15115"/>
    <w:rsid w:val="07E240B4"/>
    <w:rsid w:val="082C6DDA"/>
    <w:rsid w:val="08627BA5"/>
    <w:rsid w:val="08783A51"/>
    <w:rsid w:val="08820DA5"/>
    <w:rsid w:val="08BD532B"/>
    <w:rsid w:val="08C76272"/>
    <w:rsid w:val="0928224C"/>
    <w:rsid w:val="096838F7"/>
    <w:rsid w:val="09780077"/>
    <w:rsid w:val="09E67E38"/>
    <w:rsid w:val="0A441BDA"/>
    <w:rsid w:val="0A5F6ADC"/>
    <w:rsid w:val="0AD26E51"/>
    <w:rsid w:val="0BAE0F02"/>
    <w:rsid w:val="0BC31933"/>
    <w:rsid w:val="0BD93E6A"/>
    <w:rsid w:val="0C07256A"/>
    <w:rsid w:val="0C7C73C5"/>
    <w:rsid w:val="0C8E5D82"/>
    <w:rsid w:val="0CD96684"/>
    <w:rsid w:val="0D2548D2"/>
    <w:rsid w:val="0DF452B2"/>
    <w:rsid w:val="0E166B60"/>
    <w:rsid w:val="0E455C98"/>
    <w:rsid w:val="0EBA0C8F"/>
    <w:rsid w:val="0ED054B2"/>
    <w:rsid w:val="0EE66335"/>
    <w:rsid w:val="0F246EF0"/>
    <w:rsid w:val="0F61734D"/>
    <w:rsid w:val="0F97388A"/>
    <w:rsid w:val="0FFA40F6"/>
    <w:rsid w:val="1017311B"/>
    <w:rsid w:val="10737CC1"/>
    <w:rsid w:val="10D123C0"/>
    <w:rsid w:val="1111193C"/>
    <w:rsid w:val="117B3436"/>
    <w:rsid w:val="120B6512"/>
    <w:rsid w:val="1214080B"/>
    <w:rsid w:val="12784FD8"/>
    <w:rsid w:val="12D372FA"/>
    <w:rsid w:val="13472FC0"/>
    <w:rsid w:val="13894732"/>
    <w:rsid w:val="141E0BDF"/>
    <w:rsid w:val="142E09BB"/>
    <w:rsid w:val="14322B2F"/>
    <w:rsid w:val="14EF169F"/>
    <w:rsid w:val="155621F8"/>
    <w:rsid w:val="156426F8"/>
    <w:rsid w:val="15A2679F"/>
    <w:rsid w:val="15AF6C8D"/>
    <w:rsid w:val="15DE0135"/>
    <w:rsid w:val="168C0FD9"/>
    <w:rsid w:val="171802E3"/>
    <w:rsid w:val="17441C70"/>
    <w:rsid w:val="17F84BFF"/>
    <w:rsid w:val="18310505"/>
    <w:rsid w:val="183F1D23"/>
    <w:rsid w:val="18E22D64"/>
    <w:rsid w:val="19F802B2"/>
    <w:rsid w:val="1A960872"/>
    <w:rsid w:val="1ABD1318"/>
    <w:rsid w:val="1B002DB2"/>
    <w:rsid w:val="1B0B3787"/>
    <w:rsid w:val="1B1E7803"/>
    <w:rsid w:val="1B61476F"/>
    <w:rsid w:val="1BDE70C9"/>
    <w:rsid w:val="1D4727D5"/>
    <w:rsid w:val="1DBF0085"/>
    <w:rsid w:val="1E22603D"/>
    <w:rsid w:val="1E7F5D74"/>
    <w:rsid w:val="1E820033"/>
    <w:rsid w:val="1EB17245"/>
    <w:rsid w:val="1F651592"/>
    <w:rsid w:val="1FAC52D2"/>
    <w:rsid w:val="1FBA2D9A"/>
    <w:rsid w:val="1FE400D4"/>
    <w:rsid w:val="206C32C5"/>
    <w:rsid w:val="20CC5C1F"/>
    <w:rsid w:val="21160A79"/>
    <w:rsid w:val="217E2989"/>
    <w:rsid w:val="217E45F3"/>
    <w:rsid w:val="229A4BBC"/>
    <w:rsid w:val="22B11AA0"/>
    <w:rsid w:val="22FC79EB"/>
    <w:rsid w:val="2357704B"/>
    <w:rsid w:val="235C056B"/>
    <w:rsid w:val="238A1574"/>
    <w:rsid w:val="23921F64"/>
    <w:rsid w:val="240C1B11"/>
    <w:rsid w:val="242A459C"/>
    <w:rsid w:val="250E398B"/>
    <w:rsid w:val="25574B9B"/>
    <w:rsid w:val="269548D6"/>
    <w:rsid w:val="26972015"/>
    <w:rsid w:val="2698534D"/>
    <w:rsid w:val="27A21A1E"/>
    <w:rsid w:val="27C15763"/>
    <w:rsid w:val="27F04D18"/>
    <w:rsid w:val="27FD32E0"/>
    <w:rsid w:val="293316E8"/>
    <w:rsid w:val="29715624"/>
    <w:rsid w:val="29AB3541"/>
    <w:rsid w:val="2A19383C"/>
    <w:rsid w:val="2A2B26D1"/>
    <w:rsid w:val="2A430D2A"/>
    <w:rsid w:val="2A502CB3"/>
    <w:rsid w:val="2AB027B8"/>
    <w:rsid w:val="2AD81B66"/>
    <w:rsid w:val="2B3B44EB"/>
    <w:rsid w:val="2B793920"/>
    <w:rsid w:val="2BB20511"/>
    <w:rsid w:val="2BCE670E"/>
    <w:rsid w:val="2C3947D6"/>
    <w:rsid w:val="2CD51299"/>
    <w:rsid w:val="2CF21DFF"/>
    <w:rsid w:val="2D21077E"/>
    <w:rsid w:val="2D693084"/>
    <w:rsid w:val="2D822925"/>
    <w:rsid w:val="2DA31395"/>
    <w:rsid w:val="2E206607"/>
    <w:rsid w:val="2E444EBD"/>
    <w:rsid w:val="2E860882"/>
    <w:rsid w:val="2E9C468E"/>
    <w:rsid w:val="2F0E3D38"/>
    <w:rsid w:val="2F910E89"/>
    <w:rsid w:val="2FAE2ED4"/>
    <w:rsid w:val="2FD821F9"/>
    <w:rsid w:val="3065583C"/>
    <w:rsid w:val="306C1611"/>
    <w:rsid w:val="30790FC9"/>
    <w:rsid w:val="30AD722A"/>
    <w:rsid w:val="30AF2463"/>
    <w:rsid w:val="311575D4"/>
    <w:rsid w:val="31223239"/>
    <w:rsid w:val="31D121F3"/>
    <w:rsid w:val="31D77BB3"/>
    <w:rsid w:val="32532BA9"/>
    <w:rsid w:val="32976371"/>
    <w:rsid w:val="330C41BF"/>
    <w:rsid w:val="33897F54"/>
    <w:rsid w:val="33E414EA"/>
    <w:rsid w:val="3437584B"/>
    <w:rsid w:val="34921FB6"/>
    <w:rsid w:val="34A948AA"/>
    <w:rsid w:val="34F66EA9"/>
    <w:rsid w:val="35754B63"/>
    <w:rsid w:val="35A5724A"/>
    <w:rsid w:val="35E342C1"/>
    <w:rsid w:val="36374BB9"/>
    <w:rsid w:val="373D7D06"/>
    <w:rsid w:val="378040DF"/>
    <w:rsid w:val="38A66433"/>
    <w:rsid w:val="390E2F88"/>
    <w:rsid w:val="3933150B"/>
    <w:rsid w:val="39510A9E"/>
    <w:rsid w:val="39705886"/>
    <w:rsid w:val="39F4197B"/>
    <w:rsid w:val="3A0C01D0"/>
    <w:rsid w:val="3A400D5D"/>
    <w:rsid w:val="3A7B6BD0"/>
    <w:rsid w:val="3ABC6FA7"/>
    <w:rsid w:val="3ACB52AA"/>
    <w:rsid w:val="3B052748"/>
    <w:rsid w:val="3B0A518E"/>
    <w:rsid w:val="3B6B044E"/>
    <w:rsid w:val="3B83335D"/>
    <w:rsid w:val="3BF42EB3"/>
    <w:rsid w:val="3CA65D9A"/>
    <w:rsid w:val="3CAF4463"/>
    <w:rsid w:val="3D0C4BDD"/>
    <w:rsid w:val="3D4D510B"/>
    <w:rsid w:val="3DB2764B"/>
    <w:rsid w:val="3DC31523"/>
    <w:rsid w:val="3E3E5E83"/>
    <w:rsid w:val="3E4D58D0"/>
    <w:rsid w:val="3E9F0CCD"/>
    <w:rsid w:val="3EA07420"/>
    <w:rsid w:val="3EF346D2"/>
    <w:rsid w:val="3EF3768C"/>
    <w:rsid w:val="3F4327D4"/>
    <w:rsid w:val="3F5C3D8E"/>
    <w:rsid w:val="3F8D5444"/>
    <w:rsid w:val="400A18A5"/>
    <w:rsid w:val="40107E00"/>
    <w:rsid w:val="408B5EB6"/>
    <w:rsid w:val="42D14E63"/>
    <w:rsid w:val="42EA3F4C"/>
    <w:rsid w:val="431F605B"/>
    <w:rsid w:val="43261116"/>
    <w:rsid w:val="43A24078"/>
    <w:rsid w:val="440837BA"/>
    <w:rsid w:val="447B11DB"/>
    <w:rsid w:val="44AD6B55"/>
    <w:rsid w:val="452F0447"/>
    <w:rsid w:val="45DF775C"/>
    <w:rsid w:val="463A12B3"/>
    <w:rsid w:val="464C19F3"/>
    <w:rsid w:val="466752A7"/>
    <w:rsid w:val="47713511"/>
    <w:rsid w:val="481D4357"/>
    <w:rsid w:val="48406324"/>
    <w:rsid w:val="48B00EAA"/>
    <w:rsid w:val="48B615A6"/>
    <w:rsid w:val="49261657"/>
    <w:rsid w:val="496A01E3"/>
    <w:rsid w:val="4AA80837"/>
    <w:rsid w:val="4B135395"/>
    <w:rsid w:val="4B3B1AEE"/>
    <w:rsid w:val="4B4774B3"/>
    <w:rsid w:val="4B554D35"/>
    <w:rsid w:val="4B806774"/>
    <w:rsid w:val="4B810A3F"/>
    <w:rsid w:val="4C6805B4"/>
    <w:rsid w:val="4C716839"/>
    <w:rsid w:val="4CDD4799"/>
    <w:rsid w:val="4CE12F3B"/>
    <w:rsid w:val="4D043172"/>
    <w:rsid w:val="4D054CB5"/>
    <w:rsid w:val="4DA24B6B"/>
    <w:rsid w:val="4DA52FE8"/>
    <w:rsid w:val="4DAD736A"/>
    <w:rsid w:val="4E096BE0"/>
    <w:rsid w:val="4E1B6555"/>
    <w:rsid w:val="4EFD5C69"/>
    <w:rsid w:val="4FD06F21"/>
    <w:rsid w:val="508E1D8B"/>
    <w:rsid w:val="50C306B7"/>
    <w:rsid w:val="50D858AA"/>
    <w:rsid w:val="515B6831"/>
    <w:rsid w:val="516419F9"/>
    <w:rsid w:val="51826F08"/>
    <w:rsid w:val="51854135"/>
    <w:rsid w:val="52BC1157"/>
    <w:rsid w:val="53061A0B"/>
    <w:rsid w:val="540F5DAC"/>
    <w:rsid w:val="542351A3"/>
    <w:rsid w:val="54274CFD"/>
    <w:rsid w:val="543C78C6"/>
    <w:rsid w:val="5496558D"/>
    <w:rsid w:val="550B1720"/>
    <w:rsid w:val="55AB6715"/>
    <w:rsid w:val="55CE0619"/>
    <w:rsid w:val="567544E1"/>
    <w:rsid w:val="56A41910"/>
    <w:rsid w:val="56B70737"/>
    <w:rsid w:val="571F2C3E"/>
    <w:rsid w:val="57467B7C"/>
    <w:rsid w:val="5751270B"/>
    <w:rsid w:val="57594806"/>
    <w:rsid w:val="57BC3D42"/>
    <w:rsid w:val="57D56FAB"/>
    <w:rsid w:val="57DA451E"/>
    <w:rsid w:val="58C95D8A"/>
    <w:rsid w:val="58ED7CAD"/>
    <w:rsid w:val="591D6018"/>
    <w:rsid w:val="59F237DC"/>
    <w:rsid w:val="5A1F7481"/>
    <w:rsid w:val="5A26362A"/>
    <w:rsid w:val="5A69268A"/>
    <w:rsid w:val="5AB62A9F"/>
    <w:rsid w:val="5AEA3C63"/>
    <w:rsid w:val="5B351C0B"/>
    <w:rsid w:val="5B7C6021"/>
    <w:rsid w:val="5B7F30F6"/>
    <w:rsid w:val="5B8E0549"/>
    <w:rsid w:val="5B9E5BA6"/>
    <w:rsid w:val="5BE36D60"/>
    <w:rsid w:val="5BF70F97"/>
    <w:rsid w:val="5C8A531F"/>
    <w:rsid w:val="5CE762B9"/>
    <w:rsid w:val="5D625214"/>
    <w:rsid w:val="5D645998"/>
    <w:rsid w:val="5D94371E"/>
    <w:rsid w:val="5E1133AA"/>
    <w:rsid w:val="5E117BA9"/>
    <w:rsid w:val="5E2A3A61"/>
    <w:rsid w:val="5E2C3CC2"/>
    <w:rsid w:val="5FDE49F8"/>
    <w:rsid w:val="60EC3368"/>
    <w:rsid w:val="61A74EFB"/>
    <w:rsid w:val="61CE4BE8"/>
    <w:rsid w:val="61E4462E"/>
    <w:rsid w:val="61EC15CF"/>
    <w:rsid w:val="62125E84"/>
    <w:rsid w:val="625A78E4"/>
    <w:rsid w:val="628A33DB"/>
    <w:rsid w:val="62F01AFE"/>
    <w:rsid w:val="63001F77"/>
    <w:rsid w:val="63263377"/>
    <w:rsid w:val="636A2CA1"/>
    <w:rsid w:val="638B4D84"/>
    <w:rsid w:val="63F504BF"/>
    <w:rsid w:val="64785DD8"/>
    <w:rsid w:val="652E4E6A"/>
    <w:rsid w:val="653231F3"/>
    <w:rsid w:val="654C46B5"/>
    <w:rsid w:val="655F6EDD"/>
    <w:rsid w:val="6580509A"/>
    <w:rsid w:val="660D7792"/>
    <w:rsid w:val="671D2BF1"/>
    <w:rsid w:val="67414A39"/>
    <w:rsid w:val="67CC51BB"/>
    <w:rsid w:val="67D15A44"/>
    <w:rsid w:val="68730553"/>
    <w:rsid w:val="68D31F12"/>
    <w:rsid w:val="68DD2D7D"/>
    <w:rsid w:val="69D326F9"/>
    <w:rsid w:val="69FD5AD7"/>
    <w:rsid w:val="6A0D570E"/>
    <w:rsid w:val="6A2632B3"/>
    <w:rsid w:val="6A8223F5"/>
    <w:rsid w:val="6AC32811"/>
    <w:rsid w:val="6ACB56B7"/>
    <w:rsid w:val="6B156213"/>
    <w:rsid w:val="6B553E18"/>
    <w:rsid w:val="6BEF460E"/>
    <w:rsid w:val="6C045FDD"/>
    <w:rsid w:val="6C492DA1"/>
    <w:rsid w:val="6C573604"/>
    <w:rsid w:val="6C837343"/>
    <w:rsid w:val="6C8E7254"/>
    <w:rsid w:val="6D1862CF"/>
    <w:rsid w:val="6DB50B74"/>
    <w:rsid w:val="6E030C18"/>
    <w:rsid w:val="6E200809"/>
    <w:rsid w:val="6E39457E"/>
    <w:rsid w:val="6E707021"/>
    <w:rsid w:val="6EAF7B21"/>
    <w:rsid w:val="6EE13373"/>
    <w:rsid w:val="6EFC4C7F"/>
    <w:rsid w:val="6FBB1835"/>
    <w:rsid w:val="6FFB1F97"/>
    <w:rsid w:val="70553E87"/>
    <w:rsid w:val="70771763"/>
    <w:rsid w:val="70CB7B2C"/>
    <w:rsid w:val="70E16696"/>
    <w:rsid w:val="710E19A0"/>
    <w:rsid w:val="71702C55"/>
    <w:rsid w:val="71771911"/>
    <w:rsid w:val="719579FA"/>
    <w:rsid w:val="71A77D7D"/>
    <w:rsid w:val="726A7992"/>
    <w:rsid w:val="7314364E"/>
    <w:rsid w:val="731E53E5"/>
    <w:rsid w:val="7359580B"/>
    <w:rsid w:val="73BF370B"/>
    <w:rsid w:val="741F32FA"/>
    <w:rsid w:val="74273DE9"/>
    <w:rsid w:val="742C4962"/>
    <w:rsid w:val="744761FC"/>
    <w:rsid w:val="75D21E39"/>
    <w:rsid w:val="767B476F"/>
    <w:rsid w:val="76A147C1"/>
    <w:rsid w:val="772C1B41"/>
    <w:rsid w:val="77361A84"/>
    <w:rsid w:val="773E3E82"/>
    <w:rsid w:val="77947439"/>
    <w:rsid w:val="779F7018"/>
    <w:rsid w:val="77BD7669"/>
    <w:rsid w:val="77C27CE5"/>
    <w:rsid w:val="77D732C1"/>
    <w:rsid w:val="7843489F"/>
    <w:rsid w:val="78730841"/>
    <w:rsid w:val="78894556"/>
    <w:rsid w:val="78940515"/>
    <w:rsid w:val="78F740F4"/>
    <w:rsid w:val="791A3150"/>
    <w:rsid w:val="79291836"/>
    <w:rsid w:val="793975EA"/>
    <w:rsid w:val="79874BBB"/>
    <w:rsid w:val="79E64FC6"/>
    <w:rsid w:val="79FC7778"/>
    <w:rsid w:val="7A0414C2"/>
    <w:rsid w:val="7AC609BE"/>
    <w:rsid w:val="7B0444C6"/>
    <w:rsid w:val="7B073144"/>
    <w:rsid w:val="7B4C1ECA"/>
    <w:rsid w:val="7CB70688"/>
    <w:rsid w:val="7CD46E0F"/>
    <w:rsid w:val="7CE00192"/>
    <w:rsid w:val="7CE1767C"/>
    <w:rsid w:val="7D046DDF"/>
    <w:rsid w:val="7DC03951"/>
    <w:rsid w:val="7DE0486F"/>
    <w:rsid w:val="7E2B4A7E"/>
    <w:rsid w:val="7E6B40C9"/>
    <w:rsid w:val="7E825EC8"/>
    <w:rsid w:val="7ED70E8B"/>
    <w:rsid w:val="7F900869"/>
    <w:rsid w:val="7FA716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semiHidden/>
    <w:qFormat/>
    <w:uiPriority w:val="0"/>
    <w:pPr>
      <w:snapToGrid w:val="0"/>
      <w:jc w:val="left"/>
    </w:pPr>
    <w:rPr>
      <w:sz w:val="18"/>
      <w:szCs w:val="18"/>
    </w:rPr>
  </w:style>
  <w:style w:type="table" w:styleId="7">
    <w:name w:val="Table Grid"/>
    <w:basedOn w:val="6"/>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styleId="10">
    <w:name w:val="footnote reference"/>
    <w:basedOn w:val="8"/>
    <w:semiHidden/>
    <w:qFormat/>
    <w:uiPriority w:val="0"/>
    <w:rPr>
      <w:vertAlign w:val="superscript"/>
    </w:rPr>
  </w:style>
  <w:style w:type="character" w:customStyle="1" w:styleId="11">
    <w:name w:val="批注框文本 Char"/>
    <w:basedOn w:val="8"/>
    <w:link w:val="2"/>
    <w:semiHidden/>
    <w:qFormat/>
    <w:uiPriority w:val="99"/>
    <w:rPr>
      <w:kern w:val="2"/>
      <w:sz w:val="18"/>
      <w:szCs w:val="18"/>
    </w:rPr>
  </w:style>
  <w:style w:type="character" w:customStyle="1" w:styleId="12">
    <w:name w:val="页脚 Char"/>
    <w:basedOn w:val="8"/>
    <w:link w:val="3"/>
    <w:qFormat/>
    <w:uiPriority w:val="99"/>
    <w:rPr>
      <w:sz w:val="18"/>
      <w:szCs w:val="18"/>
    </w:rPr>
  </w:style>
  <w:style w:type="character" w:customStyle="1" w:styleId="13">
    <w:name w:val="页眉 Char"/>
    <w:basedOn w:val="8"/>
    <w:link w:val="4"/>
    <w:semiHidden/>
    <w:qFormat/>
    <w:uiPriority w:val="99"/>
    <w:rPr>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15</Pages>
  <Words>8035</Words>
  <Characters>8329</Characters>
  <Lines>8</Lines>
  <Paragraphs>18</Paragraphs>
  <TotalTime>0</TotalTime>
  <ScaleCrop>false</ScaleCrop>
  <LinksUpToDate>false</LinksUpToDate>
  <CharactersWithSpaces>8391</CharactersWithSpaces>
  <Application>WPS Office_12.1.0.15712_F1E327BC-269C-435d-A152-05C5408002CA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2021-09-08T08:42:00Z</dcterms:created>
  <dc:creator>贾文胜</dc:creator>
  <cp:lastModifiedBy>WPS_1697073815</cp:lastModifiedBy>
  <cp:lastPrinted>2019-02-19T03:09:00Z</cp:lastPrinted>
  <dcterms:modified xsi:type="dcterms:W3CDTF">2023-11-08T04:08:36Z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D804572CC6EC440BA8E7F3EA23ACEB51</vt:lpwstr>
  </property>
</Properties>
</file>