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保定市满城区文物管理所</w:t>
      </w:r>
    </w:p>
    <w:p>
      <w:pPr>
        <w:jc w:val="center"/>
        <w:rPr>
          <w:rFonts w:ascii="宋体" w:hAnsi="宋体"/>
          <w:b/>
          <w:sz w:val="44"/>
          <w:szCs w:val="44"/>
        </w:rPr>
      </w:pPr>
      <w:r>
        <w:rPr>
          <w:rFonts w:hint="eastAsia" w:ascii="宋体" w:hAnsi="宋体"/>
          <w:b/>
          <w:sz w:val="44"/>
          <w:szCs w:val="44"/>
        </w:rPr>
        <w:t>2020年部门预算信息公开</w:t>
      </w:r>
    </w:p>
    <w:p>
      <w:pPr>
        <w:spacing w:line="520" w:lineRule="exact"/>
        <w:ind w:firstLine="640" w:firstLineChars="200"/>
        <w:jc w:val="left"/>
        <w:rPr>
          <w:rFonts w:ascii="仿宋_GB2312" w:hAnsi="仿宋" w:eastAsia="仿宋_GB2312" w:cs="仿宋_GB2312"/>
          <w:sz w:val="32"/>
          <w:szCs w:val="32"/>
        </w:rPr>
      </w:pPr>
    </w:p>
    <w:p>
      <w:pPr>
        <w:spacing w:line="520" w:lineRule="exact"/>
        <w:ind w:firstLine="640" w:firstLineChars="200"/>
        <w:jc w:val="left"/>
        <w:rPr>
          <w:rFonts w:ascii="宋体" w:hAnsi="宋体" w:cs="仿宋_GB2312"/>
          <w:sz w:val="32"/>
          <w:szCs w:val="32"/>
        </w:rPr>
      </w:pPr>
      <w:r>
        <w:rPr>
          <w:rFonts w:hint="eastAsia" w:ascii="宋体" w:hAnsi="宋体" w:cs="仿宋_GB2312"/>
          <w:sz w:val="32"/>
          <w:szCs w:val="32"/>
        </w:rPr>
        <w:t>按照《中华人民共和国预算法》、</w:t>
      </w:r>
      <w:r>
        <w:rPr>
          <w:rFonts w:hint="eastAsia" w:ascii="宋体" w:hAnsi="宋体"/>
          <w:sz w:val="32"/>
          <w:szCs w:val="32"/>
        </w:rPr>
        <w:t>《地方预决算公开操作规程》和《河北省省级预算公开办法》</w:t>
      </w:r>
      <w:r>
        <w:rPr>
          <w:rFonts w:hint="eastAsia" w:ascii="宋体" w:hAnsi="宋体" w:cs="仿宋_GB2312"/>
          <w:sz w:val="32"/>
          <w:szCs w:val="32"/>
        </w:rPr>
        <w:t>规定，现将保定市满城区文物管理所2020年部门预算公开如下：</w:t>
      </w:r>
    </w:p>
    <w:p>
      <w:pPr>
        <w:rPr>
          <w:rFonts w:ascii="宋体" w:hAnsi="宋体"/>
          <w:b/>
          <w:sz w:val="32"/>
          <w:szCs w:val="32"/>
        </w:rPr>
      </w:pPr>
    </w:p>
    <w:p>
      <w:pPr>
        <w:jc w:val="center"/>
        <w:rPr>
          <w:rFonts w:ascii="宋体" w:hAnsi="宋体"/>
          <w:b/>
          <w:sz w:val="32"/>
          <w:szCs w:val="32"/>
        </w:rPr>
      </w:pPr>
      <w:r>
        <w:rPr>
          <w:rFonts w:hint="eastAsia" w:ascii="宋体" w:hAnsi="宋体"/>
          <w:b/>
          <w:sz w:val="32"/>
          <w:szCs w:val="32"/>
        </w:rPr>
        <w:t>第一部分:部门职责及机构设置</w:t>
      </w:r>
    </w:p>
    <w:p>
      <w:pPr>
        <w:ind w:firstLine="640" w:firstLineChars="200"/>
        <w:rPr>
          <w:rFonts w:ascii="宋体" w:hAnsi="宋体"/>
          <w:sz w:val="32"/>
          <w:szCs w:val="32"/>
        </w:rPr>
      </w:pPr>
    </w:p>
    <w:p>
      <w:pPr>
        <w:ind w:firstLine="643" w:firstLineChars="200"/>
        <w:rPr>
          <w:rFonts w:ascii="宋体" w:hAnsi="宋体"/>
          <w:b/>
          <w:sz w:val="32"/>
          <w:szCs w:val="32"/>
        </w:rPr>
      </w:pPr>
      <w:r>
        <w:rPr>
          <w:rFonts w:hint="eastAsia" w:ascii="宋体" w:hAnsi="宋体"/>
          <w:b/>
          <w:sz w:val="32"/>
          <w:szCs w:val="32"/>
        </w:rPr>
        <w:t>一、部门职责</w:t>
      </w:r>
    </w:p>
    <w:p>
      <w:pPr>
        <w:widowControl/>
        <w:spacing w:line="540" w:lineRule="exact"/>
        <w:ind w:firstLine="640" w:firstLineChars="200"/>
        <w:rPr>
          <w:rFonts w:ascii="宋体" w:hAnsi="宋体" w:cs="宋体"/>
          <w:kern w:val="0"/>
          <w:sz w:val="24"/>
          <w:szCs w:val="24"/>
        </w:rPr>
      </w:pPr>
      <w:r>
        <w:rPr>
          <w:rFonts w:hint="eastAsia" w:ascii="宋体" w:hAnsi="宋体" w:cs="宋体"/>
          <w:kern w:val="0"/>
          <w:sz w:val="32"/>
          <w:szCs w:val="32"/>
        </w:rPr>
        <w:t>保定市满城区文物管理所由事业编制组成。</w:t>
      </w:r>
      <w:r>
        <w:rPr>
          <w:rFonts w:hint="eastAsia" w:ascii="宋体" w:hAnsi="宋体"/>
          <w:sz w:val="32"/>
          <w:szCs w:val="32"/>
        </w:rPr>
        <w:t>根据《保定市满城区文物管理所职能配置、内设机构和人员编制方案》</w:t>
      </w:r>
      <w:r>
        <w:rPr>
          <w:rFonts w:hint="eastAsia" w:ascii="宋体" w:hAnsi="宋体" w:cs="宋体"/>
          <w:kern w:val="0"/>
          <w:sz w:val="32"/>
          <w:szCs w:val="32"/>
        </w:rPr>
        <w:t>的通知要求，满城区文物管理所主要职责是：</w:t>
      </w:r>
    </w:p>
    <w:p>
      <w:pPr>
        <w:spacing w:line="480" w:lineRule="exact"/>
        <w:ind w:firstLine="560"/>
        <w:rPr>
          <w:rFonts w:ascii="宋体" w:hAnsi="宋体"/>
          <w:sz w:val="32"/>
          <w:szCs w:val="32"/>
        </w:rPr>
      </w:pPr>
      <w:r>
        <w:rPr>
          <w:rFonts w:hint="eastAsia" w:ascii="方正仿宋_GBK" w:eastAsia="方正仿宋_GBK"/>
          <w:sz w:val="32"/>
          <w:szCs w:val="32"/>
        </w:rPr>
        <w:t>负责全区行政区域内的文物业务工作；负责对全区范围内各级文物保护单位保护、管理工作；负责对地上、地下文物以及古建筑、古刻、古代艺术品的收集、修复、鉴定、保护、管理工作；负责并指导在基本建设中地下文物勘探；负责文物市场执法，宣传贯彻《中华人民共和国文物保护法》以及有关的法律、法规；负责全区文物的安全保卫工作。</w:t>
      </w:r>
    </w:p>
    <w:p>
      <w:pPr>
        <w:widowControl/>
        <w:spacing w:line="540" w:lineRule="exact"/>
        <w:ind w:firstLine="480" w:firstLineChars="200"/>
        <w:rPr>
          <w:rFonts w:ascii="宋体" w:hAnsi="宋体" w:cs="宋体"/>
          <w:kern w:val="0"/>
          <w:sz w:val="24"/>
          <w:szCs w:val="24"/>
        </w:rPr>
      </w:pPr>
    </w:p>
    <w:p>
      <w:pPr>
        <w:spacing w:line="620" w:lineRule="exact"/>
        <w:ind w:firstLine="643" w:firstLineChars="200"/>
        <w:rPr>
          <w:rFonts w:ascii="宋体" w:hAnsi="宋体"/>
          <w:b/>
          <w:bCs/>
          <w:sz w:val="32"/>
          <w:szCs w:val="32"/>
        </w:rPr>
      </w:pPr>
      <w:r>
        <w:rPr>
          <w:rFonts w:hint="eastAsia" w:ascii="宋体" w:hAnsi="宋体"/>
          <w:b/>
          <w:bCs/>
          <w:sz w:val="32"/>
          <w:szCs w:val="32"/>
        </w:rPr>
        <w:t>二、机构设置</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6"/>
        <w:gridCol w:w="2127"/>
        <w:gridCol w:w="1984"/>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2376" w:type="dxa"/>
            <w:noWrap w:val="0"/>
            <w:vAlign w:val="top"/>
          </w:tcPr>
          <w:p>
            <w:pPr>
              <w:jc w:val="center"/>
              <w:rPr>
                <w:rFonts w:ascii="宋体" w:hAnsi="宋体"/>
                <w:sz w:val="24"/>
                <w:szCs w:val="24"/>
              </w:rPr>
            </w:pPr>
            <w:r>
              <w:rPr>
                <w:rFonts w:hint="eastAsia" w:ascii="宋体" w:hAnsi="宋体"/>
                <w:sz w:val="24"/>
                <w:szCs w:val="24"/>
              </w:rPr>
              <w:t>单位名称</w:t>
            </w:r>
          </w:p>
        </w:tc>
        <w:tc>
          <w:tcPr>
            <w:tcW w:w="2127" w:type="dxa"/>
            <w:noWrap w:val="0"/>
            <w:vAlign w:val="top"/>
          </w:tcPr>
          <w:p>
            <w:pPr>
              <w:jc w:val="center"/>
              <w:rPr>
                <w:rFonts w:ascii="宋体" w:hAnsi="宋体"/>
                <w:sz w:val="24"/>
                <w:szCs w:val="24"/>
              </w:rPr>
            </w:pPr>
            <w:r>
              <w:rPr>
                <w:rFonts w:hint="eastAsia" w:ascii="宋体" w:hAnsi="宋体"/>
                <w:sz w:val="24"/>
                <w:szCs w:val="24"/>
              </w:rPr>
              <w:t>单位性质</w:t>
            </w:r>
          </w:p>
        </w:tc>
        <w:tc>
          <w:tcPr>
            <w:tcW w:w="1984" w:type="dxa"/>
            <w:noWrap w:val="0"/>
            <w:vAlign w:val="top"/>
          </w:tcPr>
          <w:p>
            <w:pPr>
              <w:jc w:val="center"/>
              <w:rPr>
                <w:rFonts w:ascii="宋体" w:hAnsi="宋体"/>
                <w:sz w:val="24"/>
                <w:szCs w:val="24"/>
              </w:rPr>
            </w:pPr>
            <w:r>
              <w:rPr>
                <w:rFonts w:hint="eastAsia" w:ascii="宋体" w:hAnsi="宋体"/>
                <w:sz w:val="24"/>
                <w:szCs w:val="24"/>
              </w:rPr>
              <w:t>单位规格</w:t>
            </w:r>
          </w:p>
        </w:tc>
        <w:tc>
          <w:tcPr>
            <w:tcW w:w="3119" w:type="dxa"/>
            <w:noWrap w:val="0"/>
            <w:vAlign w:val="top"/>
          </w:tcPr>
          <w:p>
            <w:pPr>
              <w:jc w:val="center"/>
              <w:rPr>
                <w:rFonts w:ascii="宋体" w:hAnsi="宋体"/>
                <w:sz w:val="24"/>
                <w:szCs w:val="24"/>
              </w:rPr>
            </w:pPr>
            <w:r>
              <w:rPr>
                <w:rFonts w:hint="eastAsia" w:ascii="宋体" w:hAnsi="宋体"/>
                <w:sz w:val="24"/>
                <w:szCs w:val="24"/>
              </w:rPr>
              <w:t>经费保障形式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376" w:type="dxa"/>
            <w:noWrap w:val="0"/>
            <w:vAlign w:val="top"/>
          </w:tcPr>
          <w:p>
            <w:pPr>
              <w:ind w:firstLine="360" w:firstLineChars="150"/>
              <w:jc w:val="center"/>
              <w:rPr>
                <w:rFonts w:ascii="宋体" w:hAnsi="宋体"/>
                <w:sz w:val="24"/>
                <w:szCs w:val="24"/>
              </w:rPr>
            </w:pPr>
            <w:r>
              <w:rPr>
                <w:rFonts w:hint="eastAsia" w:ascii="宋体" w:hAnsi="宋体"/>
                <w:sz w:val="24"/>
                <w:szCs w:val="24"/>
              </w:rPr>
              <w:t>中共保定市</w:t>
            </w:r>
          </w:p>
          <w:p>
            <w:pPr>
              <w:jc w:val="center"/>
              <w:rPr>
                <w:rFonts w:ascii="宋体" w:hAnsi="宋体"/>
                <w:sz w:val="24"/>
                <w:szCs w:val="24"/>
              </w:rPr>
            </w:pPr>
            <w:r>
              <w:rPr>
                <w:rFonts w:hint="eastAsia" w:ascii="宋体" w:hAnsi="宋体"/>
                <w:sz w:val="24"/>
                <w:szCs w:val="24"/>
              </w:rPr>
              <w:t>满城区文物管理所</w:t>
            </w:r>
          </w:p>
        </w:tc>
        <w:tc>
          <w:tcPr>
            <w:tcW w:w="2127" w:type="dxa"/>
            <w:noWrap w:val="0"/>
            <w:vAlign w:val="top"/>
          </w:tcPr>
          <w:p>
            <w:pPr>
              <w:jc w:val="center"/>
              <w:rPr>
                <w:rFonts w:ascii="宋体" w:hAnsi="宋体"/>
                <w:sz w:val="24"/>
                <w:szCs w:val="24"/>
              </w:rPr>
            </w:pPr>
            <w:r>
              <w:rPr>
                <w:rFonts w:hint="eastAsia" w:ascii="宋体" w:hAnsi="宋体"/>
                <w:sz w:val="24"/>
                <w:szCs w:val="24"/>
              </w:rPr>
              <w:t>事业</w:t>
            </w:r>
          </w:p>
        </w:tc>
        <w:tc>
          <w:tcPr>
            <w:tcW w:w="1984" w:type="dxa"/>
            <w:noWrap w:val="0"/>
            <w:vAlign w:val="top"/>
          </w:tcPr>
          <w:p>
            <w:pPr>
              <w:jc w:val="center"/>
              <w:rPr>
                <w:rFonts w:ascii="宋体" w:hAnsi="宋体"/>
                <w:sz w:val="24"/>
                <w:szCs w:val="24"/>
              </w:rPr>
            </w:pPr>
            <w:r>
              <w:rPr>
                <w:rFonts w:hint="eastAsia" w:ascii="宋体" w:hAnsi="宋体"/>
                <w:sz w:val="24"/>
                <w:szCs w:val="24"/>
              </w:rPr>
              <w:t>股级</w:t>
            </w:r>
          </w:p>
        </w:tc>
        <w:tc>
          <w:tcPr>
            <w:tcW w:w="3119" w:type="dxa"/>
            <w:noWrap w:val="0"/>
            <w:vAlign w:val="top"/>
          </w:tcPr>
          <w:p>
            <w:pPr>
              <w:jc w:val="center"/>
              <w:rPr>
                <w:rFonts w:ascii="宋体" w:hAnsi="宋体"/>
                <w:sz w:val="24"/>
                <w:szCs w:val="24"/>
              </w:rPr>
            </w:pPr>
            <w:r>
              <w:rPr>
                <w:rFonts w:hint="eastAsia" w:ascii="宋体" w:hAnsi="宋体"/>
                <w:sz w:val="24"/>
                <w:szCs w:val="24"/>
              </w:rPr>
              <w:t>财政性资金基本保证</w:t>
            </w:r>
          </w:p>
        </w:tc>
      </w:tr>
    </w:tbl>
    <w:p>
      <w:pPr>
        <w:jc w:val="center"/>
        <w:rPr>
          <w:rFonts w:ascii="宋体" w:hAnsi="宋体"/>
          <w:b/>
          <w:sz w:val="32"/>
          <w:szCs w:val="32"/>
        </w:rPr>
      </w:pPr>
    </w:p>
    <w:p>
      <w:pPr>
        <w:ind w:firstLine="643" w:firstLineChars="200"/>
        <w:jc w:val="center"/>
        <w:rPr>
          <w:rFonts w:ascii="宋体" w:hAnsi="宋体"/>
          <w:b/>
          <w:sz w:val="32"/>
          <w:szCs w:val="32"/>
        </w:rPr>
      </w:pPr>
      <w:r>
        <w:rPr>
          <w:rFonts w:hint="eastAsia" w:ascii="宋体" w:hAnsi="宋体"/>
          <w:b/>
          <w:sz w:val="32"/>
          <w:szCs w:val="32"/>
        </w:rPr>
        <w:t>第二部分：部门预算安排的总体情况</w:t>
      </w:r>
    </w:p>
    <w:p>
      <w:pPr>
        <w:ind w:firstLine="800" w:firstLineChars="250"/>
        <w:rPr>
          <w:rFonts w:ascii="宋体" w:hAnsi="宋体"/>
          <w:sz w:val="32"/>
          <w:szCs w:val="32"/>
        </w:rPr>
      </w:pPr>
    </w:p>
    <w:p>
      <w:pPr>
        <w:ind w:firstLine="630" w:firstLineChars="196"/>
        <w:rPr>
          <w:rFonts w:ascii="宋体" w:hAnsi="宋体"/>
          <w:b/>
          <w:sz w:val="32"/>
          <w:szCs w:val="32"/>
        </w:rPr>
      </w:pPr>
      <w:r>
        <w:rPr>
          <w:rFonts w:hint="eastAsia" w:ascii="宋体" w:hAnsi="宋体"/>
          <w:b/>
          <w:sz w:val="32"/>
          <w:szCs w:val="32"/>
        </w:rPr>
        <w:t>一、收入说明</w:t>
      </w:r>
    </w:p>
    <w:p>
      <w:pPr>
        <w:ind w:firstLine="630" w:firstLineChars="196"/>
        <w:rPr>
          <w:rFonts w:ascii="宋体" w:hAnsi="宋体"/>
          <w:b/>
          <w:sz w:val="32"/>
          <w:szCs w:val="32"/>
        </w:rPr>
      </w:pPr>
    </w:p>
    <w:p>
      <w:pPr>
        <w:ind w:firstLine="640" w:firstLineChars="200"/>
        <w:rPr>
          <w:rFonts w:ascii="宋体" w:hAnsi="宋体"/>
          <w:sz w:val="32"/>
          <w:szCs w:val="32"/>
        </w:rPr>
      </w:pPr>
      <w:r>
        <w:rPr>
          <w:rFonts w:hint="eastAsia" w:ascii="宋体" w:hAnsi="宋体"/>
          <w:sz w:val="32"/>
          <w:szCs w:val="32"/>
        </w:rPr>
        <w:t>2020年文物管理所及所属事业单位年初部门收入预算总额为21.2万元。其中：一般公共预算收入21.2万元。</w:t>
      </w:r>
    </w:p>
    <w:p>
      <w:pPr>
        <w:ind w:firstLine="640" w:firstLineChars="200"/>
        <w:rPr>
          <w:rFonts w:ascii="宋体" w:hAnsi="宋体"/>
          <w:sz w:val="32"/>
          <w:szCs w:val="32"/>
        </w:rPr>
      </w:pPr>
    </w:p>
    <w:p>
      <w:pPr>
        <w:ind w:firstLine="643" w:firstLineChars="200"/>
        <w:rPr>
          <w:rFonts w:ascii="宋体" w:hAnsi="宋体"/>
          <w:b/>
          <w:sz w:val="32"/>
          <w:szCs w:val="32"/>
        </w:rPr>
      </w:pPr>
      <w:r>
        <w:rPr>
          <w:rFonts w:hint="eastAsia" w:ascii="宋体" w:hAnsi="宋体"/>
          <w:b/>
          <w:sz w:val="32"/>
          <w:szCs w:val="32"/>
        </w:rPr>
        <w:t>二、支出说明</w:t>
      </w:r>
    </w:p>
    <w:p>
      <w:pPr>
        <w:ind w:firstLine="643" w:firstLineChars="200"/>
        <w:rPr>
          <w:rFonts w:ascii="宋体" w:hAnsi="宋体"/>
          <w:b/>
          <w:sz w:val="32"/>
          <w:szCs w:val="32"/>
        </w:rPr>
      </w:pPr>
    </w:p>
    <w:p>
      <w:pPr>
        <w:ind w:firstLine="640" w:firstLineChars="200"/>
        <w:rPr>
          <w:rFonts w:ascii="宋体" w:hAnsi="宋体"/>
          <w:sz w:val="32"/>
          <w:szCs w:val="32"/>
        </w:rPr>
      </w:pPr>
      <w:r>
        <w:rPr>
          <w:rFonts w:hint="eastAsia" w:ascii="宋体" w:hAnsi="宋体"/>
          <w:sz w:val="32"/>
          <w:szCs w:val="32"/>
        </w:rPr>
        <w:t>2020年部门支出安排预算总额：21.2万元</w:t>
      </w:r>
    </w:p>
    <w:p>
      <w:pPr>
        <w:ind w:firstLine="640" w:firstLineChars="200"/>
        <w:rPr>
          <w:rFonts w:ascii="宋体" w:hAnsi="宋体"/>
          <w:sz w:val="32"/>
          <w:szCs w:val="32"/>
        </w:rPr>
      </w:pPr>
      <w:r>
        <w:rPr>
          <w:rFonts w:hint="eastAsia" w:ascii="宋体" w:hAnsi="宋体"/>
          <w:sz w:val="32"/>
          <w:szCs w:val="32"/>
        </w:rPr>
        <w:t xml:space="preserve">    基本支出21.2万元</w:t>
      </w:r>
    </w:p>
    <w:p>
      <w:pPr>
        <w:ind w:firstLine="640" w:firstLineChars="200"/>
        <w:rPr>
          <w:rFonts w:ascii="宋体" w:hAnsi="宋体"/>
          <w:sz w:val="32"/>
          <w:szCs w:val="32"/>
        </w:rPr>
      </w:pPr>
      <w:r>
        <w:rPr>
          <w:rFonts w:hint="eastAsia" w:ascii="宋体" w:hAnsi="宋体"/>
          <w:sz w:val="32"/>
          <w:szCs w:val="32"/>
        </w:rPr>
        <w:t xml:space="preserve">    其中： 人员经费20.96万元</w:t>
      </w:r>
    </w:p>
    <w:p>
      <w:pPr>
        <w:ind w:firstLine="640" w:firstLineChars="200"/>
        <w:rPr>
          <w:rFonts w:ascii="宋体" w:hAnsi="宋体"/>
          <w:sz w:val="32"/>
          <w:szCs w:val="32"/>
        </w:rPr>
      </w:pPr>
      <w:r>
        <w:rPr>
          <w:rFonts w:hint="eastAsia" w:ascii="宋体" w:hAnsi="宋体"/>
          <w:sz w:val="32"/>
          <w:szCs w:val="32"/>
        </w:rPr>
        <w:t xml:space="preserve">           日常公用经费 0.24万元</w:t>
      </w:r>
    </w:p>
    <w:p>
      <w:pPr>
        <w:ind w:firstLine="630" w:firstLineChars="196"/>
        <w:rPr>
          <w:rFonts w:ascii="宋体" w:hAnsi="宋体"/>
          <w:b/>
          <w:sz w:val="32"/>
          <w:szCs w:val="32"/>
        </w:rPr>
      </w:pPr>
      <w:r>
        <w:rPr>
          <w:rFonts w:hint="eastAsia" w:ascii="宋体" w:hAnsi="宋体"/>
          <w:b/>
          <w:sz w:val="32"/>
          <w:szCs w:val="32"/>
        </w:rPr>
        <w:t>三、比上年增减情况</w:t>
      </w:r>
    </w:p>
    <w:p>
      <w:pPr>
        <w:ind w:firstLine="800" w:firstLineChars="250"/>
        <w:rPr>
          <w:rFonts w:ascii="宋体" w:hAnsi="宋体"/>
          <w:sz w:val="32"/>
          <w:szCs w:val="32"/>
        </w:rPr>
      </w:pPr>
    </w:p>
    <w:p>
      <w:pPr>
        <w:ind w:firstLine="640" w:firstLineChars="200"/>
        <w:rPr>
          <w:rFonts w:ascii="宋体" w:hAnsi="宋体"/>
          <w:sz w:val="32"/>
          <w:szCs w:val="32"/>
        </w:rPr>
      </w:pPr>
      <w:r>
        <w:rPr>
          <w:rFonts w:hint="eastAsia" w:ascii="宋体" w:hAnsi="宋体" w:cs="宋体"/>
          <w:kern w:val="0"/>
          <w:sz w:val="32"/>
          <w:szCs w:val="32"/>
        </w:rPr>
        <w:t>2020年文物管理所基本支出21.2万元，与2019年预算比减少11.2万元,主要原因</w:t>
      </w:r>
      <w:r>
        <w:rPr>
          <w:rFonts w:hint="eastAsia" w:ascii="宋体" w:hAnsi="宋体"/>
          <w:sz w:val="32"/>
          <w:szCs w:val="32"/>
        </w:rPr>
        <w:t>为2019年3月有退休人员。</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2020年我所的各项支出以将全面贯彻党和国家的有关政策、认真遵守财经纪律为准则，严格按预算规定的标准、用途执行，做到经费按进度，专款要专用，力争全面提高文物管理所资金的使用效率。</w:t>
      </w:r>
    </w:p>
    <w:p>
      <w:pPr>
        <w:spacing w:line="500" w:lineRule="exact"/>
        <w:ind w:firstLine="630" w:firstLineChars="196"/>
        <w:jc w:val="left"/>
        <w:outlineLvl w:val="0"/>
        <w:rPr>
          <w:rFonts w:ascii="宋体" w:hAnsi="宋体"/>
          <w:b/>
          <w:sz w:val="32"/>
          <w:szCs w:val="32"/>
        </w:rPr>
      </w:pPr>
    </w:p>
    <w:p>
      <w:pPr>
        <w:ind w:firstLine="643" w:firstLineChars="200"/>
        <w:jc w:val="center"/>
        <w:rPr>
          <w:rFonts w:ascii="宋体" w:hAnsi="宋体"/>
          <w:b/>
          <w:sz w:val="32"/>
          <w:szCs w:val="32"/>
        </w:rPr>
      </w:pPr>
      <w:r>
        <w:rPr>
          <w:rFonts w:hint="eastAsia" w:ascii="宋体" w:hAnsi="宋体"/>
          <w:b/>
          <w:sz w:val="32"/>
          <w:szCs w:val="32"/>
        </w:rPr>
        <w:t>第三部分：机关运行经费安排情况</w:t>
      </w:r>
    </w:p>
    <w:p>
      <w:pPr>
        <w:ind w:firstLine="643" w:firstLineChars="200"/>
        <w:jc w:val="center"/>
        <w:rPr>
          <w:rFonts w:ascii="宋体" w:hAnsi="宋体"/>
          <w:b/>
          <w:sz w:val="32"/>
          <w:szCs w:val="32"/>
        </w:rPr>
      </w:pP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2020年行政运行经费安排0.24万元，其中办公费0.06万元，商品支出费0.18万元。</w:t>
      </w:r>
    </w:p>
    <w:p>
      <w:pPr>
        <w:widowControl/>
        <w:spacing w:before="100" w:beforeAutospacing="1" w:after="100" w:afterAutospacing="1" w:line="420" w:lineRule="atLeast"/>
        <w:ind w:firstLine="630" w:firstLineChars="196"/>
        <w:jc w:val="center"/>
        <w:rPr>
          <w:rFonts w:ascii="宋体" w:hAnsi="宋体" w:cs="宋体"/>
          <w:color w:val="000000"/>
          <w:kern w:val="0"/>
          <w:sz w:val="24"/>
          <w:szCs w:val="24"/>
        </w:rPr>
      </w:pPr>
      <w:r>
        <w:rPr>
          <w:rFonts w:hint="eastAsia" w:ascii="宋体" w:hAnsi="宋体" w:cs="宋体"/>
          <w:b/>
          <w:bCs/>
          <w:color w:val="000000"/>
          <w:kern w:val="0"/>
          <w:sz w:val="32"/>
          <w:szCs w:val="32"/>
        </w:rPr>
        <w:t>第四部分：财政拨款“三公”经费预算情况</w:t>
      </w:r>
    </w:p>
    <w:tbl>
      <w:tblPr>
        <w:tblStyle w:val="5"/>
        <w:tblW w:w="0" w:type="auto"/>
        <w:tblInd w:w="534" w:type="dxa"/>
        <w:tblLayout w:type="fixed"/>
        <w:tblCellMar>
          <w:top w:w="0" w:type="dxa"/>
          <w:left w:w="108" w:type="dxa"/>
          <w:bottom w:w="0" w:type="dxa"/>
          <w:right w:w="108" w:type="dxa"/>
        </w:tblCellMar>
      </w:tblPr>
      <w:tblGrid>
        <w:gridCol w:w="2268"/>
        <w:gridCol w:w="911"/>
        <w:gridCol w:w="931"/>
        <w:gridCol w:w="646"/>
        <w:gridCol w:w="672"/>
        <w:gridCol w:w="383"/>
        <w:gridCol w:w="1418"/>
        <w:gridCol w:w="1134"/>
        <w:gridCol w:w="567"/>
      </w:tblGrid>
      <w:tr>
        <w:tblPrEx>
          <w:tblCellMar>
            <w:top w:w="0" w:type="dxa"/>
            <w:left w:w="108" w:type="dxa"/>
            <w:bottom w:w="0" w:type="dxa"/>
            <w:right w:w="108" w:type="dxa"/>
          </w:tblCellMar>
        </w:tblPrEx>
        <w:trPr>
          <w:gridAfter w:val="1"/>
          <w:wAfter w:w="567" w:type="dxa"/>
          <w:trHeight w:val="405" w:hRule="atLeast"/>
        </w:trPr>
        <w:tc>
          <w:tcPr>
            <w:tcW w:w="8363" w:type="dxa"/>
            <w:gridSpan w:val="8"/>
            <w:noWrap w:val="0"/>
            <w:vAlign w:val="center"/>
          </w:tcPr>
          <w:p>
            <w:pPr>
              <w:widowControl/>
              <w:spacing w:before="100" w:beforeAutospacing="1" w:after="100" w:afterAutospacing="1"/>
              <w:ind w:firstLine="160" w:firstLineChars="50"/>
              <w:rPr>
                <w:rFonts w:ascii="宋体" w:hAnsi="宋体" w:cs="宋体"/>
                <w:color w:val="000000"/>
                <w:kern w:val="0"/>
                <w:sz w:val="24"/>
                <w:szCs w:val="24"/>
              </w:rPr>
            </w:pPr>
            <w:r>
              <w:rPr>
                <w:rFonts w:hint="eastAsia" w:ascii="宋体" w:hAnsi="宋体"/>
                <w:sz w:val="32"/>
                <w:szCs w:val="32"/>
              </w:rPr>
              <w:t>我单位财政拨款无“三公”经费</w:t>
            </w:r>
          </w:p>
        </w:tc>
      </w:tr>
      <w:tr>
        <w:tblPrEx>
          <w:tblCellMar>
            <w:top w:w="0" w:type="dxa"/>
            <w:left w:w="108" w:type="dxa"/>
            <w:bottom w:w="0" w:type="dxa"/>
            <w:right w:w="108" w:type="dxa"/>
          </w:tblCellMar>
        </w:tblPrEx>
        <w:trPr>
          <w:gridAfter w:val="1"/>
          <w:wAfter w:w="567" w:type="dxa"/>
          <w:trHeight w:val="285" w:hRule="atLeast"/>
        </w:trPr>
        <w:tc>
          <w:tcPr>
            <w:tcW w:w="2268" w:type="dxa"/>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911" w:type="dxa"/>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77" w:type="dxa"/>
            <w:gridSpan w:val="2"/>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72" w:type="dxa"/>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935" w:type="dxa"/>
            <w:gridSpan w:val="3"/>
            <w:noWrap w:val="0"/>
            <w:vAlign w:val="center"/>
          </w:tcPr>
          <w:p>
            <w:pPr>
              <w:widowControl/>
              <w:spacing w:before="100" w:beforeAutospacing="1" w:after="100" w:afterAutospacing="1"/>
              <w:jc w:val="right"/>
              <w:rPr>
                <w:rFonts w:ascii="宋体" w:hAnsi="宋体" w:cs="宋体"/>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688" w:hRule="atLeast"/>
        </w:trPr>
        <w:tc>
          <w:tcPr>
            <w:tcW w:w="2268"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项目名称</w:t>
            </w:r>
          </w:p>
        </w:tc>
        <w:tc>
          <w:tcPr>
            <w:tcW w:w="1842" w:type="dxa"/>
            <w:gridSpan w:val="2"/>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2019年度预算</w:t>
            </w:r>
          </w:p>
        </w:tc>
        <w:tc>
          <w:tcPr>
            <w:tcW w:w="1701" w:type="dxa"/>
            <w:gridSpan w:val="3"/>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2020年度预算</w:t>
            </w:r>
          </w:p>
        </w:tc>
        <w:tc>
          <w:tcPr>
            <w:tcW w:w="1418" w:type="dxa"/>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增减金额</w:t>
            </w:r>
          </w:p>
        </w:tc>
        <w:tc>
          <w:tcPr>
            <w:tcW w:w="1701" w:type="dxa"/>
            <w:gridSpan w:val="2"/>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变化原因</w:t>
            </w:r>
          </w:p>
        </w:tc>
      </w:tr>
      <w:tr>
        <w:tblPrEx>
          <w:tblCellMar>
            <w:top w:w="0" w:type="dxa"/>
            <w:left w:w="108" w:type="dxa"/>
            <w:bottom w:w="0" w:type="dxa"/>
            <w:right w:w="108" w:type="dxa"/>
          </w:tblCellMar>
        </w:tblPrEx>
        <w:trPr>
          <w:trHeight w:val="398" w:hRule="atLeast"/>
        </w:trPr>
        <w:tc>
          <w:tcPr>
            <w:tcW w:w="2268"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lang w:eastAsia="zh-CN"/>
              </w:rPr>
              <w:t>因</w:t>
            </w:r>
            <w:bookmarkStart w:id="1" w:name="_GoBack"/>
            <w:bookmarkEnd w:id="1"/>
            <w:r>
              <w:rPr>
                <w:rFonts w:hint="eastAsia" w:ascii="宋体" w:hAnsi="宋体" w:cs="宋体"/>
                <w:color w:val="000000"/>
                <w:kern w:val="0"/>
                <w:sz w:val="24"/>
                <w:szCs w:val="24"/>
              </w:rPr>
              <w:t>公出国经费</w:t>
            </w:r>
          </w:p>
        </w:tc>
        <w:tc>
          <w:tcPr>
            <w:tcW w:w="1842"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3"/>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418"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2"/>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trHeight w:val="292" w:hRule="atLeast"/>
        </w:trPr>
        <w:tc>
          <w:tcPr>
            <w:tcW w:w="2268"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公务用车购置经费</w:t>
            </w:r>
          </w:p>
        </w:tc>
        <w:tc>
          <w:tcPr>
            <w:tcW w:w="1842"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3"/>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418"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2"/>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trHeight w:val="382" w:hRule="atLeast"/>
        </w:trPr>
        <w:tc>
          <w:tcPr>
            <w:tcW w:w="2268"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公务用车运行经费</w:t>
            </w:r>
          </w:p>
        </w:tc>
        <w:tc>
          <w:tcPr>
            <w:tcW w:w="1842"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3"/>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418"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2"/>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trHeight w:val="259" w:hRule="atLeast"/>
        </w:trPr>
        <w:tc>
          <w:tcPr>
            <w:tcW w:w="2268"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公务接待费支出</w:t>
            </w:r>
          </w:p>
        </w:tc>
        <w:tc>
          <w:tcPr>
            <w:tcW w:w="1842"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3"/>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418"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2"/>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trHeight w:val="364" w:hRule="atLeast"/>
        </w:trPr>
        <w:tc>
          <w:tcPr>
            <w:tcW w:w="2268"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1842"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3"/>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418"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701" w:type="dxa"/>
            <w:gridSpan w:val="2"/>
            <w:tcBorders>
              <w:top w:val="nil"/>
              <w:left w:val="nil"/>
              <w:bottom w:val="single" w:color="auto" w:sz="4" w:space="0"/>
              <w:right w:val="single" w:color="auto" w:sz="4" w:space="0"/>
            </w:tcBorders>
            <w:noWrap w:val="0"/>
            <w:vAlign w:val="center"/>
          </w:tcPr>
          <w:p>
            <w:pPr>
              <w:pStyle w:val="4"/>
              <w:rPr>
                <w:rFonts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无增减变化</w:t>
            </w:r>
          </w:p>
        </w:tc>
      </w:tr>
    </w:tbl>
    <w:p>
      <w:pPr>
        <w:spacing w:line="240" w:lineRule="exact"/>
        <w:ind w:firstLine="630" w:firstLineChars="196"/>
        <w:jc w:val="center"/>
        <w:outlineLvl w:val="0"/>
        <w:rPr>
          <w:rFonts w:ascii="宋体" w:hAnsi="宋体"/>
          <w:b/>
          <w:sz w:val="32"/>
          <w:szCs w:val="32"/>
        </w:rPr>
      </w:pPr>
    </w:p>
    <w:p>
      <w:pPr>
        <w:spacing w:line="440" w:lineRule="exact"/>
        <w:ind w:firstLine="640" w:firstLineChars="200"/>
        <w:rPr>
          <w:rFonts w:ascii="宋体" w:hAnsi="宋体"/>
          <w:sz w:val="32"/>
          <w:szCs w:val="32"/>
        </w:rPr>
      </w:pPr>
    </w:p>
    <w:p>
      <w:pPr>
        <w:jc w:val="center"/>
        <w:rPr>
          <w:rFonts w:ascii="宋体" w:hAnsi="宋体"/>
          <w:b/>
          <w:sz w:val="32"/>
          <w:szCs w:val="32"/>
        </w:rPr>
      </w:pPr>
      <w:r>
        <w:rPr>
          <w:rFonts w:hint="eastAsia" w:ascii="宋体" w:hAnsi="宋体"/>
          <w:b/>
          <w:sz w:val="32"/>
          <w:szCs w:val="32"/>
        </w:rPr>
        <w:t>第五部分：绩效预算信息</w:t>
      </w:r>
    </w:p>
    <w:p>
      <w:pPr>
        <w:spacing w:line="240" w:lineRule="exact"/>
        <w:jc w:val="left"/>
        <w:rPr>
          <w:rFonts w:ascii="宋体" w:hAnsi="宋体"/>
          <w:sz w:val="32"/>
          <w:szCs w:val="32"/>
        </w:rPr>
      </w:pPr>
    </w:p>
    <w:p>
      <w:pPr>
        <w:ind w:firstLine="560" w:firstLineChars="200"/>
        <w:jc w:val="left"/>
        <w:rPr>
          <w:rFonts w:ascii="方正黑体_GBK" w:eastAsia="方正黑体_GBK"/>
          <w:sz w:val="28"/>
        </w:rPr>
      </w:pPr>
      <w:r>
        <w:rPr>
          <w:rFonts w:hint="eastAsia" w:ascii="方正黑体_GBK" w:eastAsia="方正黑体_GBK"/>
          <w:sz w:val="28"/>
        </w:rPr>
        <w:t>一、年度发展规划目标</w:t>
      </w:r>
    </w:p>
    <w:p>
      <w:pPr>
        <w:jc w:val="left"/>
        <w:rPr>
          <w:rFonts w:ascii="黑体" w:hAnsi="黑体" w:eastAsia="黑体"/>
          <w:sz w:val="28"/>
        </w:rPr>
      </w:pPr>
      <w:r>
        <w:rPr>
          <w:rFonts w:hint="eastAsia" w:ascii="方正楷体_GBK" w:eastAsia="方正楷体_GBK"/>
          <w:b/>
          <w:sz w:val="28"/>
        </w:rPr>
        <w:t xml:space="preserve">    </w:t>
      </w:r>
      <w:r>
        <w:rPr>
          <w:rFonts w:hint="eastAsia" w:ascii="黑体" w:hAnsi="黑体" w:eastAsia="黑体"/>
          <w:sz w:val="28"/>
        </w:rPr>
        <w:t>（一）总体目标：</w:t>
      </w:r>
    </w:p>
    <w:p>
      <w:pPr>
        <w:spacing w:line="500" w:lineRule="exact"/>
        <w:ind w:firstLine="560"/>
        <w:rPr>
          <w:rFonts w:ascii="方正仿宋_GBK" w:eastAsia="方正仿宋_GBK"/>
          <w:sz w:val="28"/>
        </w:rPr>
      </w:pPr>
      <w:r>
        <w:rPr>
          <w:rFonts w:ascii="方正仿宋_GBK" w:eastAsia="方正仿宋_GBK"/>
          <w:sz w:val="28"/>
        </w:rPr>
        <w:t>申报要庄遗址保护规划和张柔墓保护工程立项报告，进行科学保护利用。</w:t>
      </w:r>
    </w:p>
    <w:p>
      <w:pPr>
        <w:spacing w:line="500" w:lineRule="exact"/>
        <w:ind w:firstLine="560"/>
        <w:rPr>
          <w:rFonts w:ascii="方正仿宋_GBK" w:eastAsia="方正仿宋_GBK"/>
          <w:sz w:val="28"/>
        </w:rPr>
      </w:pPr>
      <w:r>
        <w:rPr>
          <w:rFonts w:ascii="方正仿宋_GBK" w:eastAsia="方正仿宋_GBK"/>
          <w:sz w:val="28"/>
        </w:rPr>
        <w:t>加强全区文物保护单位安全巡查，结合公安部门打击各类文物犯罪，保证文物安全。</w:t>
      </w:r>
    </w:p>
    <w:p>
      <w:pPr>
        <w:spacing w:line="500" w:lineRule="exact"/>
        <w:ind w:firstLine="560"/>
        <w:rPr>
          <w:rFonts w:ascii="方正仿宋_GBK" w:eastAsia="方正仿宋_GBK"/>
          <w:sz w:val="28"/>
        </w:rPr>
      </w:pPr>
      <w:r>
        <w:rPr>
          <w:rFonts w:ascii="方正仿宋_GBK" w:eastAsia="方正仿宋_GBK"/>
          <w:sz w:val="28"/>
        </w:rPr>
        <w:t>加强业务及</w:t>
      </w:r>
      <w:r>
        <w:rPr>
          <w:rFonts w:hint="eastAsia" w:ascii="方正仿宋_GBK" w:eastAsia="方正仿宋_GBK"/>
          <w:sz w:val="28"/>
          <w:lang w:eastAsia="zh-CN"/>
        </w:rPr>
        <w:t>党的</w:t>
      </w:r>
      <w:r>
        <w:rPr>
          <w:rFonts w:ascii="方正仿宋_GBK" w:eastAsia="方正仿宋_GBK"/>
          <w:sz w:val="28"/>
        </w:rPr>
        <w:t>十九大精神的学习，在</w:t>
      </w:r>
      <w:r>
        <w:rPr>
          <w:rFonts w:hint="eastAsia" w:ascii="方正仿宋_GBK" w:eastAsia="方正仿宋_GBK"/>
          <w:sz w:val="28"/>
          <w:lang w:eastAsia="zh-CN"/>
        </w:rPr>
        <w:t>党的</w:t>
      </w:r>
      <w:r>
        <w:rPr>
          <w:rFonts w:ascii="方正仿宋_GBK" w:eastAsia="方正仿宋_GBK"/>
          <w:sz w:val="28"/>
        </w:rPr>
        <w:t>十九大精神的指引下，开拓创新，锐意进取，认真完成旅发会各项工作。</w:t>
      </w:r>
    </w:p>
    <w:p>
      <w:pPr>
        <w:ind w:firstLine="280" w:firstLineChars="100"/>
        <w:jc w:val="left"/>
        <w:rPr>
          <w:rFonts w:ascii="黑体" w:hAnsi="黑体" w:eastAsia="黑体"/>
          <w:sz w:val="28"/>
        </w:rPr>
      </w:pPr>
    </w:p>
    <w:p>
      <w:pPr>
        <w:ind w:firstLine="700" w:firstLineChars="250"/>
        <w:jc w:val="left"/>
        <w:rPr>
          <w:rFonts w:ascii="黑体" w:hAnsi="黑体" w:eastAsia="黑体"/>
          <w:sz w:val="28"/>
        </w:rPr>
      </w:pPr>
      <w:r>
        <w:rPr>
          <w:rFonts w:hint="eastAsia" w:ascii="黑体" w:hAnsi="黑体" w:eastAsia="黑体"/>
          <w:sz w:val="28"/>
        </w:rPr>
        <w:t>（二）职责分类绩效目标：</w:t>
      </w:r>
    </w:p>
    <w:p>
      <w:pPr>
        <w:spacing w:line="500" w:lineRule="exact"/>
        <w:ind w:firstLine="560"/>
        <w:rPr>
          <w:rFonts w:ascii="方正仿宋_GBK" w:eastAsia="方正仿宋_GBK"/>
          <w:sz w:val="28"/>
        </w:rPr>
      </w:pPr>
      <w:r>
        <w:rPr>
          <w:rFonts w:ascii="方正仿宋_GBK" w:eastAsia="方正仿宋_GBK"/>
          <w:sz w:val="28"/>
        </w:rPr>
        <w:t xml:space="preserve">  </w:t>
      </w:r>
      <w:r>
        <w:rPr>
          <w:rFonts w:hint="eastAsia" w:ascii="方正仿宋_GBK" w:hAnsi="宋体" w:eastAsia="方正仿宋_GBK" w:cs="宋体"/>
          <w:sz w:val="28"/>
        </w:rPr>
        <w:t>1、文物保护</w:t>
      </w:r>
    </w:p>
    <w:p>
      <w:pPr>
        <w:spacing w:line="500" w:lineRule="exact"/>
        <w:ind w:firstLine="560"/>
        <w:rPr>
          <w:rFonts w:ascii="方正仿宋_GBK" w:eastAsia="方正仿宋_GBK"/>
          <w:sz w:val="28"/>
        </w:rPr>
      </w:pPr>
      <w:r>
        <w:rPr>
          <w:rFonts w:ascii="方正仿宋_GBK" w:eastAsia="方正仿宋_GBK"/>
          <w:sz w:val="28"/>
        </w:rPr>
        <w:t xml:space="preserve">  </w:t>
      </w:r>
      <w:r>
        <w:rPr>
          <w:rFonts w:hint="eastAsia" w:ascii="方正仿宋_GBK" w:hAnsi="宋体" w:eastAsia="方正仿宋_GBK" w:cs="宋体"/>
          <w:sz w:val="28"/>
        </w:rPr>
        <w:t>坚持</w:t>
      </w:r>
      <w:r>
        <w:rPr>
          <w:rFonts w:ascii="方正仿宋_GBK" w:eastAsia="方正仿宋_GBK"/>
          <w:sz w:val="28"/>
        </w:rPr>
        <w:t>“</w:t>
      </w:r>
      <w:r>
        <w:rPr>
          <w:rFonts w:hint="eastAsia" w:ascii="方正仿宋_GBK" w:hAnsi="宋体" w:eastAsia="方正仿宋_GBK" w:cs="宋体"/>
          <w:sz w:val="28"/>
        </w:rPr>
        <w:t>保护为主、抢救第一、合理利用、加强管理</w:t>
      </w:r>
      <w:r>
        <w:rPr>
          <w:rFonts w:ascii="方正仿宋_GBK" w:eastAsia="方正仿宋_GBK"/>
          <w:sz w:val="28"/>
        </w:rPr>
        <w:t>”</w:t>
      </w:r>
      <w:r>
        <w:rPr>
          <w:rFonts w:hint="eastAsia" w:ascii="方正仿宋_GBK" w:hAnsi="宋体" w:eastAsia="方正仿宋_GBK" w:cs="宋体"/>
          <w:sz w:val="28"/>
        </w:rPr>
        <w:t>的文物工作方针，做好文物保护、管理和利用等工作，提高全社会的文物保护意识，发挥文物工作在促进全县经济和社会发展中的重要作用；</w:t>
      </w:r>
    </w:p>
    <w:p>
      <w:pPr>
        <w:spacing w:line="500" w:lineRule="exact"/>
        <w:ind w:firstLine="560"/>
        <w:rPr>
          <w:rFonts w:ascii="方正仿宋_GBK" w:eastAsia="方正仿宋_GBK"/>
          <w:sz w:val="28"/>
        </w:rPr>
      </w:pPr>
      <w:r>
        <w:rPr>
          <w:rFonts w:ascii="方正仿宋_GBK" w:eastAsia="方正仿宋_GBK"/>
          <w:sz w:val="28"/>
        </w:rPr>
        <w:t xml:space="preserve">  </w:t>
      </w:r>
      <w:r>
        <w:rPr>
          <w:rFonts w:hint="eastAsia" w:ascii="方正仿宋_GBK" w:hAnsi="宋体" w:eastAsia="方正仿宋_GBK" w:cs="宋体"/>
          <w:sz w:val="28"/>
        </w:rPr>
        <w:t>加强文物保护，促进文物事业可持续发展。</w:t>
      </w:r>
    </w:p>
    <w:p>
      <w:pPr>
        <w:spacing w:line="500" w:lineRule="exact"/>
        <w:ind w:firstLine="560"/>
        <w:rPr>
          <w:rFonts w:ascii="方正仿宋_GBK" w:eastAsia="方正仿宋_GBK"/>
          <w:sz w:val="28"/>
        </w:rPr>
      </w:pPr>
      <w:r>
        <w:rPr>
          <w:rFonts w:ascii="方正仿宋_GBK" w:eastAsia="方正仿宋_GBK"/>
          <w:sz w:val="28"/>
        </w:rPr>
        <w:t xml:space="preserve">  </w:t>
      </w:r>
      <w:r>
        <w:rPr>
          <w:rFonts w:hint="eastAsia" w:ascii="方正仿宋_GBK" w:hAnsi="宋体" w:eastAsia="方正仿宋_GBK" w:cs="宋体"/>
          <w:sz w:val="28"/>
        </w:rPr>
        <w:t>开展文物保护前期相关工作，实施文物本体保护，做好文物档案、资料整理、学术研究和出版等工作，做好文物保护项目实施过程中的管理、验收及绩效考核等工作，做好文物行政执法、安全管理与督查工作，开展文物鉴定工作，改善文物保管条件与保存环境，提供文物保护工作相关设备；确保文物与文化遗产得到有效保护。完工及时率</w:t>
      </w:r>
      <w:r>
        <w:rPr>
          <w:rFonts w:ascii="方正仿宋_GBK" w:eastAsia="方正仿宋_GBK"/>
          <w:sz w:val="28"/>
        </w:rPr>
        <w:t>85%</w:t>
      </w:r>
      <w:r>
        <w:rPr>
          <w:rFonts w:hint="eastAsia" w:ascii="方正仿宋_GBK" w:hAnsi="宋体" w:eastAsia="方正仿宋_GBK" w:cs="宋体"/>
          <w:sz w:val="28"/>
        </w:rPr>
        <w:t>以上为优，</w:t>
      </w:r>
      <w:r>
        <w:rPr>
          <w:rFonts w:ascii="方正仿宋_GBK" w:eastAsia="方正仿宋_GBK"/>
          <w:sz w:val="28"/>
        </w:rPr>
        <w:t>85%</w:t>
      </w:r>
      <w:r>
        <w:rPr>
          <w:rFonts w:hint="eastAsia" w:ascii="方正仿宋_GBK" w:hAnsi="宋体" w:eastAsia="方正仿宋_GBK" w:cs="宋体"/>
          <w:sz w:val="28"/>
        </w:rPr>
        <w:t>及以上为良，</w:t>
      </w:r>
      <w:r>
        <w:rPr>
          <w:rFonts w:ascii="方正仿宋_GBK" w:eastAsia="方正仿宋_GBK"/>
          <w:sz w:val="28"/>
        </w:rPr>
        <w:t>75%</w:t>
      </w:r>
      <w:r>
        <w:rPr>
          <w:rFonts w:hint="eastAsia" w:ascii="方正仿宋_GBK" w:hAnsi="宋体" w:eastAsia="方正仿宋_GBK" w:cs="宋体"/>
          <w:sz w:val="28"/>
        </w:rPr>
        <w:t>及以上为中，</w:t>
      </w:r>
      <w:r>
        <w:rPr>
          <w:rFonts w:ascii="方正仿宋_GBK" w:eastAsia="方正仿宋_GBK"/>
          <w:sz w:val="28"/>
        </w:rPr>
        <w:t>75%</w:t>
      </w:r>
      <w:r>
        <w:rPr>
          <w:rFonts w:hint="eastAsia" w:ascii="方正仿宋_GBK" w:hAnsi="宋体" w:eastAsia="方正仿宋_GBK" w:cs="宋体"/>
          <w:sz w:val="28"/>
        </w:rPr>
        <w:t>以下为差。</w:t>
      </w:r>
    </w:p>
    <w:p>
      <w:pPr>
        <w:spacing w:line="500" w:lineRule="exact"/>
        <w:ind w:firstLine="560"/>
        <w:rPr>
          <w:rFonts w:ascii="方正仿宋_GBK" w:eastAsia="方正仿宋_GBK"/>
          <w:sz w:val="28"/>
        </w:rPr>
      </w:pPr>
      <w:r>
        <w:rPr>
          <w:rFonts w:ascii="方正仿宋_GBK" w:eastAsia="方正仿宋_GBK"/>
          <w:sz w:val="28"/>
        </w:rPr>
        <w:t xml:space="preserve">  </w:t>
      </w:r>
      <w:r>
        <w:rPr>
          <w:rFonts w:hint="eastAsia" w:ascii="方正仿宋_GBK" w:hAnsi="宋体" w:eastAsia="方正仿宋_GBK" w:cs="宋体"/>
          <w:sz w:val="28"/>
        </w:rPr>
        <w:t>2、文物普查</w:t>
      </w:r>
    </w:p>
    <w:p>
      <w:pPr>
        <w:spacing w:line="500" w:lineRule="exact"/>
        <w:ind w:firstLine="560"/>
        <w:rPr>
          <w:rFonts w:ascii="方正仿宋_GBK" w:eastAsia="方正仿宋_GBK"/>
          <w:sz w:val="28"/>
        </w:rPr>
      </w:pPr>
      <w:r>
        <w:rPr>
          <w:rFonts w:ascii="方正仿宋_GBK" w:eastAsia="方正仿宋_GBK"/>
          <w:sz w:val="28"/>
        </w:rPr>
        <w:t xml:space="preserve"> </w:t>
      </w:r>
      <w:r>
        <w:rPr>
          <w:rFonts w:hint="eastAsia" w:ascii="方正仿宋_GBK" w:hAnsi="宋体" w:eastAsia="方正仿宋_GBK" w:cs="宋体"/>
          <w:sz w:val="28"/>
        </w:rPr>
        <w:t>采取统一组织，由专业部门利用现代信息手段集中调查统计的方式，对可移动文物、不可移动文物进行调查、认定和登记，掌握文物现状等基本信息，为科学制定文物保护政策和规划提供依据。完成年度省属国有单位普查可移动文物信息采集登录工作任务。符合可移动文物普查信息采集登录数据标准的数据量。</w:t>
      </w:r>
      <w:r>
        <w:rPr>
          <w:rFonts w:ascii="方正仿宋_GBK" w:eastAsia="方正仿宋_GBK"/>
          <w:sz w:val="28"/>
        </w:rPr>
        <w:t>10</w:t>
      </w:r>
      <w:r>
        <w:rPr>
          <w:rFonts w:hint="eastAsia" w:ascii="方正仿宋_GBK" w:hAnsi="宋体" w:eastAsia="方正仿宋_GBK" w:cs="宋体"/>
          <w:sz w:val="28"/>
        </w:rPr>
        <w:t>万条以上为优，</w:t>
      </w:r>
      <w:r>
        <w:rPr>
          <w:rFonts w:ascii="方正仿宋_GBK" w:eastAsia="方正仿宋_GBK"/>
          <w:sz w:val="28"/>
        </w:rPr>
        <w:t>8</w:t>
      </w:r>
      <w:r>
        <w:rPr>
          <w:rFonts w:hint="eastAsia" w:ascii="方正仿宋_GBK" w:hAnsi="宋体" w:eastAsia="方正仿宋_GBK" w:cs="宋体"/>
          <w:sz w:val="28"/>
        </w:rPr>
        <w:t>万至</w:t>
      </w:r>
      <w:r>
        <w:rPr>
          <w:rFonts w:ascii="方正仿宋_GBK" w:eastAsia="方正仿宋_GBK"/>
          <w:sz w:val="28"/>
        </w:rPr>
        <w:t>10</w:t>
      </w:r>
      <w:r>
        <w:rPr>
          <w:rFonts w:hint="eastAsia" w:ascii="方正仿宋_GBK" w:hAnsi="宋体" w:eastAsia="方正仿宋_GBK" w:cs="宋体"/>
          <w:sz w:val="28"/>
        </w:rPr>
        <w:t>万条为良，</w:t>
      </w:r>
      <w:r>
        <w:rPr>
          <w:rFonts w:ascii="方正仿宋_GBK" w:eastAsia="方正仿宋_GBK"/>
          <w:sz w:val="28"/>
        </w:rPr>
        <w:t>5</w:t>
      </w:r>
      <w:r>
        <w:rPr>
          <w:rFonts w:hint="eastAsia" w:ascii="方正仿宋_GBK" w:hAnsi="宋体" w:eastAsia="方正仿宋_GBK" w:cs="宋体"/>
          <w:sz w:val="28"/>
        </w:rPr>
        <w:t>至</w:t>
      </w:r>
      <w:r>
        <w:rPr>
          <w:rFonts w:ascii="方正仿宋_GBK" w:eastAsia="方正仿宋_GBK"/>
          <w:sz w:val="28"/>
        </w:rPr>
        <w:t>8</w:t>
      </w:r>
      <w:r>
        <w:rPr>
          <w:rFonts w:hint="eastAsia" w:ascii="方正仿宋_GBK" w:hAnsi="宋体" w:eastAsia="方正仿宋_GBK" w:cs="宋体"/>
          <w:sz w:val="28"/>
        </w:rPr>
        <w:t>万条为中，</w:t>
      </w:r>
      <w:r>
        <w:rPr>
          <w:rFonts w:ascii="方正仿宋_GBK" w:eastAsia="方正仿宋_GBK"/>
          <w:sz w:val="28"/>
        </w:rPr>
        <w:t>5</w:t>
      </w:r>
      <w:r>
        <w:rPr>
          <w:rFonts w:hint="eastAsia" w:ascii="方正仿宋_GBK" w:hAnsi="宋体" w:eastAsia="方正仿宋_GBK" w:cs="宋体"/>
          <w:sz w:val="28"/>
        </w:rPr>
        <w:t>万条以下为差。</w:t>
      </w:r>
      <w:r>
        <w:rPr>
          <w:rFonts w:ascii="方正仿宋_GBK" w:eastAsia="方正仿宋_GBK"/>
          <w:sz w:val="28"/>
        </w:rPr>
        <w:t xml:space="preserve"> </w:t>
      </w:r>
    </w:p>
    <w:p>
      <w:pPr>
        <w:spacing w:line="500" w:lineRule="exact"/>
        <w:ind w:firstLine="560"/>
        <w:rPr>
          <w:rFonts w:ascii="方正仿宋_GBK" w:eastAsia="方正仿宋_GBK"/>
          <w:sz w:val="28"/>
        </w:rPr>
      </w:pPr>
      <w:r>
        <w:rPr>
          <w:rFonts w:ascii="方正仿宋_GBK" w:eastAsia="方正仿宋_GBK"/>
          <w:sz w:val="28"/>
        </w:rPr>
        <w:t xml:space="preserve">  </w:t>
      </w:r>
      <w:r>
        <w:rPr>
          <w:rFonts w:hint="eastAsia" w:ascii="方正仿宋_GBK" w:hAnsi="宋体" w:eastAsia="方正仿宋_GBK" w:cs="宋体"/>
          <w:sz w:val="28"/>
        </w:rPr>
        <w:t>3、综合事务管理</w:t>
      </w:r>
    </w:p>
    <w:p>
      <w:pPr>
        <w:spacing w:line="500" w:lineRule="exact"/>
        <w:ind w:firstLine="560"/>
        <w:rPr>
          <w:rFonts w:ascii="方正仿宋_GBK" w:eastAsia="方正仿宋_GBK"/>
          <w:sz w:val="28"/>
        </w:rPr>
      </w:pPr>
      <w:r>
        <w:rPr>
          <w:rFonts w:ascii="方正仿宋_GBK" w:eastAsia="方正仿宋_GBK"/>
          <w:sz w:val="28"/>
        </w:rPr>
        <w:t xml:space="preserve"> </w:t>
      </w:r>
      <w:r>
        <w:rPr>
          <w:rFonts w:hint="eastAsia" w:ascii="方正仿宋_GBK" w:hAnsi="宋体" w:eastAsia="方正仿宋_GBK" w:cs="宋体"/>
          <w:sz w:val="28"/>
        </w:rPr>
        <w:t>拟定全县文物和博物馆事业发展规划及政策制度，开展文物宣传、交流合作、教育培训、考核等文物管理相关工作，开展信息化建设、基础设施维修等保障工作。做好综合事务管理工作，保证机关与直属单位工作正常高效运转，工作按计划完成程度，完成计划的</w:t>
      </w:r>
      <w:r>
        <w:rPr>
          <w:rFonts w:ascii="方正仿宋_GBK" w:eastAsia="方正仿宋_GBK"/>
          <w:sz w:val="28"/>
        </w:rPr>
        <w:t>85%</w:t>
      </w:r>
      <w:r>
        <w:rPr>
          <w:rFonts w:hint="eastAsia" w:ascii="方正仿宋_GBK" w:hAnsi="宋体" w:eastAsia="方正仿宋_GBK" w:cs="宋体"/>
          <w:sz w:val="28"/>
        </w:rPr>
        <w:t>以上为优，完成计划的</w:t>
      </w:r>
      <w:r>
        <w:rPr>
          <w:rFonts w:ascii="方正仿宋_GBK" w:eastAsia="方正仿宋_GBK"/>
          <w:sz w:val="28"/>
        </w:rPr>
        <w:t>85%-75%</w:t>
      </w:r>
      <w:r>
        <w:rPr>
          <w:rFonts w:hint="eastAsia" w:ascii="方正仿宋_GBK" w:hAnsi="宋体" w:eastAsia="方正仿宋_GBK" w:cs="宋体"/>
          <w:sz w:val="28"/>
        </w:rPr>
        <w:t>为良，完成计划的</w:t>
      </w:r>
      <w:r>
        <w:rPr>
          <w:rFonts w:ascii="方正仿宋_GBK" w:eastAsia="方正仿宋_GBK"/>
          <w:sz w:val="28"/>
        </w:rPr>
        <w:t>75%-60%</w:t>
      </w:r>
      <w:r>
        <w:rPr>
          <w:rFonts w:hint="eastAsia" w:ascii="方正仿宋_GBK" w:hAnsi="宋体" w:eastAsia="方正仿宋_GBK" w:cs="宋体"/>
          <w:sz w:val="28"/>
        </w:rPr>
        <w:t>为中，完成计划的</w:t>
      </w:r>
      <w:r>
        <w:rPr>
          <w:rFonts w:ascii="方正仿宋_GBK" w:eastAsia="方正仿宋_GBK"/>
          <w:sz w:val="28"/>
        </w:rPr>
        <w:t>60%</w:t>
      </w:r>
      <w:r>
        <w:rPr>
          <w:rFonts w:hint="eastAsia" w:ascii="方正仿宋_GBK" w:hAnsi="宋体" w:eastAsia="方正仿宋_GBK" w:cs="宋体"/>
          <w:sz w:val="28"/>
        </w:rPr>
        <w:t>以下为差。</w:t>
      </w:r>
    </w:p>
    <w:p>
      <w:pPr>
        <w:spacing w:line="500" w:lineRule="exact"/>
        <w:ind w:firstLine="560"/>
        <w:rPr>
          <w:rFonts w:ascii="方正仿宋_GBK" w:eastAsia="方正仿宋_GBK"/>
          <w:sz w:val="28"/>
        </w:rPr>
      </w:pPr>
    </w:p>
    <w:p>
      <w:pPr>
        <w:jc w:val="left"/>
        <w:rPr>
          <w:rFonts w:ascii="方正黑体_GBK" w:eastAsia="方正黑体_GBK"/>
          <w:sz w:val="28"/>
        </w:rPr>
      </w:pPr>
      <w:r>
        <w:rPr>
          <w:rFonts w:hint="eastAsia" w:ascii="方正黑体_GBK" w:eastAsia="方正黑体_GBK"/>
          <w:sz w:val="28"/>
        </w:rPr>
        <w:t xml:space="preserve"> </w:t>
      </w:r>
      <w:r>
        <w:rPr>
          <w:rFonts w:hint="eastAsia" w:ascii="方正黑体_GBK"/>
          <w:sz w:val="28"/>
        </w:rPr>
        <w:t xml:space="preserve">    </w:t>
      </w:r>
      <w:r>
        <w:rPr>
          <w:rFonts w:hint="eastAsia" w:ascii="方正黑体_GBK" w:eastAsia="方正黑体_GBK"/>
          <w:sz w:val="28"/>
        </w:rPr>
        <w:t>(三)、实现年度发展规划目标的保障措施</w:t>
      </w:r>
    </w:p>
    <w:p>
      <w:pPr>
        <w:spacing w:line="500" w:lineRule="exact"/>
        <w:ind w:firstLine="560"/>
        <w:rPr>
          <w:rFonts w:ascii="方正仿宋_GBK" w:eastAsia="方正仿宋_GBK"/>
          <w:sz w:val="28"/>
        </w:rPr>
      </w:pPr>
      <w:r>
        <w:rPr>
          <w:rFonts w:ascii="方正仿宋_GBK" w:eastAsia="方正仿宋_GBK"/>
          <w:sz w:val="28"/>
        </w:rPr>
        <w:t xml:space="preserve">    文物所首先从自身做起，经常加强文物法律法规知识的学习与宣传，积极参加省市举办的各类文物工作培训和学习活动，不断提高职工的法律水平和执法能力。在5.18“博物馆日”及其它宣传活动中，通过多种形式，大力宣传《中华人民共和国文物保护法》、河北省实施《中华人民共和国文物保护法》实施办法等文物法律知识，使全区广大干部群众的文物保护意识明显增强。</w:t>
      </w:r>
    </w:p>
    <w:p>
      <w:pPr>
        <w:spacing w:line="500" w:lineRule="exact"/>
        <w:ind w:firstLine="560"/>
        <w:rPr>
          <w:rFonts w:ascii="方正仿宋_GBK" w:eastAsia="方正仿宋_GBK"/>
          <w:sz w:val="28"/>
        </w:rPr>
      </w:pPr>
      <w:r>
        <w:rPr>
          <w:rFonts w:ascii="方正仿宋_GBK" w:eastAsia="方正仿宋_GBK"/>
          <w:sz w:val="28"/>
        </w:rPr>
        <w:t xml:space="preserve">    根据国家及省文物局工作通知，认真落实国家文物局关于开展全国文物安全状况大排查工作方案，对全区文物保护工作进行了仔细排查，对存在的安全隐患及时整改，落实了一对一的文物义务保护员制度，完备了安全消防设施，印发了《满城区关于加强全区文物保护工作的意见》的文件，落实文物保护工作属地责任制，与各乡（镇）签订了文物保护工作责任书。</w:t>
      </w:r>
    </w:p>
    <w:p>
      <w:pPr>
        <w:spacing w:line="500" w:lineRule="exact"/>
        <w:ind w:firstLine="560"/>
        <w:rPr>
          <w:rFonts w:ascii="方正仿宋_GBK" w:eastAsia="方正仿宋_GBK"/>
          <w:sz w:val="28"/>
        </w:rPr>
      </w:pPr>
    </w:p>
    <w:p>
      <w:pPr>
        <w:jc w:val="left"/>
        <w:rPr>
          <w:rFonts w:ascii="方正楷体_GBK" w:eastAsia="方正楷体_GBK"/>
          <w:b/>
          <w:sz w:val="28"/>
        </w:rPr>
        <w:sectPr>
          <w:pgSz w:w="11907" w:h="16839"/>
          <w:pgMar w:top="1531" w:right="1134" w:bottom="1474" w:left="1134" w:header="851" w:footer="992" w:gutter="0"/>
          <w:cols w:space="720" w:num="1"/>
          <w:docGrid w:linePitch="312" w:charSpace="0"/>
        </w:sectPr>
      </w:pPr>
    </w:p>
    <w:p>
      <w:pPr>
        <w:jc w:val="center"/>
        <w:outlineLvl w:val="0"/>
        <w:rPr>
          <w:rFonts w:ascii="方正小标宋_GBK" w:eastAsia="方正小标宋_GBK"/>
          <w:sz w:val="32"/>
        </w:rPr>
      </w:pPr>
      <w:bookmarkStart w:id="0" w:name="_Toc477963878"/>
    </w:p>
    <w:p>
      <w:pPr>
        <w:jc w:val="center"/>
        <w:outlineLvl w:val="0"/>
        <w:rPr>
          <w:rFonts w:ascii="方正小标宋_GBK" w:eastAsia="方正小标宋_GBK"/>
          <w:sz w:val="32"/>
        </w:rPr>
      </w:pPr>
      <w:r>
        <w:rPr>
          <w:rFonts w:hint="eastAsia" w:ascii="方正小标宋_GBK" w:eastAsia="方正小标宋_GBK"/>
          <w:sz w:val="32"/>
        </w:rPr>
        <w:t>一、部门职责</w:t>
      </w:r>
      <w:r>
        <w:rPr>
          <w:rFonts w:ascii="方正小标宋_GBK" w:eastAsia="方正小标宋_GBK"/>
          <w:sz w:val="32"/>
        </w:rPr>
        <w:t>-</w:t>
      </w:r>
      <w:r>
        <w:rPr>
          <w:rFonts w:hint="eastAsia" w:ascii="方正小标宋_GBK" w:eastAsia="方正小标宋_GBK"/>
          <w:sz w:val="32"/>
        </w:rPr>
        <w:t>工作活动绩效目标</w:t>
      </w:r>
      <w:bookmarkEnd w:id="0"/>
    </w:p>
    <w:tbl>
      <w:tblPr>
        <w:tblStyle w:val="5"/>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453</w:t>
            </w:r>
            <w:r>
              <w:rPr>
                <w:rFonts w:hint="eastAsia" w:ascii="方正小标宋_GBK" w:eastAsia="方正小标宋_GBK"/>
                <w:sz w:val="24"/>
              </w:rPr>
              <w:t>保定市满城区文物管理所</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文物保护</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坚持</w:t>
            </w:r>
            <w:r>
              <w:rPr>
                <w:rFonts w:hint="cs" w:ascii="方正书宋_GBK" w:eastAsia="方正书宋_GBK"/>
                <w:cs/>
              </w:rPr>
              <w:t>“</w:t>
            </w:r>
            <w:r>
              <w:rPr>
                <w:rFonts w:hint="eastAsia" w:ascii="方正书宋_GBK" w:eastAsia="方正书宋_GBK"/>
              </w:rPr>
              <w:t>保护为主、抢救第一、合理利用、加强管理</w:t>
            </w:r>
            <w:r>
              <w:rPr>
                <w:rFonts w:hint="cs" w:ascii="方正书宋_GBK" w:eastAsia="方正书宋_GBK"/>
                <w:cs/>
              </w:rPr>
              <w:t>”</w:t>
            </w:r>
            <w:r>
              <w:rPr>
                <w:rFonts w:hint="eastAsia" w:ascii="方正书宋_GBK" w:eastAsia="方正书宋_GBK"/>
              </w:rPr>
              <w:t>的文物工作方针，做好文物保护、管理和利用等工作，提高全社会的文物保护意识，发挥文物工作在促进全县经济和社会发展中的重要作用。</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加强文物保护，促进文物事业可持续发展。</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ascii="方正书宋_GBK" w:eastAsia="方正书宋_GBK"/>
                <w:b/>
              </w:rPr>
            </w:pPr>
            <w:r>
              <w:rPr>
                <w:rFonts w:hint="eastAsia" w:ascii="方正书宋_GBK" w:eastAsia="方正书宋_GBK"/>
                <w:b/>
              </w:rPr>
              <w:t>　　文物普查</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采取统一组织，由专业部门利用现代信息手段集中调查统计的方式，对可移动文物、不可移动文物进行调查、认定和登记，掌握文物现状等基本信息，为科学制定文物保护政策和规划提供依据。</w:t>
            </w:r>
          </w:p>
        </w:tc>
        <w:tc>
          <w:tcPr>
            <w:tcW w:w="2976"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确保文物与文化遗产得到有效保护</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符合可移动文物普查信息采集登录数据标准的数据量</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万条以上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w:t>
            </w:r>
            <w:r>
              <w:rPr>
                <w:rFonts w:hint="eastAsia" w:ascii="方正书宋_GBK" w:eastAsia="方正书宋_GBK"/>
              </w:rPr>
              <w:t>万至</w:t>
            </w:r>
            <w:r>
              <w:rPr>
                <w:rFonts w:ascii="方正书宋_GBK" w:eastAsia="方正书宋_GBK"/>
              </w:rPr>
              <w:t>10</w:t>
            </w:r>
            <w:r>
              <w:rPr>
                <w:rFonts w:hint="eastAsia" w:ascii="方正书宋_GBK" w:eastAsia="方正书宋_GBK"/>
              </w:rPr>
              <w:t>万条</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至</w:t>
            </w:r>
            <w:r>
              <w:rPr>
                <w:rFonts w:ascii="方正书宋_GBK" w:eastAsia="方正书宋_GBK"/>
              </w:rPr>
              <w:t>8</w:t>
            </w:r>
            <w:r>
              <w:rPr>
                <w:rFonts w:hint="eastAsia" w:ascii="方正书宋_GBK" w:eastAsia="方正书宋_GBK"/>
              </w:rPr>
              <w:t>万条</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万条以下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工程质量（专家意见）</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良</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中</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文物保护</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开展文物保护前期相关工作，实施文物本体保护，做好文物档案、资料整理、学术研究和出版等工作，做好文物保护项目实施过程中的管理、验收及绩效考核等工作，做好文物行政执法、安全管理与督查工作，开展文物鉴定工作，改善文物保管条件与保存环境，提供文物保护工作相关设备。</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确保文物与文化遗产得到有效保护</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完工及时率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及以上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及以上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负责机关综合事务管理。</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做好综合事务管理工作，保证机关与直属单位工作正常高效运转。</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拟定全县文物和博物馆事业发展规划及政策制度，开展文物宣传、交流合作、教育培训、考核等文物管理相关工作，开展信息化建设、基础设施维修等保障工作。</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做好综合事务管理工作，保证机关与直属单位工作正常高效运转。</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工作按计划完成程度</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完成计划的</w:t>
            </w:r>
            <w:r>
              <w:rPr>
                <w:rFonts w:ascii="方正书宋_GBK" w:eastAsia="方正书宋_GBK"/>
              </w:rPr>
              <w:t>85%</w:t>
            </w:r>
            <w:r>
              <w:rPr>
                <w:rFonts w:hint="eastAsia" w:ascii="方正书宋_GBK" w:eastAsia="方正书宋_GBK"/>
              </w:rPr>
              <w:t>以上</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完成计划的</w:t>
            </w:r>
            <w:r>
              <w:rPr>
                <w:rFonts w:ascii="方正书宋_GBK" w:eastAsia="方正书宋_GBK"/>
              </w:rPr>
              <w:t>85%-75%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完成计划的</w:t>
            </w:r>
            <w:r>
              <w:rPr>
                <w:rFonts w:ascii="方正书宋_GBK" w:eastAsia="方正书宋_GBK"/>
              </w:rPr>
              <w:t>75%-60%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完成计划的</w:t>
            </w:r>
            <w:r>
              <w:rPr>
                <w:rFonts w:ascii="方正书宋_GBK" w:eastAsia="方正书宋_GBK"/>
              </w:rPr>
              <w:t>60%</w:t>
            </w:r>
            <w:r>
              <w:rPr>
                <w:rFonts w:hint="eastAsia" w:ascii="方正书宋_GBK" w:eastAsia="方正书宋_GBK"/>
              </w:rPr>
              <w:t>以下</w:t>
            </w:r>
          </w:p>
        </w:tc>
      </w:tr>
    </w:tbl>
    <w:p>
      <w:pPr>
        <w:jc w:val="center"/>
        <w:outlineLvl w:val="0"/>
        <w:rPr>
          <w:rFonts w:ascii="方正小标宋_GBK" w:eastAsia="方正小标宋_GBK"/>
          <w:sz w:val="32"/>
        </w:rPr>
      </w:pPr>
    </w:p>
    <w:p>
      <w:pPr>
        <w:jc w:val="center"/>
        <w:outlineLvl w:val="0"/>
        <w:rPr>
          <w:rFonts w:ascii="方正小标宋_GBK" w:eastAsia="方正小标宋_GBK"/>
          <w:sz w:val="32"/>
        </w:rPr>
        <w:sectPr>
          <w:pgSz w:w="16839" w:h="11907" w:orient="landscape"/>
          <w:pgMar w:top="1134" w:right="1531" w:bottom="1134" w:left="1474" w:header="851" w:footer="992" w:gutter="0"/>
          <w:cols w:space="720" w:num="1"/>
          <w:docGrid w:linePitch="312" w:charSpace="0"/>
        </w:sectPr>
      </w:pPr>
    </w:p>
    <w:p>
      <w:pPr>
        <w:jc w:val="center"/>
        <w:rPr>
          <w:rFonts w:ascii="宋体" w:hAnsi="宋体"/>
          <w:b/>
          <w:sz w:val="32"/>
          <w:szCs w:val="32"/>
        </w:rPr>
      </w:pPr>
      <w:r>
        <w:rPr>
          <w:rFonts w:hint="eastAsia" w:ascii="宋体" w:hAnsi="宋体"/>
          <w:b/>
          <w:sz w:val="32"/>
          <w:szCs w:val="32"/>
        </w:rPr>
        <w:t>第六部分 政府采购预算情况</w:t>
      </w:r>
    </w:p>
    <w:p>
      <w:pPr>
        <w:spacing w:line="440" w:lineRule="exact"/>
        <w:ind w:firstLine="1280" w:firstLineChars="400"/>
        <w:rPr>
          <w:rFonts w:ascii="宋体" w:hAnsi="宋体"/>
          <w:sz w:val="32"/>
          <w:szCs w:val="32"/>
        </w:rPr>
      </w:pPr>
      <w:r>
        <w:rPr>
          <w:rFonts w:hint="eastAsia" w:ascii="宋体" w:hAnsi="宋体"/>
          <w:sz w:val="32"/>
          <w:szCs w:val="32"/>
        </w:rPr>
        <w:t>我部门2020年无政府采购预算，空表列示: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5"/>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spacing w:line="520" w:lineRule="exact"/>
        <w:ind w:firstLine="640" w:firstLineChars="200"/>
        <w:rPr>
          <w:rFonts w:hint="eastAsia" w:ascii="仿宋_GB2312" w:hAnsi="仿宋" w:eastAsia="仿宋_GB2312"/>
          <w:sz w:val="32"/>
          <w:szCs w:val="32"/>
        </w:rPr>
      </w:pPr>
    </w:p>
    <w:p>
      <w:pPr>
        <w:spacing w:line="440" w:lineRule="exact"/>
        <w:ind w:firstLine="1285" w:firstLineChars="400"/>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第七部分 国有资产信息情况说明</w:t>
      </w:r>
    </w:p>
    <w:p>
      <w:pPr>
        <w:spacing w:line="520" w:lineRule="exact"/>
        <w:ind w:firstLine="640" w:firstLineChars="200"/>
        <w:rPr>
          <w:rFonts w:ascii="宋体" w:hAnsi="宋体"/>
          <w:sz w:val="32"/>
          <w:szCs w:val="32"/>
        </w:rPr>
      </w:pPr>
      <w:r>
        <w:rPr>
          <w:rFonts w:hint="eastAsia" w:ascii="宋体" w:hAnsi="宋体" w:cs="宋体"/>
          <w:kern w:val="0"/>
          <w:sz w:val="32"/>
          <w:szCs w:val="32"/>
        </w:rPr>
        <w:t>保定市满城区文物管理所</w:t>
      </w:r>
      <w:r>
        <w:rPr>
          <w:rFonts w:hint="eastAsia" w:ascii="宋体" w:hAnsi="宋体"/>
          <w:sz w:val="32"/>
          <w:szCs w:val="32"/>
        </w:rPr>
        <w:t>2019年末固定资产总金额4.99万元（详见下表）。2020年没有购买固定资产预算。</w:t>
      </w:r>
    </w:p>
    <w:tbl>
      <w:tblPr>
        <w:tblStyle w:val="5"/>
        <w:tblpPr w:leftFromText="180" w:rightFromText="180" w:vertAnchor="text" w:tblpY="1"/>
        <w:tblOverlap w:val="never"/>
        <w:tblW w:w="0" w:type="auto"/>
        <w:tblInd w:w="0"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noWrap w:val="0"/>
            <w:vAlign w:val="center"/>
          </w:tcPr>
          <w:p>
            <w:pPr>
              <w:widowControl/>
              <w:jc w:val="center"/>
              <w:rPr>
                <w:rFonts w:ascii="宋体" w:hAnsi="宋体" w:cs="宋体"/>
                <w:b/>
                <w:color w:val="000000"/>
                <w:kern w:val="0"/>
                <w:sz w:val="28"/>
                <w:szCs w:val="28"/>
              </w:rPr>
            </w:pPr>
            <w:r>
              <w:rPr>
                <w:rFonts w:hint="eastAsia" w:ascii="宋体" w:hAnsi="宋体"/>
                <w:b/>
                <w:sz w:val="32"/>
                <w:szCs w:val="32"/>
              </w:rPr>
              <w:t>保定市满城区文物管理所固定资产占用情况表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ascii="宋体" w:hAnsi="宋体" w:cs="宋体"/>
                <w:color w:val="000000"/>
                <w:kern w:val="0"/>
                <w:sz w:val="32"/>
                <w:szCs w:val="32"/>
              </w:rPr>
            </w:pPr>
            <w:r>
              <w:rPr>
                <w:rFonts w:hint="eastAsia" w:ascii="宋体" w:hAnsi="宋体" w:cs="宋体"/>
                <w:bCs/>
                <w:color w:val="000000"/>
                <w:kern w:val="0"/>
                <w:sz w:val="32"/>
                <w:szCs w:val="32"/>
              </w:rPr>
              <w:t xml:space="preserve">                           截止时间：2019年12月31日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4.99</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4.58</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4.58</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0.41</w:t>
            </w:r>
          </w:p>
        </w:tc>
      </w:tr>
    </w:tbl>
    <w:p>
      <w:pPr>
        <w:rPr>
          <w:rFonts w:ascii="宋体" w:hAnsi="宋体"/>
          <w:sz w:val="32"/>
          <w:szCs w:val="32"/>
        </w:rPr>
      </w:pPr>
    </w:p>
    <w:p>
      <w:pPr>
        <w:spacing w:line="500" w:lineRule="exact"/>
        <w:ind w:firstLine="630" w:firstLineChars="196"/>
        <w:jc w:val="center"/>
        <w:outlineLvl w:val="0"/>
        <w:rPr>
          <w:rFonts w:ascii="宋体" w:hAns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ascii="宋体" w:hAnsi="宋体"/>
          <w:sz w:val="32"/>
          <w:szCs w:val="32"/>
        </w:rPr>
      </w:pPr>
    </w:p>
    <w:p>
      <w:pPr>
        <w:spacing w:line="500" w:lineRule="exact"/>
        <w:ind w:firstLine="640" w:firstLineChars="200"/>
        <w:jc w:val="left"/>
        <w:outlineLvl w:val="0"/>
        <w:rPr>
          <w:rFonts w:ascii="宋体" w:hAnsi="宋体"/>
          <w:sz w:val="32"/>
          <w:szCs w:val="32"/>
        </w:rPr>
      </w:pPr>
      <w:r>
        <w:rPr>
          <w:rFonts w:hint="eastAsia" w:ascii="宋体" w:hAnsi="宋体"/>
          <w:sz w:val="32"/>
          <w:szCs w:val="32"/>
        </w:rPr>
        <w:t>1、一般公共预算拨款收入：指区级财政当年拨付的资金。</w:t>
      </w:r>
    </w:p>
    <w:p>
      <w:pPr>
        <w:spacing w:line="500" w:lineRule="exact"/>
        <w:ind w:firstLine="640" w:firstLineChars="200"/>
        <w:jc w:val="left"/>
        <w:outlineLvl w:val="0"/>
        <w:rPr>
          <w:rFonts w:ascii="宋体" w:hAnsi="宋体"/>
          <w:sz w:val="32"/>
          <w:szCs w:val="32"/>
        </w:rPr>
      </w:pPr>
      <w:r>
        <w:rPr>
          <w:rFonts w:hint="eastAsia" w:ascii="宋体" w:hAnsi="宋体"/>
          <w:sz w:val="32"/>
          <w:szCs w:val="32"/>
        </w:rPr>
        <w:t>2、其他收入：指除上述“财政拨款收入”、“事业收入”等以外的收入。</w:t>
      </w:r>
    </w:p>
    <w:p>
      <w:pPr>
        <w:spacing w:line="500" w:lineRule="exact"/>
        <w:ind w:firstLine="640" w:firstLineChars="200"/>
        <w:jc w:val="left"/>
        <w:outlineLvl w:val="0"/>
        <w:rPr>
          <w:rFonts w:ascii="宋体" w:hAnsi="宋体"/>
          <w:sz w:val="32"/>
          <w:szCs w:val="32"/>
        </w:rPr>
      </w:pPr>
      <w:r>
        <w:rPr>
          <w:rFonts w:hint="eastAsia" w:ascii="宋体" w:hAnsi="宋体"/>
          <w:sz w:val="32"/>
          <w:szCs w:val="32"/>
        </w:rPr>
        <w:t>3、基本支出：指为保障机构正常运转、完成日常工作任务而发生的人员支出和公用支出。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4、项目支出：指在基本支出之外为完成特定行政任务和事业发展目标所发生的支出。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ascii="宋体" w:hAnsi="宋体"/>
          <w:sz w:val="32"/>
          <w:szCs w:val="32"/>
        </w:rPr>
      </w:pPr>
      <w:r>
        <w:rPr>
          <w:rFonts w:hint="eastAsia"/>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sz w:val="32"/>
          <w:szCs w:val="32"/>
        </w:rPr>
        <w:t xml:space="preserve">    </w:t>
      </w:r>
    </w:p>
    <w:p>
      <w:pPr>
        <w:ind w:firstLine="800" w:firstLineChars="250"/>
        <w:rPr>
          <w:rFonts w:ascii="宋体" w:hAnsi="宋体"/>
          <w:sz w:val="32"/>
          <w:szCs w:val="32"/>
        </w:rPr>
      </w:pPr>
    </w:p>
    <w:p>
      <w:pPr>
        <w:ind w:firstLine="803" w:firstLineChars="250"/>
        <w:jc w:val="center"/>
        <w:rPr>
          <w:rFonts w:ascii="宋体" w:hAnsi="宋体"/>
          <w:b/>
          <w:sz w:val="32"/>
          <w:szCs w:val="32"/>
        </w:rPr>
      </w:pPr>
      <w:r>
        <w:rPr>
          <w:rFonts w:hint="eastAsia" w:ascii="宋体" w:hAnsi="宋体"/>
          <w:b/>
          <w:sz w:val="32"/>
          <w:szCs w:val="32"/>
        </w:rPr>
        <w:t>第九部分：其他需说明的事项</w:t>
      </w:r>
    </w:p>
    <w:p>
      <w:pPr>
        <w:ind w:firstLine="800" w:firstLineChars="250"/>
        <w:rPr>
          <w:rFonts w:ascii="宋体" w:hAnsi="宋体"/>
          <w:sz w:val="32"/>
          <w:szCs w:val="32"/>
        </w:rPr>
      </w:pPr>
    </w:p>
    <w:p>
      <w:r>
        <w:rPr>
          <w:rFonts w:hint="eastAsia" w:ascii="宋体" w:hAnsi="宋体"/>
          <w:sz w:val="32"/>
          <w:szCs w:val="32"/>
        </w:rPr>
        <w:t xml:space="preserve">无其他需说明的事项。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roman"/>
    <w:pitch w:val="default"/>
    <w:sig w:usb0="A00002BF" w:usb1="38CF7CFA" w:usb2="00082016" w:usb3="00000000" w:csb0="00040001" w:csb1="00000000"/>
  </w:font>
  <w:font w:name="方正黑体_GBK">
    <w:panose1 w:val="02000000000000000000"/>
    <w:charset w:val="86"/>
    <w:family w:val="roman"/>
    <w:pitch w:val="default"/>
    <w:sig w:usb0="A00002BF" w:usb1="38CF7CFA" w:usb2="00082016" w:usb3="00000000" w:csb0="00040001" w:csb1="00000000"/>
  </w:font>
  <w:font w:name="方正楷体_GBK">
    <w:panose1 w:val="02000000000000000000"/>
    <w:charset w:val="86"/>
    <w:family w:val="roman"/>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书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C2780"/>
    <w:rsid w:val="00004649"/>
    <w:rsid w:val="00027EDC"/>
    <w:rsid w:val="00087A5D"/>
    <w:rsid w:val="00093513"/>
    <w:rsid w:val="00131428"/>
    <w:rsid w:val="00190152"/>
    <w:rsid w:val="002B06C4"/>
    <w:rsid w:val="002C07D1"/>
    <w:rsid w:val="003B174B"/>
    <w:rsid w:val="003D1B2B"/>
    <w:rsid w:val="00415A64"/>
    <w:rsid w:val="00470283"/>
    <w:rsid w:val="004B73F1"/>
    <w:rsid w:val="006738BF"/>
    <w:rsid w:val="006A1760"/>
    <w:rsid w:val="006A23DA"/>
    <w:rsid w:val="006C2AA3"/>
    <w:rsid w:val="006D6F5C"/>
    <w:rsid w:val="007534EF"/>
    <w:rsid w:val="007A2AB2"/>
    <w:rsid w:val="007A57C3"/>
    <w:rsid w:val="00857E44"/>
    <w:rsid w:val="00884AB2"/>
    <w:rsid w:val="008C26EF"/>
    <w:rsid w:val="008E3110"/>
    <w:rsid w:val="00C13473"/>
    <w:rsid w:val="00C67D25"/>
    <w:rsid w:val="00D96D16"/>
    <w:rsid w:val="00DA49BF"/>
    <w:rsid w:val="00DB69F1"/>
    <w:rsid w:val="00E31171"/>
    <w:rsid w:val="00F20576"/>
    <w:rsid w:val="00F84A5F"/>
    <w:rsid w:val="00FC4510"/>
    <w:rsid w:val="13C43F9C"/>
    <w:rsid w:val="171A37A1"/>
    <w:rsid w:val="3AB47330"/>
    <w:rsid w:val="3CFB4A01"/>
    <w:rsid w:val="534777CF"/>
    <w:rsid w:val="5B566884"/>
    <w:rsid w:val="621C2780"/>
    <w:rsid w:val="62F66D29"/>
    <w:rsid w:val="7DA720F2"/>
    <w:rsid w:val="7DF01A15"/>
    <w:rsid w:val="7F6D3E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0"/>
    <w:qFormat/>
    <w:uiPriority w:val="0"/>
    <w:pPr>
      <w:spacing w:before="240" w:after="60"/>
      <w:jc w:val="center"/>
      <w:outlineLvl w:val="0"/>
    </w:pPr>
    <w:rPr>
      <w:rFonts w:ascii="Calibri Light" w:hAnsi="Calibri Light"/>
      <w:b/>
      <w:bCs/>
      <w:sz w:val="32"/>
      <w:szCs w:val="32"/>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页脚 Char"/>
    <w:link w:val="2"/>
    <w:qFormat/>
    <w:uiPriority w:val="0"/>
    <w:rPr>
      <w:kern w:val="2"/>
      <w:sz w:val="18"/>
      <w:szCs w:val="18"/>
    </w:rPr>
  </w:style>
  <w:style w:type="character" w:customStyle="1" w:styleId="9">
    <w:name w:val="页眉 Char"/>
    <w:link w:val="3"/>
    <w:qFormat/>
    <w:uiPriority w:val="0"/>
    <w:rPr>
      <w:kern w:val="2"/>
      <w:sz w:val="18"/>
      <w:szCs w:val="18"/>
    </w:rPr>
  </w:style>
  <w:style w:type="character" w:customStyle="1" w:styleId="10">
    <w:name w:val="标题 Char"/>
    <w:link w:val="4"/>
    <w:qFormat/>
    <w:uiPriority w:val="0"/>
    <w:rPr>
      <w:rFonts w:ascii="Calibri Light" w:hAnsi="Calibri Light" w:cs="Times New Roman"/>
      <w:b/>
      <w:bCs/>
      <w:kern w:val="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594</Words>
  <Characters>3387</Characters>
  <Lines>28</Lines>
  <Paragraphs>7</Paragraphs>
  <TotalTime>7</TotalTime>
  <ScaleCrop>false</ScaleCrop>
  <LinksUpToDate>false</LinksUpToDate>
  <CharactersWithSpaces>3974</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2021-05-31T01:43:00Z</dcterms:created>
  <dc:creator>七号的雨</dc:creator>
  <cp:lastModifiedBy>Administrator</cp:lastModifiedBy>
  <dcterms:modified xsi:type="dcterms:W3CDTF">2023-11-08T06:41:27Z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B124A4D7DEAC4610A5141653F8E8BB65</vt:lpwstr>
  </property>
</Properties>
</file>