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宋体" w:hAnsi="宋体" w:eastAsia="宋体" w:cs="宋体"/>
          <w:b/>
          <w:color w:val="auto"/>
          <w:spacing w:val="0"/>
          <w:position w:val="0"/>
          <w:sz w:val="36"/>
          <w:szCs w:val="36"/>
          <w:shd w:val="clear" w:color="auto" w:fill="auto"/>
        </w:rPr>
      </w:pPr>
      <w:r>
        <w:rPr>
          <w:rFonts w:ascii="宋体" w:hAnsi="宋体" w:eastAsia="宋体" w:cs="宋体"/>
          <w:b/>
          <w:color w:val="auto"/>
          <w:spacing w:val="0"/>
          <w:position w:val="0"/>
          <w:sz w:val="36"/>
          <w:szCs w:val="36"/>
          <w:shd w:val="clear" w:color="auto" w:fill="auto"/>
        </w:rPr>
        <w:t>中共保定市满城区委网络安全和信息化委员会办公室</w:t>
      </w:r>
    </w:p>
    <w:p>
      <w:pPr>
        <w:spacing w:before="0" w:after="0" w:line="240" w:lineRule="auto"/>
        <w:ind w:left="0" w:right="0" w:firstLine="0"/>
        <w:jc w:val="center"/>
        <w:rPr>
          <w:rFonts w:ascii="宋体" w:hAnsi="宋体" w:eastAsia="宋体" w:cs="宋体"/>
          <w:b/>
          <w:color w:val="auto"/>
          <w:spacing w:val="0"/>
          <w:position w:val="0"/>
          <w:sz w:val="36"/>
          <w:szCs w:val="36"/>
          <w:shd w:val="clear" w:color="auto" w:fill="auto"/>
        </w:rPr>
      </w:pPr>
      <w:r>
        <w:rPr>
          <w:rFonts w:ascii="宋体" w:hAnsi="宋体" w:eastAsia="宋体" w:cs="宋体"/>
          <w:b/>
          <w:color w:val="auto"/>
          <w:spacing w:val="0"/>
          <w:position w:val="0"/>
          <w:sz w:val="36"/>
          <w:szCs w:val="36"/>
          <w:shd w:val="clear" w:color="auto" w:fill="auto"/>
        </w:rPr>
        <w:t>2021年部门预算信息公开</w:t>
      </w:r>
    </w:p>
    <w:p>
      <w:pPr>
        <w:spacing w:before="0" w:after="0" w:line="52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按照《</w:t>
      </w:r>
      <w:r>
        <w:rPr>
          <w:rFonts w:hint="eastAsia" w:ascii="仿宋_GB2312" w:hAnsi="仿宋_GB2312" w:eastAsia="仿宋_GB2312" w:cs="仿宋_GB2312"/>
          <w:color w:val="auto"/>
          <w:spacing w:val="0"/>
          <w:position w:val="0"/>
          <w:sz w:val="32"/>
          <w:shd w:val="clear" w:color="auto" w:fill="auto"/>
          <w:lang w:eastAsia="zh-CN"/>
        </w:rPr>
        <w:t>中华人民共和国</w:t>
      </w:r>
      <w:r>
        <w:rPr>
          <w:rFonts w:ascii="仿宋_GB2312" w:hAnsi="仿宋_GB2312" w:eastAsia="仿宋_GB2312" w:cs="仿宋_GB2312"/>
          <w:color w:val="auto"/>
          <w:spacing w:val="0"/>
          <w:position w:val="0"/>
          <w:sz w:val="32"/>
          <w:shd w:val="clear" w:color="auto" w:fill="auto"/>
        </w:rPr>
        <w:t>预算法》、《地方预决算公开操作规程》和《河北省省级预算公开办法》规定，现将满城区网信办2021年部门预算公开如下：</w:t>
      </w:r>
      <w:bookmarkStart w:id="5" w:name="_GoBack"/>
      <w:bookmarkEnd w:id="5"/>
    </w:p>
    <w:p>
      <w:pPr>
        <w:spacing w:before="0" w:after="0" w:line="240" w:lineRule="auto"/>
        <w:ind w:left="0" w:right="0" w:firstLine="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第一部分:部门职责及机构设置</w:t>
      </w:r>
    </w:p>
    <w:p>
      <w:pPr>
        <w:spacing w:before="0" w:after="0" w:line="520" w:lineRule="auto"/>
        <w:ind w:left="0" w:right="0" w:firstLine="64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一、部门职责</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1.负责处理区委网络安全和信息化委员会日常事务工作，协调督促有关方面落实委员会的有关决定和要求，督促落实涉及全区各个领域网络安全和信息化重要事项。</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2.贯彻执行互联网信息传播方针政策和法规；组织开展全区各个领域的网络安全和信息化重大问题研究；协调研究起草全区网络安全和信息化发展规划和重大政策，统筹推进全区网络安全和信息化法治、标准建设。</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3.统筹协调全区网络安全保障体系和可信体系建设，牵头协调有关部门制定相关行业网络安全规划及保障评价指标体系，协调信息安全保护工作；指导协调全区党政部门、重点行业网络安全保障和信息化工作，协调推动网络安全和信息化核心技术、关键设备等重大科技攻关，统筹指导全区网络安全和信息化推进工作；协调推动全区公共服务和社会治理信息化；统筹协调各行业主管部门加强全区网络安全信息共享和通报工作、做好网络安全和信息化重大突发事件与有关应急工作。</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4.负责全区互联网信息内容管理，统筹组织协调互联网宣传管理和舆论引导工作，组织开展网上评论，指导推动网络评论队伍建设，维护互联网意识形态安全；研究拟订互联网信息传播相关政策；负责互联网信息内容监督管理执法、组织开展网络舆论生态治理，依法指导和管理本区属地网站，会同有关部门处置和封堵网上有害信息，依照相关法律和规定查处违法违规行为和网站。负责指导协调全区网络舆情信息工作，收集、分析、研判、报送和处置网络舆情信息，依法规范舆情服务市场。组织开展互联网违法和不良信息举报工作。</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5.推动全区网络阵地建设和重点新闻网站规划建设，指导协调网络游戏、网络视听、网络出版等相关业务，推动移动互联网发展，会同有关部门推动传统媒体与新兴媒体融合发展；负责全区网站转载新闻稿源的管理。</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6.推动全区网络社会工作和网络文化、网络文明建设；发展、联系、服务网络社会组织，指导互联网行业自律，推进网站党建工作；组织开展相关领域国内国际交流与合作。</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7.落实国家互联网信息服务资本准入和信息网络行业安全审查的有关政策;依法负责全区网络新闻业务和论坛、博客、搜索引擎等具有新闻舆论及社会动员功能业务的日常监管；指导协调有关部门推进新技术新应用安全评估，统筹协调全区移动互联网管理。</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8.负责指导推进全区信息化工作，协调信息化建设中的重大问题，协助推进重大信息化工程；拟订全区信息化和电子政务发展规划，负责全区电子政务统筹建设和管理工作，协调推动跨行业、跨部门的互联互通；组织协调规划党政机关网规划建设；会同有关部门推进智慧城市建设；负责协调推动跨行业、跨部门的互联互通，推动重要信息资源的开发利用、共享。</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9.组织开展网信系统干部教育培训和人才队伍建设，规划指导全区互联网信息服务从业人员教育培训和考评工作，组织开展网络媒介素养教育；指导、检查各乡镇和有关部门网络安全和信息化工作，协调推动建立统一高效的网络安全风险报告机制、情报共享机制、研判处置机制。</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10.完成市委网络安全和信息化委员会办公室（市互联网信息办公室）和区委、区政府及区委网络安全和信息化委员会、区委宣传部交办的其他任务。</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黑体" w:hAnsi="黑体" w:eastAsia="黑体" w:cs="黑体"/>
          <w:color w:val="auto"/>
          <w:spacing w:val="0"/>
          <w:position w:val="0"/>
          <w:sz w:val="32"/>
          <w:shd w:val="clear" w:color="auto" w:fill="auto"/>
        </w:rPr>
        <w:t>二、机构设置</w:t>
      </w:r>
    </w:p>
    <w:p>
      <w:pPr>
        <w:spacing w:before="0" w:after="0" w:line="240" w:lineRule="auto"/>
        <w:ind w:left="0" w:right="0" w:firstLine="0"/>
        <w:jc w:val="center"/>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部门机构设置情况</w:t>
      </w:r>
    </w:p>
    <w:tbl>
      <w:tblPr>
        <w:tblStyle w:val="4"/>
        <w:tblW w:w="10817" w:type="dxa"/>
        <w:jc w:val="center"/>
        <w:tblLayout w:type="fixed"/>
        <w:tblCellMar>
          <w:top w:w="0" w:type="dxa"/>
          <w:left w:w="10" w:type="dxa"/>
          <w:bottom w:w="0" w:type="dxa"/>
          <w:right w:w="10" w:type="dxa"/>
        </w:tblCellMar>
      </w:tblPr>
      <w:tblGrid>
        <w:gridCol w:w="4111"/>
        <w:gridCol w:w="1994"/>
        <w:gridCol w:w="2356"/>
        <w:gridCol w:w="2356"/>
      </w:tblGrid>
      <w:tr>
        <w:tblPrEx>
          <w:tblCellMar>
            <w:top w:w="0" w:type="dxa"/>
            <w:left w:w="10" w:type="dxa"/>
            <w:bottom w:w="0" w:type="dxa"/>
            <w:right w:w="10" w:type="dxa"/>
          </w:tblCellMar>
        </w:tblPrEx>
        <w:trPr>
          <w:trHeight w:val="0" w:hRule="atLeast"/>
          <w:jc w:val="center"/>
        </w:trPr>
        <w:tc>
          <w:tcPr>
            <w:tcW w:w="411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单位名称</w:t>
            </w:r>
          </w:p>
        </w:tc>
        <w:tc>
          <w:tcPr>
            <w:tcW w:w="199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单位性质</w:t>
            </w:r>
          </w:p>
        </w:tc>
        <w:tc>
          <w:tcPr>
            <w:tcW w:w="235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单位规格</w:t>
            </w:r>
          </w:p>
        </w:tc>
        <w:tc>
          <w:tcPr>
            <w:tcW w:w="235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经费保障形式</w:t>
            </w:r>
          </w:p>
        </w:tc>
      </w:tr>
      <w:tr>
        <w:tblPrEx>
          <w:tblCellMar>
            <w:top w:w="0" w:type="dxa"/>
            <w:left w:w="10" w:type="dxa"/>
            <w:bottom w:w="0" w:type="dxa"/>
            <w:right w:w="10" w:type="dxa"/>
          </w:tblCellMar>
        </w:tblPrEx>
        <w:trPr>
          <w:trHeight w:val="1" w:hRule="atLeast"/>
          <w:jc w:val="center"/>
        </w:trPr>
        <w:tc>
          <w:tcPr>
            <w:tcW w:w="411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中共保定市满城区委网络安全和信息化委员会办公室</w:t>
            </w:r>
          </w:p>
        </w:tc>
        <w:tc>
          <w:tcPr>
            <w:tcW w:w="199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行政</w:t>
            </w:r>
          </w:p>
        </w:tc>
        <w:tc>
          <w:tcPr>
            <w:tcW w:w="235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正科级</w:t>
            </w:r>
          </w:p>
        </w:tc>
        <w:tc>
          <w:tcPr>
            <w:tcW w:w="235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color w:val="auto"/>
                <w:spacing w:val="0"/>
                <w:position w:val="0"/>
                <w:shd w:val="clear" w:color="auto" w:fill="auto"/>
              </w:rPr>
            </w:pPr>
            <w:r>
              <w:rPr>
                <w:rFonts w:ascii="仿宋_GB2312" w:hAnsi="仿宋_GB2312" w:eastAsia="仿宋_GB2312" w:cs="仿宋_GB2312"/>
                <w:color w:val="auto"/>
                <w:spacing w:val="0"/>
                <w:position w:val="0"/>
                <w:sz w:val="32"/>
                <w:shd w:val="clear" w:color="auto" w:fill="auto"/>
              </w:rPr>
              <w:t>财政拨款</w:t>
            </w:r>
          </w:p>
        </w:tc>
      </w:tr>
    </w:tbl>
    <w:p>
      <w:pPr>
        <w:spacing w:before="0" w:after="0" w:line="240" w:lineRule="auto"/>
        <w:ind w:left="0" w:right="0" w:firstLine="643"/>
        <w:jc w:val="center"/>
        <w:rPr>
          <w:rFonts w:ascii="宋体" w:hAnsi="宋体" w:eastAsia="宋体" w:cs="宋体"/>
          <w:b/>
          <w:color w:val="auto"/>
          <w:spacing w:val="0"/>
          <w:position w:val="0"/>
          <w:sz w:val="32"/>
          <w:shd w:val="clear" w:color="auto" w:fill="auto"/>
        </w:rPr>
      </w:pPr>
    </w:p>
    <w:p>
      <w:pPr>
        <w:spacing w:before="0" w:after="0" w:line="240" w:lineRule="auto"/>
        <w:ind w:left="0" w:right="0" w:firstLine="643"/>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第二部分：部门预算安排的总体情况</w:t>
      </w:r>
    </w:p>
    <w:p>
      <w:pPr>
        <w:spacing w:before="0" w:after="0" w:line="240" w:lineRule="auto"/>
        <w:ind w:left="0" w:right="0" w:firstLine="627"/>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一、收入说明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2021年网信办年初部门收入预算总额为</w:t>
      </w:r>
      <w:r>
        <w:rPr>
          <w:rFonts w:hint="eastAsia" w:ascii="仿宋_GB2312" w:hAnsi="仿宋_GB2312" w:eastAsia="仿宋_GB2312" w:cs="仿宋_GB2312"/>
          <w:color w:val="auto"/>
          <w:spacing w:val="0"/>
          <w:position w:val="0"/>
          <w:sz w:val="32"/>
          <w:shd w:val="clear" w:color="auto" w:fill="auto"/>
        </w:rPr>
        <w:t>107.16</w:t>
      </w:r>
      <w:r>
        <w:rPr>
          <w:rFonts w:ascii="仿宋_GB2312" w:hAnsi="仿宋_GB2312" w:eastAsia="仿宋_GB2312" w:cs="仿宋_GB2312"/>
          <w:color w:val="auto"/>
          <w:spacing w:val="0"/>
          <w:position w:val="0"/>
          <w:sz w:val="32"/>
          <w:shd w:val="clear" w:color="auto" w:fill="auto"/>
        </w:rPr>
        <w:t>万元。其中：一般公共预算收入</w:t>
      </w:r>
      <w:r>
        <w:rPr>
          <w:rFonts w:hint="eastAsia" w:ascii="仿宋_GB2312" w:hAnsi="仿宋_GB2312" w:eastAsia="仿宋_GB2312" w:cs="仿宋_GB2312"/>
          <w:color w:val="auto"/>
          <w:spacing w:val="0"/>
          <w:position w:val="0"/>
          <w:sz w:val="32"/>
          <w:shd w:val="clear" w:color="auto" w:fill="auto"/>
        </w:rPr>
        <w:t>107.16</w:t>
      </w:r>
      <w:r>
        <w:rPr>
          <w:rFonts w:ascii="仿宋_GB2312" w:hAnsi="仿宋_GB2312" w:eastAsia="仿宋_GB2312" w:cs="仿宋_GB2312"/>
          <w:color w:val="auto"/>
          <w:spacing w:val="0"/>
          <w:position w:val="0"/>
          <w:sz w:val="32"/>
          <w:shd w:val="clear" w:color="auto" w:fill="auto"/>
        </w:rPr>
        <w:t>万元。</w:t>
      </w:r>
    </w:p>
    <w:p>
      <w:pPr>
        <w:spacing w:before="0" w:after="0" w:line="240" w:lineRule="auto"/>
        <w:ind w:left="0" w:right="0" w:firstLine="643"/>
        <w:jc w:val="both"/>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二、支出说明</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202</w:t>
      </w:r>
      <w:r>
        <w:rPr>
          <w:rFonts w:hint="eastAsia" w:ascii="仿宋_GB2312" w:hAnsi="仿宋_GB2312" w:eastAsia="仿宋_GB2312" w:cs="仿宋_GB2312"/>
          <w:color w:val="auto"/>
          <w:spacing w:val="0"/>
          <w:position w:val="0"/>
          <w:sz w:val="32"/>
          <w:shd w:val="clear" w:color="auto" w:fill="auto"/>
          <w:lang w:val="en-US" w:eastAsia="zh-CN"/>
        </w:rPr>
        <w:t>1</w:t>
      </w:r>
      <w:r>
        <w:rPr>
          <w:rFonts w:ascii="仿宋_GB2312" w:hAnsi="仿宋_GB2312" w:eastAsia="仿宋_GB2312" w:cs="仿宋_GB2312"/>
          <w:color w:val="auto"/>
          <w:spacing w:val="0"/>
          <w:position w:val="0"/>
          <w:sz w:val="32"/>
          <w:shd w:val="clear" w:color="auto" w:fill="auto"/>
        </w:rPr>
        <w:t>年部门支出安排预算总额：</w:t>
      </w:r>
      <w:r>
        <w:rPr>
          <w:rFonts w:hint="eastAsia" w:ascii="仿宋_GB2312" w:hAnsi="仿宋_GB2312" w:eastAsia="仿宋_GB2312" w:cs="仿宋_GB2312"/>
          <w:color w:val="auto"/>
          <w:spacing w:val="0"/>
          <w:position w:val="0"/>
          <w:sz w:val="32"/>
          <w:shd w:val="clear" w:color="auto" w:fill="auto"/>
          <w:lang w:val="en-US" w:eastAsia="zh-CN"/>
        </w:rPr>
        <w:t>107</w:t>
      </w:r>
      <w:r>
        <w:rPr>
          <w:rFonts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16</w:t>
      </w:r>
      <w:r>
        <w:rPr>
          <w:rFonts w:ascii="仿宋_GB2312" w:hAnsi="仿宋_GB2312" w:eastAsia="仿宋_GB2312" w:cs="仿宋_GB2312"/>
          <w:color w:val="auto"/>
          <w:spacing w:val="0"/>
          <w:position w:val="0"/>
          <w:sz w:val="32"/>
          <w:shd w:val="clear" w:color="auto" w:fill="auto"/>
        </w:rPr>
        <w:t>万元。</w:t>
      </w:r>
    </w:p>
    <w:p>
      <w:pPr>
        <w:pStyle w:val="2"/>
        <w:rPr>
          <w:rFonts w:hint="default" w:eastAsia="仿宋_GB2312"/>
          <w:lang w:val="en-US" w:eastAsia="zh-CN"/>
        </w:rPr>
      </w:pPr>
      <w:r>
        <w:rPr>
          <w:rFonts w:hint="eastAsia" w:ascii="仿宋_GB2312" w:hAnsi="仿宋_GB2312" w:eastAsia="仿宋_GB2312" w:cs="仿宋_GB2312"/>
          <w:color w:val="auto"/>
          <w:spacing w:val="0"/>
          <w:position w:val="0"/>
          <w:sz w:val="32"/>
          <w:shd w:val="clear" w:color="auto" w:fill="auto"/>
          <w:lang w:val="en-US" w:eastAsia="zh-CN"/>
        </w:rPr>
        <w:t xml:space="preserve">    1、基本支出71.16万元</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其中：人员经费</w:t>
      </w:r>
      <w:r>
        <w:rPr>
          <w:rFonts w:hint="eastAsia" w:ascii="仿宋_GB2312" w:hAnsi="仿宋_GB2312" w:eastAsia="仿宋_GB2312" w:cs="仿宋_GB2312"/>
          <w:color w:val="auto"/>
          <w:spacing w:val="0"/>
          <w:position w:val="0"/>
          <w:sz w:val="32"/>
          <w:shd w:val="clear" w:color="auto" w:fill="auto"/>
          <w:lang w:val="en-US" w:eastAsia="zh-CN"/>
        </w:rPr>
        <w:t>61</w:t>
      </w:r>
      <w:r>
        <w:rPr>
          <w:rFonts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4</w:t>
      </w:r>
      <w:r>
        <w:rPr>
          <w:rFonts w:ascii="仿宋_GB2312" w:hAnsi="仿宋_GB2312" w:eastAsia="仿宋_GB2312" w:cs="仿宋_GB2312"/>
          <w:color w:val="auto"/>
          <w:spacing w:val="0"/>
          <w:position w:val="0"/>
          <w:sz w:val="32"/>
          <w:shd w:val="clear" w:color="auto" w:fill="auto"/>
        </w:rPr>
        <w:t>万元</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 xml:space="preserve">      日常公用经费</w:t>
      </w:r>
      <w:r>
        <w:rPr>
          <w:rFonts w:hint="eastAsia" w:ascii="仿宋_GB2312" w:hAnsi="仿宋_GB2312" w:eastAsia="仿宋_GB2312" w:cs="仿宋_GB2312"/>
          <w:color w:val="auto"/>
          <w:spacing w:val="0"/>
          <w:position w:val="0"/>
          <w:sz w:val="32"/>
          <w:shd w:val="clear" w:color="auto" w:fill="auto"/>
          <w:lang w:val="en-US" w:eastAsia="zh-CN"/>
        </w:rPr>
        <w:t>9</w:t>
      </w:r>
      <w:r>
        <w:rPr>
          <w:rFonts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76</w:t>
      </w:r>
      <w:r>
        <w:rPr>
          <w:rFonts w:ascii="仿宋_GB2312" w:hAnsi="仿宋_GB2312" w:eastAsia="仿宋_GB2312" w:cs="仿宋_GB2312"/>
          <w:color w:val="auto"/>
          <w:spacing w:val="0"/>
          <w:position w:val="0"/>
          <w:sz w:val="32"/>
          <w:shd w:val="clear" w:color="auto" w:fill="auto"/>
        </w:rPr>
        <w:t>万元</w:t>
      </w:r>
    </w:p>
    <w:p>
      <w:pPr>
        <w:pStyle w:val="2"/>
        <w:rPr>
          <w:rFonts w:ascii="宋体" w:hAnsi="宋体" w:eastAsia="宋体" w:cs="宋体"/>
          <w:color w:val="auto"/>
          <w:spacing w:val="0"/>
          <w:position w:val="0"/>
          <w:sz w:val="21"/>
          <w:shd w:val="clear" w:color="auto" w:fill="auto"/>
        </w:rPr>
      </w:pPr>
      <w:r>
        <w:rPr>
          <w:rFonts w:hint="eastAsia" w:ascii="仿宋_GB2312" w:hAnsi="仿宋_GB2312" w:eastAsia="仿宋_GB2312" w:cs="仿宋_GB2312"/>
          <w:color w:val="auto"/>
          <w:spacing w:val="0"/>
          <w:position w:val="0"/>
          <w:sz w:val="32"/>
          <w:shd w:val="clear" w:color="auto" w:fill="auto"/>
          <w:lang w:val="en-US" w:eastAsia="zh-CN"/>
        </w:rPr>
        <w:t xml:space="preserve">    2、项目支出36</w:t>
      </w:r>
      <w:r>
        <w:rPr>
          <w:rFonts w:ascii="仿宋_GB2312" w:hAnsi="仿宋_GB2312" w:eastAsia="仿宋_GB2312" w:cs="仿宋_GB2312"/>
          <w:color w:val="auto"/>
          <w:spacing w:val="0"/>
          <w:position w:val="0"/>
          <w:sz w:val="32"/>
          <w:shd w:val="clear" w:color="auto" w:fill="auto"/>
        </w:rPr>
        <w:t>万元</w:t>
      </w:r>
    </w:p>
    <w:p>
      <w:pPr>
        <w:spacing w:before="0" w:after="0" w:line="240" w:lineRule="auto"/>
        <w:ind w:left="0" w:right="0" w:firstLine="630"/>
        <w:jc w:val="both"/>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三、比上年增减情况</w:t>
      </w:r>
    </w:p>
    <w:p>
      <w:pPr>
        <w:tabs>
          <w:tab w:val="left" w:pos="916"/>
        </w:tabs>
        <w:spacing w:before="0" w:after="0" w:line="560" w:lineRule="auto"/>
        <w:ind w:left="0" w:right="0" w:firstLine="640"/>
        <w:jc w:val="left"/>
        <w:rPr>
          <w:rFonts w:hint="eastAsia" w:ascii="仿宋_GB2312" w:hAnsi="仿宋_GB2312" w:eastAsia="仿宋_GB2312" w:cs="仿宋_GB2312"/>
          <w:color w:val="auto"/>
          <w:spacing w:val="0"/>
          <w:position w:val="0"/>
          <w:sz w:val="32"/>
          <w:shd w:val="clear" w:color="auto" w:fill="auto"/>
          <w:lang w:val="en-US" w:eastAsia="zh-CN"/>
        </w:rPr>
      </w:pPr>
      <w:r>
        <w:rPr>
          <w:rFonts w:ascii="仿宋_GB2312" w:hAnsi="仿宋_GB2312" w:eastAsia="仿宋_GB2312" w:cs="仿宋_GB2312"/>
          <w:color w:val="auto"/>
          <w:spacing w:val="0"/>
          <w:position w:val="0"/>
          <w:sz w:val="32"/>
          <w:shd w:val="clear" w:color="auto" w:fill="auto"/>
        </w:rPr>
        <w:t>20</w:t>
      </w:r>
      <w:r>
        <w:rPr>
          <w:rFonts w:hint="eastAsia" w:ascii="仿宋_GB2312" w:hAnsi="仿宋_GB2312" w:eastAsia="仿宋_GB2312" w:cs="仿宋_GB2312"/>
          <w:color w:val="auto"/>
          <w:spacing w:val="0"/>
          <w:position w:val="0"/>
          <w:sz w:val="32"/>
          <w:shd w:val="clear" w:color="auto" w:fill="auto"/>
          <w:lang w:val="en-US" w:eastAsia="zh-CN"/>
        </w:rPr>
        <w:t>21</w:t>
      </w:r>
      <w:r>
        <w:rPr>
          <w:rFonts w:ascii="仿宋_GB2312" w:hAnsi="仿宋_GB2312" w:eastAsia="仿宋_GB2312" w:cs="仿宋_GB2312"/>
          <w:color w:val="auto"/>
          <w:spacing w:val="0"/>
          <w:position w:val="0"/>
          <w:sz w:val="32"/>
          <w:shd w:val="clear" w:color="auto" w:fill="auto"/>
        </w:rPr>
        <w:t>年</w:t>
      </w:r>
      <w:r>
        <w:rPr>
          <w:rFonts w:hint="eastAsia" w:ascii="仿宋_GB2312" w:hAnsi="仿宋_GB2312" w:eastAsia="仿宋_GB2312" w:cs="仿宋_GB2312"/>
          <w:color w:val="auto"/>
          <w:spacing w:val="0"/>
          <w:position w:val="0"/>
          <w:sz w:val="32"/>
          <w:shd w:val="clear" w:color="auto" w:fill="auto"/>
          <w:lang w:val="en-US" w:eastAsia="zh-CN"/>
        </w:rPr>
        <w:t>度部门</w:t>
      </w:r>
      <w:r>
        <w:rPr>
          <w:rFonts w:ascii="仿宋_GB2312" w:hAnsi="仿宋_GB2312" w:eastAsia="仿宋_GB2312" w:cs="仿宋_GB2312"/>
          <w:color w:val="auto"/>
          <w:spacing w:val="0"/>
          <w:position w:val="0"/>
          <w:sz w:val="32"/>
          <w:shd w:val="clear" w:color="auto" w:fill="auto"/>
        </w:rPr>
        <w:t>预算</w:t>
      </w:r>
      <w:r>
        <w:rPr>
          <w:rFonts w:hint="eastAsia" w:ascii="仿宋_GB2312" w:hAnsi="仿宋_GB2312" w:eastAsia="仿宋_GB2312" w:cs="仿宋_GB2312"/>
          <w:color w:val="auto"/>
          <w:spacing w:val="0"/>
          <w:position w:val="0"/>
          <w:sz w:val="32"/>
          <w:shd w:val="clear" w:color="auto" w:fill="auto"/>
          <w:lang w:val="en-US" w:eastAsia="zh-CN"/>
        </w:rPr>
        <w:t>收支安排107.16万元，较</w:t>
      </w:r>
      <w:r>
        <w:rPr>
          <w:rFonts w:ascii="仿宋_GB2312" w:hAnsi="仿宋_GB2312" w:eastAsia="仿宋_GB2312" w:cs="仿宋_GB2312"/>
          <w:color w:val="auto"/>
          <w:spacing w:val="0"/>
          <w:position w:val="0"/>
          <w:sz w:val="32"/>
          <w:shd w:val="clear" w:color="auto" w:fill="auto"/>
        </w:rPr>
        <w:t>20</w:t>
      </w:r>
      <w:r>
        <w:rPr>
          <w:rFonts w:hint="eastAsia" w:ascii="仿宋_GB2312" w:hAnsi="仿宋_GB2312" w:eastAsia="仿宋_GB2312" w:cs="仿宋_GB2312"/>
          <w:color w:val="auto"/>
          <w:spacing w:val="0"/>
          <w:position w:val="0"/>
          <w:sz w:val="32"/>
          <w:shd w:val="clear" w:color="auto" w:fill="auto"/>
          <w:lang w:val="en-US" w:eastAsia="zh-CN"/>
        </w:rPr>
        <w:t>20</w:t>
      </w:r>
      <w:r>
        <w:rPr>
          <w:rFonts w:ascii="仿宋_GB2312" w:hAnsi="仿宋_GB2312" w:eastAsia="仿宋_GB2312" w:cs="仿宋_GB2312"/>
          <w:color w:val="auto"/>
          <w:spacing w:val="0"/>
          <w:position w:val="0"/>
          <w:sz w:val="32"/>
          <w:shd w:val="clear" w:color="auto" w:fill="auto"/>
        </w:rPr>
        <w:t>年</w:t>
      </w:r>
      <w:r>
        <w:rPr>
          <w:rFonts w:hint="eastAsia" w:ascii="仿宋_GB2312" w:hAnsi="仿宋_GB2312" w:eastAsia="仿宋_GB2312" w:cs="仿宋_GB2312"/>
          <w:color w:val="auto"/>
          <w:spacing w:val="0"/>
          <w:position w:val="0"/>
          <w:sz w:val="32"/>
          <w:shd w:val="clear" w:color="auto" w:fill="auto"/>
          <w:lang w:val="en-US" w:eastAsia="zh-CN"/>
        </w:rPr>
        <w:t>度预算增加了34.53万元。其中，基本支出71.16万元，比2020年增加13.53万元，主要原因为增员增资；项目支出36万元，比2020年增加21万元，主要原因为专项项目增加。</w:t>
      </w:r>
    </w:p>
    <w:p>
      <w:pPr>
        <w:tabs>
          <w:tab w:val="left" w:pos="916"/>
        </w:tabs>
        <w:spacing w:before="0" w:after="0" w:line="560" w:lineRule="auto"/>
        <w:ind w:left="0" w:right="0" w:firstLine="640"/>
        <w:jc w:val="left"/>
        <w:rPr>
          <w:rFonts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lang w:val="en-US" w:eastAsia="zh-CN"/>
        </w:rPr>
        <w:t>2021年</w:t>
      </w:r>
      <w:r>
        <w:rPr>
          <w:rFonts w:ascii="仿宋_GB2312" w:hAnsi="仿宋_GB2312" w:eastAsia="仿宋_GB2312" w:cs="仿宋_GB2312"/>
          <w:color w:val="auto"/>
          <w:spacing w:val="0"/>
          <w:position w:val="0"/>
          <w:sz w:val="32"/>
          <w:shd w:val="clear" w:color="auto" w:fill="auto"/>
        </w:rPr>
        <w:t>我办的各项支出将以全面贯彻党和国家有关政策、认真遵守财经纪律为准则，严格按预算规定的标准、用途执行，做到经费按进度，专款专用，力争全面提高资金的使用效率。</w:t>
      </w:r>
    </w:p>
    <w:p>
      <w:pPr>
        <w:spacing w:before="0" w:after="0" w:line="240" w:lineRule="auto"/>
        <w:ind w:left="0" w:right="0" w:firstLine="643"/>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第三部分：机关运行经费安排情况</w:t>
      </w:r>
    </w:p>
    <w:p>
      <w:pPr>
        <w:widowControl w:val="0"/>
        <w:spacing w:before="0" w:after="0" w:line="540" w:lineRule="auto"/>
        <w:ind w:left="0" w:right="0" w:firstLine="640"/>
        <w:jc w:val="both"/>
        <w:rPr>
          <w:rFonts w:ascii="Calibri" w:hAnsi="Calibri" w:eastAsia="Calibri" w:cs="Calibri"/>
          <w:color w:val="auto"/>
          <w:spacing w:val="0"/>
          <w:position w:val="0"/>
          <w:sz w:val="21"/>
          <w:shd w:val="clear" w:color="auto" w:fill="auto"/>
        </w:rPr>
      </w:pPr>
      <w:r>
        <w:rPr>
          <w:rFonts w:ascii="仿宋_GB2312" w:hAnsi="仿宋_GB2312" w:eastAsia="仿宋_GB2312" w:cs="仿宋_GB2312"/>
          <w:color w:val="auto"/>
          <w:spacing w:val="0"/>
          <w:position w:val="0"/>
          <w:sz w:val="32"/>
          <w:shd w:val="clear" w:color="auto" w:fill="auto"/>
        </w:rPr>
        <w:t>202</w:t>
      </w:r>
      <w:r>
        <w:rPr>
          <w:rFonts w:hint="eastAsia" w:ascii="仿宋_GB2312" w:hAnsi="仿宋_GB2312" w:eastAsia="仿宋_GB2312" w:cs="仿宋_GB2312"/>
          <w:color w:val="auto"/>
          <w:spacing w:val="0"/>
          <w:position w:val="0"/>
          <w:sz w:val="32"/>
          <w:shd w:val="clear" w:color="auto" w:fill="auto"/>
          <w:lang w:val="en-US" w:eastAsia="zh-CN"/>
        </w:rPr>
        <w:t>1</w:t>
      </w:r>
      <w:r>
        <w:rPr>
          <w:rFonts w:ascii="仿宋_GB2312" w:hAnsi="仿宋_GB2312" w:eastAsia="仿宋_GB2312" w:cs="仿宋_GB2312"/>
          <w:color w:val="auto"/>
          <w:spacing w:val="0"/>
          <w:position w:val="0"/>
          <w:sz w:val="32"/>
          <w:shd w:val="clear" w:color="auto" w:fill="auto"/>
        </w:rPr>
        <w:t>年机关运行经费安排</w:t>
      </w:r>
      <w:r>
        <w:rPr>
          <w:rFonts w:hint="eastAsia" w:ascii="仿宋_GB2312" w:hAnsi="仿宋_GB2312" w:eastAsia="仿宋_GB2312" w:cs="仿宋_GB2312"/>
          <w:color w:val="auto"/>
          <w:spacing w:val="0"/>
          <w:position w:val="0"/>
          <w:sz w:val="32"/>
          <w:shd w:val="clear" w:color="auto" w:fill="auto"/>
          <w:lang w:val="en-US" w:eastAsia="zh-CN"/>
        </w:rPr>
        <w:t>9</w:t>
      </w:r>
      <w:r>
        <w:rPr>
          <w:rFonts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76</w:t>
      </w:r>
      <w:r>
        <w:rPr>
          <w:rFonts w:ascii="仿宋_GB2312" w:hAnsi="仿宋_GB2312" w:eastAsia="仿宋_GB2312" w:cs="仿宋_GB2312"/>
          <w:color w:val="auto"/>
          <w:spacing w:val="0"/>
          <w:position w:val="0"/>
          <w:sz w:val="32"/>
          <w:shd w:val="clear" w:color="auto" w:fill="auto"/>
        </w:rPr>
        <w:t>万元，其中办公费0.</w:t>
      </w:r>
      <w:r>
        <w:rPr>
          <w:rFonts w:hint="eastAsia" w:ascii="仿宋_GB2312" w:hAnsi="仿宋_GB2312" w:eastAsia="仿宋_GB2312" w:cs="仿宋_GB2312"/>
          <w:color w:val="auto"/>
          <w:spacing w:val="0"/>
          <w:position w:val="0"/>
          <w:sz w:val="32"/>
          <w:shd w:val="clear" w:color="auto" w:fill="auto"/>
          <w:lang w:val="en-US" w:eastAsia="zh-CN"/>
        </w:rPr>
        <w:t>42</w:t>
      </w:r>
      <w:r>
        <w:rPr>
          <w:rFonts w:ascii="仿宋_GB2312" w:hAnsi="仿宋_GB2312" w:eastAsia="仿宋_GB2312" w:cs="仿宋_GB2312"/>
          <w:color w:val="auto"/>
          <w:spacing w:val="0"/>
          <w:position w:val="0"/>
          <w:sz w:val="32"/>
          <w:shd w:val="clear" w:color="auto" w:fill="auto"/>
        </w:rPr>
        <w:t>万元，邮电费2.</w:t>
      </w:r>
      <w:r>
        <w:rPr>
          <w:rFonts w:hint="eastAsia" w:ascii="仿宋_GB2312" w:hAnsi="仿宋_GB2312" w:eastAsia="仿宋_GB2312" w:cs="仿宋_GB2312"/>
          <w:color w:val="auto"/>
          <w:spacing w:val="0"/>
          <w:position w:val="0"/>
          <w:sz w:val="32"/>
          <w:shd w:val="clear" w:color="auto" w:fill="auto"/>
          <w:lang w:val="en-US" w:eastAsia="zh-CN"/>
        </w:rPr>
        <w:t>76</w:t>
      </w:r>
      <w:r>
        <w:rPr>
          <w:rFonts w:ascii="仿宋_GB2312" w:hAnsi="仿宋_GB2312" w:eastAsia="仿宋_GB2312" w:cs="仿宋_GB2312"/>
          <w:color w:val="auto"/>
          <w:spacing w:val="0"/>
          <w:position w:val="0"/>
          <w:sz w:val="32"/>
          <w:shd w:val="clear" w:color="auto" w:fill="auto"/>
        </w:rPr>
        <w:t>万元，公务用车运行维护费2万元，公务接待费0.1</w:t>
      </w:r>
      <w:r>
        <w:rPr>
          <w:rFonts w:hint="eastAsia" w:ascii="仿宋_GB2312" w:hAnsi="仿宋_GB2312" w:eastAsia="仿宋_GB2312" w:cs="仿宋_GB2312"/>
          <w:color w:val="auto"/>
          <w:spacing w:val="0"/>
          <w:position w:val="0"/>
          <w:sz w:val="32"/>
          <w:shd w:val="clear" w:color="auto" w:fill="auto"/>
          <w:lang w:val="en-US" w:eastAsia="zh-CN"/>
        </w:rPr>
        <w:t>9</w:t>
      </w:r>
      <w:r>
        <w:rPr>
          <w:rFonts w:ascii="仿宋_GB2312" w:hAnsi="仿宋_GB2312" w:eastAsia="仿宋_GB2312" w:cs="仿宋_GB2312"/>
          <w:color w:val="auto"/>
          <w:spacing w:val="0"/>
          <w:position w:val="0"/>
          <w:sz w:val="32"/>
          <w:shd w:val="clear" w:color="auto" w:fill="auto"/>
        </w:rPr>
        <w:t>万元，其他交通费</w:t>
      </w:r>
      <w:r>
        <w:rPr>
          <w:rFonts w:hint="eastAsia" w:ascii="仿宋_GB2312" w:hAnsi="仿宋_GB2312" w:eastAsia="仿宋_GB2312" w:cs="仿宋_GB2312"/>
          <w:color w:val="auto"/>
          <w:spacing w:val="0"/>
          <w:position w:val="0"/>
          <w:sz w:val="32"/>
          <w:shd w:val="clear" w:color="auto" w:fill="auto"/>
          <w:lang w:val="en-US" w:eastAsia="zh-CN"/>
        </w:rPr>
        <w:t>3</w:t>
      </w:r>
      <w:r>
        <w:rPr>
          <w:rFonts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42</w:t>
      </w:r>
      <w:r>
        <w:rPr>
          <w:rFonts w:ascii="仿宋_GB2312" w:hAnsi="仿宋_GB2312" w:eastAsia="仿宋_GB2312" w:cs="仿宋_GB2312"/>
          <w:color w:val="auto"/>
          <w:spacing w:val="0"/>
          <w:position w:val="0"/>
          <w:sz w:val="32"/>
          <w:shd w:val="clear" w:color="auto" w:fill="auto"/>
        </w:rPr>
        <w:t>万元。</w:t>
      </w:r>
    </w:p>
    <w:p>
      <w:pPr>
        <w:widowControl w:val="0"/>
        <w:spacing w:before="100" w:after="100" w:line="420" w:lineRule="auto"/>
        <w:ind w:left="0" w:right="0" w:firstLine="630"/>
        <w:jc w:val="center"/>
        <w:rPr>
          <w:rFonts w:ascii="宋体" w:hAnsi="宋体" w:eastAsia="宋体" w:cs="宋体"/>
          <w:color w:val="000000"/>
          <w:spacing w:val="0"/>
          <w:position w:val="0"/>
          <w:sz w:val="24"/>
          <w:shd w:val="clear" w:color="auto" w:fill="auto"/>
        </w:rPr>
      </w:pPr>
      <w:r>
        <w:rPr>
          <w:rFonts w:ascii="宋体" w:hAnsi="宋体" w:eastAsia="宋体" w:cs="宋体"/>
          <w:b/>
          <w:color w:val="000000"/>
          <w:spacing w:val="0"/>
          <w:position w:val="0"/>
          <w:sz w:val="32"/>
          <w:shd w:val="clear" w:color="auto" w:fill="auto"/>
        </w:rPr>
        <w:t>第四部分：财政拨款“三公”经费预算情况</w:t>
      </w:r>
    </w:p>
    <w:tbl>
      <w:tblPr>
        <w:tblStyle w:val="4"/>
        <w:tblW w:w="9855" w:type="dxa"/>
        <w:jc w:val="center"/>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jc w:val="center"/>
        </w:trPr>
        <w:tc>
          <w:tcPr>
            <w:tcW w:w="9855" w:type="dxa"/>
            <w:gridSpan w:val="7"/>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893" w:type="dxa"/>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jc w:val="center"/>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rPr>
              <w:t>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r>
              <w:rPr>
                <w:rFonts w:hint="eastAsia" w:ascii="宋体" w:hAnsi="宋体" w:cs="宋体"/>
                <w:color w:val="000000"/>
                <w:kern w:val="0"/>
                <w:sz w:val="24"/>
                <w:szCs w:val="24"/>
                <w:lang w:val="en-US" w:eastAsia="zh-CN"/>
              </w:rPr>
              <w:t>21</w:t>
            </w:r>
            <w:r>
              <w:rPr>
                <w:rFonts w:hint="eastAsia" w:ascii="宋体" w:hAnsi="宋体" w:cs="宋体"/>
                <w:color w:val="000000"/>
                <w:kern w:val="0"/>
                <w:sz w:val="24"/>
                <w:szCs w:val="24"/>
              </w:rPr>
              <w:t>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ascii="宋体" w:hAnsi="宋体" w:cs="宋体"/>
                <w:color w:val="000000"/>
                <w:kern w:val="0"/>
                <w:szCs w:val="21"/>
              </w:rPr>
              <w:t>无增减变化</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2.5</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-0.5</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公车预算制度变化。</w:t>
            </w:r>
          </w:p>
        </w:tc>
      </w:tr>
      <w:tr>
        <w:tblPrEx>
          <w:tblCellMar>
            <w:top w:w="0" w:type="dxa"/>
            <w:left w:w="108" w:type="dxa"/>
            <w:bottom w:w="0" w:type="dxa"/>
            <w:right w:w="108" w:type="dxa"/>
          </w:tblCellMar>
        </w:tblPrEx>
        <w:trPr>
          <w:trHeight w:val="493"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0.16</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rPr>
            </w:pPr>
            <w:r>
              <w:rPr>
                <w:rFonts w:hint="eastAsia" w:ascii="宋体" w:hAnsi="宋体" w:cs="宋体"/>
                <w:color w:val="000000"/>
                <w:kern w:val="0"/>
                <w:sz w:val="24"/>
                <w:szCs w:val="24"/>
              </w:rPr>
              <w:t>0.</w:t>
            </w:r>
            <w:r>
              <w:rPr>
                <w:rFonts w:hint="eastAsia" w:ascii="宋体" w:hAnsi="宋体" w:cs="宋体"/>
                <w:color w:val="000000"/>
                <w:kern w:val="0"/>
                <w:sz w:val="24"/>
                <w:szCs w:val="24"/>
                <w:lang w:val="en-US" w:eastAsia="zh-CN"/>
              </w:rPr>
              <w:t>19</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0.</w:t>
            </w:r>
            <w:r>
              <w:rPr>
                <w:rFonts w:hint="eastAsia" w:ascii="宋体" w:hAnsi="宋体" w:cs="宋体"/>
                <w:color w:val="000000"/>
                <w:kern w:val="0"/>
                <w:sz w:val="24"/>
                <w:szCs w:val="24"/>
                <w:lang w:val="en-US" w:eastAsia="zh-CN"/>
              </w:rPr>
              <w:t>03</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宋体" w:hAnsi="宋体" w:cs="宋体"/>
                <w:color w:val="000000"/>
                <w:kern w:val="0"/>
                <w:szCs w:val="21"/>
                <w:lang w:val="en-US"/>
              </w:rPr>
            </w:pPr>
            <w:r>
              <w:rPr>
                <w:rFonts w:hint="eastAsia" w:ascii="宋体" w:hAnsi="宋体" w:cs="宋体"/>
                <w:color w:val="000000"/>
                <w:kern w:val="0"/>
                <w:szCs w:val="21"/>
                <w:lang w:val="en-US" w:eastAsia="zh-CN"/>
              </w:rPr>
              <w:t>按比例计提</w:t>
            </w:r>
          </w:p>
        </w:tc>
      </w:tr>
      <w:tr>
        <w:tblPrEx>
          <w:tblCellMar>
            <w:top w:w="0" w:type="dxa"/>
            <w:left w:w="108" w:type="dxa"/>
            <w:bottom w:w="0" w:type="dxa"/>
            <w:right w:w="108" w:type="dxa"/>
          </w:tblCellMar>
        </w:tblPrEx>
        <w:trPr>
          <w:trHeight w:val="737" w:hRule="atLeast"/>
          <w:jc w:val="center"/>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2.66</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2.19</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-0.47</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lang w:val="en-US" w:eastAsia="zh-CN"/>
              </w:rPr>
              <w:t>见细项说明</w:t>
            </w:r>
            <w:r>
              <w:rPr>
                <w:rFonts w:hint="eastAsia" w:ascii="宋体" w:hAnsi="宋体" w:cs="宋体"/>
                <w:color w:val="000000"/>
                <w:kern w:val="0"/>
                <w:szCs w:val="21"/>
              </w:rPr>
              <w:t>。</w:t>
            </w:r>
          </w:p>
        </w:tc>
      </w:tr>
    </w:tbl>
    <w:p>
      <w:pPr>
        <w:spacing w:before="0" w:after="0" w:line="240" w:lineRule="auto"/>
        <w:ind w:left="0" w:right="0" w:firstLine="0"/>
        <w:jc w:val="center"/>
        <w:rPr>
          <w:rFonts w:ascii="宋体" w:hAnsi="宋体" w:eastAsia="宋体" w:cs="宋体"/>
          <w:b/>
          <w:color w:val="auto"/>
          <w:spacing w:val="0"/>
          <w:position w:val="0"/>
          <w:sz w:val="32"/>
          <w:shd w:val="clear" w:color="auto" w:fill="auto"/>
        </w:rPr>
      </w:pPr>
    </w:p>
    <w:p>
      <w:pPr>
        <w:spacing w:before="0" w:after="0" w:line="240" w:lineRule="auto"/>
        <w:ind w:left="0" w:right="0" w:firstLine="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第五部分：绩效预算信息</w:t>
      </w:r>
    </w:p>
    <w:p>
      <w:pPr>
        <w:widowControl w:val="0"/>
        <w:spacing w:before="0" w:after="0" w:line="540" w:lineRule="auto"/>
        <w:ind w:left="0" w:right="0" w:firstLine="640"/>
        <w:jc w:val="both"/>
        <w:rPr>
          <w:rFonts w:hAnsi="宋体"/>
          <w:sz w:val="44"/>
        </w:rPr>
      </w:pPr>
      <w:r>
        <w:rPr>
          <w:rFonts w:hint="eastAsia" w:ascii="仿宋_GB2312" w:hAnsi="仿宋_GB2312" w:eastAsia="仿宋_GB2312" w:cs="仿宋_GB2312"/>
          <w:color w:val="auto"/>
          <w:spacing w:val="0"/>
          <w:position w:val="0"/>
          <w:sz w:val="32"/>
          <w:shd w:val="clear" w:color="auto" w:fill="auto"/>
          <w:lang w:val="en-US" w:eastAsia="zh-CN"/>
        </w:rPr>
        <w:t>部门整体绩效目标</w:t>
      </w:r>
      <w:r>
        <w:rPr>
          <w:rFonts w:ascii="方正小标宋_GBK" w:eastAsia="方正小标宋_GBK"/>
          <w:sz w:val="44"/>
        </w:rPr>
        <w:t xml:space="preserve"> </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bookmarkStart w:id="0" w:name="_Toc70257334"/>
      <w:r>
        <w:rPr>
          <w:rFonts w:hint="eastAsia" w:ascii="仿宋_GB2312" w:hAnsi="仿宋_GB2312" w:eastAsia="仿宋_GB2312" w:cs="仿宋_GB2312"/>
          <w:color w:val="auto"/>
          <w:spacing w:val="-8"/>
          <w:position w:val="0"/>
          <w:sz w:val="32"/>
          <w:shd w:val="clear" w:color="auto" w:fill="auto"/>
        </w:rPr>
        <w:t>一、总体绩效目标</w:t>
      </w:r>
      <w:bookmarkEnd w:id="0"/>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ascii="仿宋_GB2312" w:hAnsi="仿宋_GB2312" w:eastAsia="仿宋_GB2312" w:cs="仿宋_GB2312"/>
          <w:color w:val="auto"/>
          <w:spacing w:val="-8"/>
          <w:position w:val="0"/>
          <w:sz w:val="32"/>
          <w:shd w:val="clear" w:color="auto" w:fill="auto"/>
        </w:rPr>
        <w:t xml:space="preserve">    落实互联网信息传播方针政策，推动互联网信息传播法制建设，指导、协调、督促有关部门加强互联网信息内容管理，依法查处违法违规网站等。</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bookmarkStart w:id="1" w:name="_Toc70257335"/>
      <w:r>
        <w:rPr>
          <w:rFonts w:hint="eastAsia" w:ascii="仿宋_GB2312" w:hAnsi="仿宋_GB2312" w:eastAsia="仿宋_GB2312" w:cs="仿宋_GB2312"/>
          <w:color w:val="auto"/>
          <w:spacing w:val="-8"/>
          <w:position w:val="0"/>
          <w:sz w:val="32"/>
          <w:shd w:val="clear" w:color="auto" w:fill="auto"/>
        </w:rPr>
        <w:t>二、分项绩效目标</w:t>
      </w:r>
      <w:bookmarkEnd w:id="1"/>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1</w:t>
      </w:r>
      <w:r>
        <w:rPr>
          <w:rFonts w:ascii="仿宋_GB2312" w:hAnsi="仿宋_GB2312" w:eastAsia="仿宋_GB2312" w:cs="仿宋_GB2312"/>
          <w:color w:val="auto"/>
          <w:spacing w:val="-8"/>
          <w:position w:val="0"/>
          <w:sz w:val="32"/>
          <w:shd w:val="clear" w:color="auto" w:fill="auto"/>
        </w:rPr>
        <w:t>、落实互联网信息传播方针政策，推动互联网信息传播法制建设。</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2</w:t>
      </w:r>
      <w:r>
        <w:rPr>
          <w:rFonts w:ascii="仿宋_GB2312" w:hAnsi="仿宋_GB2312" w:eastAsia="仿宋_GB2312" w:cs="仿宋_GB2312"/>
          <w:color w:val="auto"/>
          <w:spacing w:val="-8"/>
          <w:position w:val="0"/>
          <w:sz w:val="32"/>
          <w:shd w:val="clear" w:color="auto" w:fill="auto"/>
        </w:rPr>
        <w:t>、指导、协调、督促有关部门加强互联网信息内容管理。</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3</w:t>
      </w:r>
      <w:r>
        <w:rPr>
          <w:rFonts w:ascii="仿宋_GB2312" w:hAnsi="仿宋_GB2312" w:eastAsia="仿宋_GB2312" w:cs="仿宋_GB2312"/>
          <w:color w:val="auto"/>
          <w:spacing w:val="-8"/>
          <w:position w:val="0"/>
          <w:sz w:val="32"/>
          <w:shd w:val="clear" w:color="auto" w:fill="auto"/>
        </w:rPr>
        <w:t>、依法查处违法违规网站等。</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bookmarkStart w:id="2" w:name="_Toc70257336"/>
      <w:r>
        <w:rPr>
          <w:rFonts w:hint="eastAsia" w:ascii="仿宋_GB2312" w:hAnsi="仿宋_GB2312" w:eastAsia="仿宋_GB2312" w:cs="仿宋_GB2312"/>
          <w:color w:val="auto"/>
          <w:spacing w:val="-8"/>
          <w:position w:val="0"/>
          <w:sz w:val="32"/>
          <w:shd w:val="clear" w:color="auto" w:fill="auto"/>
        </w:rPr>
        <w:t>三、工作保障措施</w:t>
      </w:r>
      <w:bookmarkEnd w:id="2"/>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1</w:t>
      </w:r>
      <w:r>
        <w:rPr>
          <w:rFonts w:ascii="仿宋_GB2312" w:hAnsi="仿宋_GB2312" w:eastAsia="仿宋_GB2312" w:cs="仿宋_GB2312"/>
          <w:color w:val="auto"/>
          <w:spacing w:val="-8"/>
          <w:position w:val="0"/>
          <w:sz w:val="32"/>
          <w:shd w:val="clear" w:color="auto" w:fill="auto"/>
        </w:rPr>
        <w:t>、依据《中华人民共和国网络安全法》等法律法规，依法落实互联网信息传播方针政策，推动互联网信息传播法制建设。</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2</w:t>
      </w:r>
      <w:r>
        <w:rPr>
          <w:rFonts w:ascii="仿宋_GB2312" w:hAnsi="仿宋_GB2312" w:eastAsia="仿宋_GB2312" w:cs="仿宋_GB2312"/>
          <w:color w:val="auto"/>
          <w:spacing w:val="-8"/>
          <w:position w:val="0"/>
          <w:sz w:val="32"/>
          <w:shd w:val="clear" w:color="auto" w:fill="auto"/>
        </w:rPr>
        <w:t>、依据《互联网用户公众账号信息服务管理规定》等法规，指导、协调、督促有关部门加强互联网信息内容管理。</w:t>
      </w:r>
    </w:p>
    <w:p>
      <w:pPr>
        <w:spacing w:before="0" w:after="0" w:line="600" w:lineRule="auto"/>
        <w:ind w:left="0" w:right="0" w:firstLine="608"/>
        <w:jc w:val="both"/>
        <w:rPr>
          <w:rFonts w:ascii="仿宋_GB2312" w:hAnsi="仿宋_GB2312" w:eastAsia="仿宋_GB2312" w:cs="仿宋_GB2312"/>
          <w:color w:val="auto"/>
          <w:spacing w:val="-8"/>
          <w:position w:val="0"/>
          <w:sz w:val="32"/>
          <w:shd w:val="clear" w:color="auto" w:fill="auto"/>
        </w:rPr>
      </w:pPr>
      <w:r>
        <w:rPr>
          <w:rFonts w:hint="eastAsia" w:ascii="仿宋_GB2312" w:hAnsi="仿宋_GB2312" w:eastAsia="仿宋_GB2312" w:cs="仿宋_GB2312"/>
          <w:color w:val="auto"/>
          <w:spacing w:val="-8"/>
          <w:position w:val="0"/>
          <w:sz w:val="32"/>
          <w:shd w:val="clear" w:color="auto" w:fill="auto"/>
          <w:lang w:val="en-US" w:eastAsia="zh-CN"/>
        </w:rPr>
        <w:t>3</w:t>
      </w:r>
      <w:r>
        <w:rPr>
          <w:rFonts w:ascii="仿宋_GB2312" w:hAnsi="仿宋_GB2312" w:eastAsia="仿宋_GB2312" w:cs="仿宋_GB2312"/>
          <w:color w:val="auto"/>
          <w:spacing w:val="-8"/>
          <w:position w:val="0"/>
          <w:sz w:val="32"/>
          <w:shd w:val="clear" w:color="auto" w:fill="auto"/>
        </w:rPr>
        <w:t>、依法查处违法违规网站等。</w:t>
      </w:r>
    </w:p>
    <w:p>
      <w:pPr>
        <w:widowControl w:val="0"/>
        <w:spacing w:before="0" w:after="0" w:line="540" w:lineRule="auto"/>
        <w:ind w:left="0" w:right="0" w:firstLine="640"/>
        <w:jc w:val="both"/>
        <w:rPr>
          <w:rFonts w:hint="eastAsia" w:ascii="仿宋_GB2312" w:hAnsi="仿宋_GB2312" w:eastAsia="仿宋_GB2312" w:cs="仿宋_GB2312"/>
          <w:color w:val="auto"/>
          <w:spacing w:val="0"/>
          <w:position w:val="0"/>
          <w:sz w:val="32"/>
          <w:shd w:val="clear" w:color="auto" w:fill="auto"/>
          <w:lang w:val="en-US" w:eastAsia="zh-CN"/>
        </w:rPr>
      </w:pPr>
    </w:p>
    <w:p>
      <w:pPr>
        <w:widowControl w:val="0"/>
        <w:spacing w:before="0" w:after="0" w:line="540" w:lineRule="auto"/>
        <w:ind w:left="0" w:right="0" w:firstLine="640"/>
        <w:jc w:val="both"/>
        <w:rPr>
          <w:rFonts w:hint="eastAsia" w:ascii="仿宋_GB2312" w:hAnsi="仿宋_GB2312" w:eastAsia="仿宋_GB2312" w:cs="仿宋_GB2312"/>
          <w:color w:val="auto"/>
          <w:spacing w:val="0"/>
          <w:position w:val="0"/>
          <w:sz w:val="32"/>
          <w:shd w:val="clear" w:color="auto" w:fill="auto"/>
          <w:lang w:val="en-US" w:eastAsia="zh-CN"/>
        </w:rPr>
      </w:pPr>
      <w:r>
        <w:rPr>
          <w:rFonts w:hint="eastAsia" w:ascii="仿宋_GB2312" w:hAnsi="仿宋_GB2312" w:eastAsia="仿宋_GB2312" w:cs="仿宋_GB2312"/>
          <w:color w:val="auto"/>
          <w:spacing w:val="0"/>
          <w:position w:val="0"/>
          <w:sz w:val="32"/>
          <w:shd w:val="clear" w:color="auto" w:fill="auto"/>
          <w:lang w:val="en-US" w:eastAsia="zh-CN"/>
        </w:rPr>
        <w:t>预算项目绩效目标</w:t>
      </w:r>
    </w:p>
    <w:p>
      <w:pPr>
        <w:ind w:firstLine="560" w:firstLineChars="200"/>
        <w:jc w:val="left"/>
        <w:outlineLvl w:val="3"/>
        <w:rPr>
          <w:rFonts w:hAnsi="宋体"/>
          <w:b w:val="0"/>
          <w:bCs/>
          <w:sz w:val="28"/>
        </w:rPr>
      </w:pPr>
      <w:bookmarkStart w:id="3" w:name="_Toc70257337"/>
      <w:r>
        <w:rPr>
          <w:rFonts w:hint="eastAsia" w:ascii="方正仿宋_GBK" w:eastAsia="方正仿宋_GBK"/>
          <w:b w:val="0"/>
          <w:bCs/>
          <w:sz w:val="28"/>
        </w:rPr>
        <w:t>1.河北青年报网络宣传绩效目标表</w:t>
      </w:r>
      <w:bookmarkEnd w:id="3"/>
      <w: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1、河北青年报网络宣传绩效目标表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val="0"/>
                <w:bCs/>
              </w:rPr>
            </w:pPr>
            <w:r>
              <w:rPr>
                <w:rFonts w:ascii="方正书宋_GBK" w:eastAsia="方正书宋_GBK"/>
                <w:b w:val="0"/>
                <w:bCs/>
              </w:rPr>
              <w:t>224001</w:t>
            </w:r>
            <w:r>
              <w:rPr>
                <w:rFonts w:hint="eastAsia" w:ascii="方正书宋_GBK" w:eastAsia="方正书宋_GBK"/>
                <w:b w:val="0"/>
                <w:bCs/>
              </w:rPr>
              <w:t>中共保定市满城区委网络安全和信息化委员会办公室本级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项目编码</w:t>
            </w:r>
          </w:p>
        </w:tc>
        <w:tc>
          <w:tcPr>
            <w:tcW w:w="2410" w:type="dxa"/>
            <w:gridSpan w:val="2"/>
            <w:noWrap w:val="0"/>
            <w:vAlign w:val="center"/>
          </w:tcPr>
          <w:p>
            <w:pPr>
              <w:spacing w:line="300" w:lineRule="exact"/>
              <w:jc w:val="left"/>
              <w:rPr>
                <w:rFonts w:ascii="方正书宋_GBK" w:eastAsia="方正书宋_GBK"/>
                <w:b w:val="0"/>
                <w:bCs/>
              </w:rPr>
            </w:pPr>
            <w:r>
              <w:rPr>
                <w:rFonts w:ascii="方正书宋_GBK" w:eastAsia="方正书宋_GBK"/>
                <w:b w:val="0"/>
                <w:bCs/>
              </w:rPr>
              <w:t>130621218H6HN7OC59AMH</w:t>
            </w:r>
          </w:p>
        </w:tc>
        <w:tc>
          <w:tcPr>
            <w:tcW w:w="1587"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项目名称</w:t>
            </w:r>
          </w:p>
        </w:tc>
        <w:tc>
          <w:tcPr>
            <w:tcW w:w="4281" w:type="dxa"/>
            <w:gridSpan w:val="3"/>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河北青年报网络宣传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预算规模及资金用途</w:t>
            </w:r>
          </w:p>
        </w:tc>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预算数</w:t>
            </w:r>
          </w:p>
        </w:tc>
        <w:tc>
          <w:tcPr>
            <w:tcW w:w="1276" w:type="dxa"/>
            <w:noWrap w:val="0"/>
            <w:vAlign w:val="center"/>
          </w:tcPr>
          <w:p>
            <w:pPr>
              <w:spacing w:line="300" w:lineRule="exact"/>
              <w:jc w:val="left"/>
              <w:rPr>
                <w:rFonts w:ascii="方正书宋_GBK" w:eastAsia="方正书宋_GBK"/>
                <w:b w:val="0"/>
                <w:bCs/>
              </w:rPr>
            </w:pPr>
            <w:r>
              <w:rPr>
                <w:rFonts w:ascii="方正书宋_GBK" w:eastAsia="方正书宋_GBK"/>
                <w:b w:val="0"/>
                <w:bCs/>
              </w:rPr>
              <w:t>30.00</w:t>
            </w:r>
          </w:p>
        </w:tc>
        <w:tc>
          <w:tcPr>
            <w:tcW w:w="1587"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其中：财政资金</w:t>
            </w:r>
          </w:p>
        </w:tc>
        <w:tc>
          <w:tcPr>
            <w:tcW w:w="1304" w:type="dxa"/>
            <w:noWrap w:val="0"/>
            <w:vAlign w:val="center"/>
          </w:tcPr>
          <w:p>
            <w:pPr>
              <w:spacing w:line="300" w:lineRule="exact"/>
              <w:jc w:val="left"/>
              <w:rPr>
                <w:rFonts w:ascii="方正书宋_GBK" w:eastAsia="方正书宋_GBK"/>
                <w:b w:val="0"/>
                <w:bCs/>
              </w:rPr>
            </w:pPr>
            <w:r>
              <w:rPr>
                <w:rFonts w:ascii="方正书宋_GBK" w:eastAsia="方正书宋_GBK"/>
                <w:b w:val="0"/>
                <w:bCs/>
              </w:rPr>
              <w:t>30.00</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其他资金</w:t>
            </w:r>
          </w:p>
        </w:tc>
        <w:tc>
          <w:tcPr>
            <w:tcW w:w="1701" w:type="dxa"/>
            <w:noWrap w:val="0"/>
            <w:vAlign w:val="center"/>
          </w:tcPr>
          <w:p>
            <w:pPr>
              <w:spacing w:line="300" w:lineRule="exact"/>
              <w:jc w:val="left"/>
              <w:rPr>
                <w:rFonts w:ascii="方正书宋_GBK" w:eastAsia="方正书宋_GBK"/>
                <w:b w:val="0"/>
                <w:bCs/>
              </w:rPr>
            </w:pPr>
            <w:r>
              <w:rPr>
                <w:rFonts w:ascii="方正书宋_GBK" w:eastAsia="方正书宋_GBK"/>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b w:val="0"/>
                <w:bCs/>
              </w:rPr>
            </w:pPr>
          </w:p>
        </w:tc>
        <w:tc>
          <w:tcPr>
            <w:tcW w:w="8278" w:type="dxa"/>
            <w:gridSpan w:val="6"/>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用于购买河北青年报网络宣传服务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资金支出计划（</w:t>
            </w:r>
            <w:r>
              <w:rPr>
                <w:rFonts w:ascii="方正书宋_GBK" w:eastAsia="方正书宋_GBK"/>
                <w:b w:val="0"/>
                <w:bCs/>
              </w:rPr>
              <w:t>%</w:t>
            </w:r>
            <w:r>
              <w:rPr>
                <w:rFonts w:hint="eastAsia" w:ascii="方正书宋_GBK" w:eastAsia="方正书宋_GBK"/>
                <w:b w:val="0"/>
                <w:bCs/>
              </w:rPr>
              <w:t>）</w:t>
            </w:r>
          </w:p>
        </w:tc>
        <w:tc>
          <w:tcPr>
            <w:tcW w:w="2410" w:type="dxa"/>
            <w:gridSpan w:val="2"/>
            <w:noWrap w:val="0"/>
            <w:vAlign w:val="center"/>
          </w:tcPr>
          <w:p>
            <w:pPr>
              <w:spacing w:line="300" w:lineRule="exact"/>
              <w:jc w:val="center"/>
              <w:rPr>
                <w:rFonts w:ascii="方正书宋_GBK" w:eastAsia="方正书宋_GBK"/>
                <w:b w:val="0"/>
                <w:bCs/>
              </w:rPr>
            </w:pPr>
            <w:r>
              <w:rPr>
                <w:rFonts w:ascii="方正书宋_GBK" w:eastAsia="方正书宋_GBK"/>
                <w:b w:val="0"/>
                <w:bCs/>
              </w:rPr>
              <w:t>3</w:t>
            </w:r>
            <w:r>
              <w:rPr>
                <w:rFonts w:hint="eastAsia" w:ascii="方正书宋_GBK" w:eastAsia="方正书宋_GBK"/>
                <w:b w:val="0"/>
                <w:bCs/>
              </w:rPr>
              <w:t>月底</w:t>
            </w:r>
          </w:p>
        </w:tc>
        <w:tc>
          <w:tcPr>
            <w:tcW w:w="1587" w:type="dxa"/>
            <w:noWrap w:val="0"/>
            <w:vAlign w:val="center"/>
          </w:tcPr>
          <w:p>
            <w:pPr>
              <w:spacing w:line="300" w:lineRule="exact"/>
              <w:jc w:val="center"/>
              <w:rPr>
                <w:rFonts w:ascii="方正书宋_GBK" w:eastAsia="方正书宋_GBK"/>
                <w:b w:val="0"/>
                <w:bCs/>
              </w:rPr>
            </w:pPr>
            <w:r>
              <w:rPr>
                <w:rFonts w:ascii="方正书宋_GBK" w:eastAsia="方正书宋_GBK"/>
                <w:b w:val="0"/>
                <w:bCs/>
              </w:rPr>
              <w:t>6</w:t>
            </w:r>
            <w:r>
              <w:rPr>
                <w:rFonts w:hint="eastAsia" w:ascii="方正书宋_GBK" w:eastAsia="方正书宋_GBK"/>
                <w:b w:val="0"/>
                <w:bCs/>
              </w:rPr>
              <w:t>月底</w:t>
            </w:r>
          </w:p>
        </w:tc>
        <w:tc>
          <w:tcPr>
            <w:tcW w:w="1304" w:type="dxa"/>
            <w:noWrap w:val="0"/>
            <w:vAlign w:val="center"/>
          </w:tcPr>
          <w:p>
            <w:pPr>
              <w:spacing w:line="300" w:lineRule="exact"/>
              <w:jc w:val="center"/>
              <w:rPr>
                <w:rFonts w:ascii="方正书宋_GBK" w:eastAsia="方正书宋_GBK"/>
                <w:b w:val="0"/>
                <w:bCs/>
              </w:rPr>
            </w:pPr>
            <w:r>
              <w:rPr>
                <w:rFonts w:ascii="方正书宋_GBK" w:eastAsia="方正书宋_GBK"/>
                <w:b w:val="0"/>
                <w:bCs/>
              </w:rPr>
              <w:t>10</w:t>
            </w:r>
            <w:r>
              <w:rPr>
                <w:rFonts w:hint="eastAsia" w:ascii="方正书宋_GBK" w:eastAsia="方正书宋_GBK"/>
                <w:b w:val="0"/>
                <w:bCs/>
              </w:rPr>
              <w:t>月底</w:t>
            </w:r>
          </w:p>
        </w:tc>
        <w:tc>
          <w:tcPr>
            <w:tcW w:w="2977" w:type="dxa"/>
            <w:gridSpan w:val="2"/>
            <w:noWrap w:val="0"/>
            <w:vAlign w:val="center"/>
          </w:tcPr>
          <w:p>
            <w:pPr>
              <w:spacing w:line="300" w:lineRule="exact"/>
              <w:jc w:val="center"/>
              <w:rPr>
                <w:rFonts w:ascii="方正书宋_GBK" w:eastAsia="方正书宋_GBK"/>
                <w:b w:val="0"/>
                <w:bCs/>
              </w:rPr>
            </w:pPr>
            <w:r>
              <w:rPr>
                <w:rFonts w:ascii="方正书宋_GBK" w:eastAsia="方正书宋_GBK"/>
                <w:b w:val="0"/>
                <w:bCs/>
              </w:rPr>
              <w:t>12</w:t>
            </w:r>
            <w:r>
              <w:rPr>
                <w:rFonts w:hint="eastAsia" w:ascii="方正书宋_GBK" w:eastAsia="方正书宋_GBK"/>
                <w:b w:val="0"/>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b w:val="0"/>
                <w:bCs/>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绩效目标</w:t>
            </w:r>
          </w:p>
        </w:tc>
        <w:tc>
          <w:tcPr>
            <w:tcW w:w="8278" w:type="dxa"/>
            <w:gridSpan w:val="6"/>
            <w:tcBorders>
              <w:bottom w:val="nil"/>
            </w:tcBorders>
            <w:noWrap w:val="0"/>
            <w:vAlign w:val="center"/>
          </w:tcPr>
          <w:p>
            <w:pPr>
              <w:spacing w:line="300" w:lineRule="exact"/>
              <w:jc w:val="left"/>
              <w:rPr>
                <w:rFonts w:ascii="方正书宋_GBK" w:eastAsia="方正书宋_GBK"/>
                <w:b w:val="0"/>
                <w:bCs/>
              </w:rPr>
            </w:pPr>
            <w:r>
              <w:rPr>
                <w:rFonts w:ascii="方正书宋_GBK" w:eastAsia="方正书宋_GBK"/>
                <w:b w:val="0"/>
                <w:bCs/>
              </w:rPr>
              <w:t>1.365*24</w:t>
            </w:r>
            <w:r>
              <w:rPr>
                <w:rFonts w:hint="eastAsia" w:ascii="方正书宋_GBK" w:eastAsia="方正书宋_GBK"/>
                <w:b w:val="0"/>
                <w:bCs/>
              </w:rPr>
              <w:t>小时实时舆情监测</w:t>
            </w:r>
          </w:p>
        </w:tc>
      </w:tr>
    </w:tbl>
    <w:p>
      <w:pPr>
        <w:spacing w:line="14" w:lineRule="exact"/>
        <w:jc w:val="center"/>
        <w:rPr>
          <w:rFonts w:hAnsi="宋体"/>
          <w:b w:val="0"/>
          <w:bCs/>
        </w:rPr>
      </w:pPr>
      <w:r>
        <w:rPr>
          <w:rFonts w:ascii="方正书宋_GBK" w:eastAsia="方正书宋_GBK"/>
          <w:b w:val="0"/>
          <w:bCs/>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一级指标</w:t>
            </w:r>
          </w:p>
        </w:tc>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二级指标</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三级指标</w:t>
            </w:r>
          </w:p>
        </w:tc>
        <w:tc>
          <w:tcPr>
            <w:tcW w:w="2891"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绩效指标描述</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w:t>
            </w:r>
          </w:p>
        </w:tc>
        <w:tc>
          <w:tcPr>
            <w:tcW w:w="1701"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产出指标</w:t>
            </w:r>
          </w:p>
        </w:tc>
        <w:tc>
          <w:tcPr>
            <w:tcW w:w="1134"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数量指标</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涉及满城舆情抓取数量</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舆情信息抓取数量</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w:t>
            </w:r>
            <w:r>
              <w:rPr>
                <w:rFonts w:ascii="方正书宋_GBK" w:eastAsia="方正书宋_GBK"/>
                <w:b w:val="0"/>
                <w:bCs/>
              </w:rPr>
              <w:t>60</w:t>
            </w:r>
            <w:r>
              <w:rPr>
                <w:rFonts w:hint="eastAsia" w:ascii="方正书宋_GBK" w:eastAsia="方正书宋_GBK"/>
                <w:b w:val="0"/>
                <w:bCs/>
              </w:rPr>
              <w:t>条</w:t>
            </w:r>
          </w:p>
        </w:tc>
        <w:tc>
          <w:tcPr>
            <w:tcW w:w="170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质量指标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当年网上正面宣传的完成率</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正面宣传质量高低</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w:t>
            </w:r>
            <w:r>
              <w:rPr>
                <w:rFonts w:ascii="方正书宋_GBK" w:eastAsia="方正书宋_GBK"/>
                <w:b w:val="0"/>
                <w:bCs/>
              </w:rPr>
              <w:t>90%</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时效指标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紧跟时事热点及时率</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与时事热点结合程度</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w:t>
            </w:r>
            <w:r>
              <w:rPr>
                <w:rFonts w:ascii="方正书宋_GBK" w:eastAsia="方正书宋_GBK"/>
                <w:b w:val="0"/>
                <w:bCs/>
              </w:rPr>
              <w:t>100%</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成本指标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网络宣传费用</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购买宣传版面的费用</w:t>
            </w:r>
          </w:p>
        </w:tc>
        <w:tc>
          <w:tcPr>
            <w:tcW w:w="1276" w:type="dxa"/>
            <w:noWrap w:val="0"/>
            <w:vAlign w:val="center"/>
          </w:tcPr>
          <w:p>
            <w:pPr>
              <w:spacing w:line="300" w:lineRule="exact"/>
              <w:jc w:val="left"/>
              <w:rPr>
                <w:rFonts w:hint="eastAsia" w:ascii="方正书宋_GBK" w:eastAsia="方正书宋_GBK"/>
                <w:b w:val="0"/>
                <w:bCs/>
              </w:rPr>
            </w:pPr>
            <w:r>
              <w:rPr>
                <w:rFonts w:ascii="方正书宋_GBK" w:eastAsia="方正书宋_GBK"/>
                <w:b w:val="0"/>
                <w:bCs/>
              </w:rPr>
              <w:t>30</w:t>
            </w:r>
            <w:r>
              <w:rPr>
                <w:rFonts w:hint="eastAsia" w:ascii="方正书宋_GBK" w:eastAsia="方正书宋_GBK"/>
                <w:b w:val="0"/>
                <w:bCs/>
              </w:rPr>
              <w:t>万</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b w:val="0"/>
                <w:bCs/>
              </w:rPr>
            </w:pPr>
            <w:r>
              <w:rPr>
                <w:rFonts w:hint="eastAsia" w:ascii="方正书宋_GBK" w:eastAsia="方正书宋_GBK"/>
                <w:b w:val="0"/>
                <w:bCs/>
              </w:rPr>
              <w:t>效益指标</w:t>
            </w: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经济效益指标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营造稳定社会氛围的贡献程度</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营造稳定社会氛围的贡献程度</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明显</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社会效益指标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受益人口数量</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惠及满城区人口数量</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w:t>
            </w:r>
            <w:r>
              <w:rPr>
                <w:rFonts w:ascii="方正书宋_GBK" w:eastAsia="方正书宋_GBK"/>
                <w:b w:val="0"/>
                <w:bCs/>
              </w:rPr>
              <w:t>10.2</w:t>
            </w:r>
            <w:r>
              <w:rPr>
                <w:rFonts w:hint="eastAsia" w:ascii="方正书宋_GBK" w:eastAsia="方正书宋_GBK"/>
                <w:b w:val="0"/>
                <w:bCs/>
              </w:rPr>
              <w:t>万人</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生态效益指标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营造稳定社会氛围的贡献程度</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营造稳定社会氛围的贡献程度</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明显</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可持续影响指标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项目持续发挥作用的年限</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服务的使用期限</w:t>
            </w:r>
          </w:p>
        </w:tc>
        <w:tc>
          <w:tcPr>
            <w:tcW w:w="1276" w:type="dxa"/>
            <w:noWrap w:val="0"/>
            <w:vAlign w:val="center"/>
          </w:tcPr>
          <w:p>
            <w:pPr>
              <w:spacing w:line="300" w:lineRule="exact"/>
              <w:jc w:val="left"/>
              <w:rPr>
                <w:rFonts w:hint="eastAsia" w:ascii="方正书宋_GBK" w:eastAsia="方正书宋_GBK"/>
                <w:b w:val="0"/>
                <w:bCs/>
              </w:rPr>
            </w:pPr>
            <w:r>
              <w:rPr>
                <w:rFonts w:ascii="方正书宋_GBK" w:eastAsia="方正书宋_GBK"/>
                <w:b w:val="0"/>
                <w:bCs/>
              </w:rPr>
              <w:t>1</w:t>
            </w:r>
            <w:r>
              <w:rPr>
                <w:rFonts w:hint="eastAsia" w:ascii="方正书宋_GBK" w:eastAsia="方正书宋_GBK"/>
                <w:b w:val="0"/>
                <w:bCs/>
              </w:rPr>
              <w:t>年</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b w:val="0"/>
                <w:bCs/>
              </w:rPr>
            </w:pPr>
            <w:r>
              <w:rPr>
                <w:rFonts w:hint="eastAsia" w:ascii="方正书宋_GBK" w:eastAsia="方正书宋_GBK"/>
                <w:b w:val="0"/>
                <w:bCs/>
              </w:rPr>
              <w:t>满意度指标</w:t>
            </w: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服务对象满意度指标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群众对网络宣传的满意程度</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群众对满城宣传满意与否</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明显</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bl>
    <w:p>
      <w:pPr>
        <w:spacing w:line="300" w:lineRule="exact"/>
        <w:jc w:val="left"/>
        <w:rPr>
          <w:b w:val="0"/>
          <w:bCs/>
        </w:rPr>
        <w:sectPr>
          <w:footerReference r:id="rId3" w:type="default"/>
          <w:pgSz w:w="11907" w:h="16839"/>
          <w:pgMar w:top="1984" w:right="1304" w:bottom="1134" w:left="1304" w:header="851" w:footer="992" w:gutter="0"/>
          <w:cols w:space="720" w:num="1"/>
          <w:docGrid w:type="lines" w:linePitch="312" w:charSpace="0"/>
        </w:sectPr>
      </w:pPr>
    </w:p>
    <w:p>
      <w:pPr>
        <w:spacing w:line="300" w:lineRule="exact"/>
        <w:jc w:val="left"/>
        <w:rPr>
          <w:b w:val="0"/>
          <w:bCs/>
        </w:rPr>
      </w:pPr>
    </w:p>
    <w:p>
      <w:pPr>
        <w:ind w:firstLine="560" w:firstLineChars="200"/>
        <w:jc w:val="left"/>
        <w:outlineLvl w:val="3"/>
        <w:rPr>
          <w:rFonts w:hAnsi="宋体"/>
          <w:b w:val="0"/>
          <w:bCs/>
          <w:sz w:val="28"/>
        </w:rPr>
      </w:pPr>
      <w:bookmarkStart w:id="4" w:name="_Toc70257338"/>
      <w:r>
        <w:rPr>
          <w:rFonts w:hint="eastAsia" w:ascii="方正仿宋_GBK" w:eastAsia="方正仿宋_GBK"/>
          <w:b w:val="0"/>
          <w:bCs/>
          <w:sz w:val="28"/>
        </w:rPr>
        <w:t>2.满城区网络舆情监测绩效目标表</w:t>
      </w:r>
      <w:bookmarkEnd w:id="4"/>
      <w: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2、满城区网络舆情监测绩效目标表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val="0"/>
                <w:bCs/>
              </w:rPr>
            </w:pPr>
            <w:r>
              <w:rPr>
                <w:rFonts w:ascii="方正书宋_GBK" w:eastAsia="方正书宋_GBK"/>
                <w:b w:val="0"/>
                <w:bCs/>
              </w:rPr>
              <w:t>224001</w:t>
            </w:r>
            <w:r>
              <w:rPr>
                <w:rFonts w:hint="eastAsia" w:ascii="方正书宋_GBK" w:eastAsia="方正书宋_GBK"/>
                <w:b w:val="0"/>
                <w:bCs/>
              </w:rPr>
              <w:t>中共保定市满城区委网络安全和信息化委员会办公室本级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项目编码</w:t>
            </w:r>
          </w:p>
        </w:tc>
        <w:tc>
          <w:tcPr>
            <w:tcW w:w="2410" w:type="dxa"/>
            <w:gridSpan w:val="2"/>
            <w:noWrap w:val="0"/>
            <w:vAlign w:val="center"/>
          </w:tcPr>
          <w:p>
            <w:pPr>
              <w:spacing w:line="300" w:lineRule="exact"/>
              <w:jc w:val="left"/>
              <w:rPr>
                <w:rFonts w:ascii="方正书宋_GBK" w:eastAsia="方正书宋_GBK"/>
                <w:b w:val="0"/>
                <w:bCs/>
              </w:rPr>
            </w:pPr>
            <w:r>
              <w:rPr>
                <w:rFonts w:ascii="方正书宋_GBK" w:eastAsia="方正书宋_GBK"/>
                <w:b w:val="0"/>
                <w:bCs/>
              </w:rPr>
              <w:t>13062121VPP78HFR4NGRE</w:t>
            </w:r>
          </w:p>
        </w:tc>
        <w:tc>
          <w:tcPr>
            <w:tcW w:w="1587"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项目名称</w:t>
            </w:r>
          </w:p>
        </w:tc>
        <w:tc>
          <w:tcPr>
            <w:tcW w:w="4281" w:type="dxa"/>
            <w:gridSpan w:val="3"/>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满城区网络舆情监测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预算规模及资金用途</w:t>
            </w:r>
          </w:p>
        </w:tc>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预算数</w:t>
            </w:r>
          </w:p>
        </w:tc>
        <w:tc>
          <w:tcPr>
            <w:tcW w:w="1276" w:type="dxa"/>
            <w:noWrap w:val="0"/>
            <w:vAlign w:val="center"/>
          </w:tcPr>
          <w:p>
            <w:pPr>
              <w:spacing w:line="300" w:lineRule="exact"/>
              <w:jc w:val="left"/>
              <w:rPr>
                <w:rFonts w:ascii="方正书宋_GBK" w:eastAsia="方正书宋_GBK"/>
                <w:b w:val="0"/>
                <w:bCs/>
              </w:rPr>
            </w:pPr>
            <w:r>
              <w:rPr>
                <w:rFonts w:ascii="方正书宋_GBK" w:eastAsia="方正书宋_GBK"/>
                <w:b w:val="0"/>
                <w:bCs/>
              </w:rPr>
              <w:t>6.00</w:t>
            </w:r>
          </w:p>
        </w:tc>
        <w:tc>
          <w:tcPr>
            <w:tcW w:w="1587"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其中：财政资金</w:t>
            </w:r>
          </w:p>
        </w:tc>
        <w:tc>
          <w:tcPr>
            <w:tcW w:w="1304" w:type="dxa"/>
            <w:noWrap w:val="0"/>
            <w:vAlign w:val="center"/>
          </w:tcPr>
          <w:p>
            <w:pPr>
              <w:spacing w:line="300" w:lineRule="exact"/>
              <w:jc w:val="left"/>
              <w:rPr>
                <w:rFonts w:ascii="方正书宋_GBK" w:eastAsia="方正书宋_GBK"/>
                <w:b w:val="0"/>
                <w:bCs/>
              </w:rPr>
            </w:pPr>
            <w:r>
              <w:rPr>
                <w:rFonts w:ascii="方正书宋_GBK" w:eastAsia="方正书宋_GBK"/>
                <w:b w:val="0"/>
                <w:bCs/>
              </w:rPr>
              <w:t>6.00</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其他资金</w:t>
            </w:r>
          </w:p>
        </w:tc>
        <w:tc>
          <w:tcPr>
            <w:tcW w:w="1701" w:type="dxa"/>
            <w:noWrap w:val="0"/>
            <w:vAlign w:val="center"/>
          </w:tcPr>
          <w:p>
            <w:pPr>
              <w:spacing w:line="300" w:lineRule="exact"/>
              <w:jc w:val="left"/>
              <w:rPr>
                <w:rFonts w:ascii="方正书宋_GBK" w:eastAsia="方正书宋_GBK"/>
                <w:b w:val="0"/>
                <w:bCs/>
              </w:rPr>
            </w:pPr>
            <w:r>
              <w:rPr>
                <w:rFonts w:ascii="方正书宋_GBK" w:eastAsia="方正书宋_GBK"/>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b w:val="0"/>
                <w:bCs/>
              </w:rPr>
            </w:pPr>
          </w:p>
        </w:tc>
        <w:tc>
          <w:tcPr>
            <w:tcW w:w="8278" w:type="dxa"/>
            <w:gridSpan w:val="6"/>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用于购买舆情监测软件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资金支出计划（</w:t>
            </w:r>
            <w:r>
              <w:rPr>
                <w:rFonts w:ascii="方正书宋_GBK" w:eastAsia="方正书宋_GBK"/>
                <w:b w:val="0"/>
                <w:bCs/>
              </w:rPr>
              <w:t>%</w:t>
            </w:r>
            <w:r>
              <w:rPr>
                <w:rFonts w:hint="eastAsia" w:ascii="方正书宋_GBK" w:eastAsia="方正书宋_GBK"/>
                <w:b w:val="0"/>
                <w:bCs/>
              </w:rPr>
              <w:t>）</w:t>
            </w:r>
          </w:p>
        </w:tc>
        <w:tc>
          <w:tcPr>
            <w:tcW w:w="2410" w:type="dxa"/>
            <w:gridSpan w:val="2"/>
            <w:noWrap w:val="0"/>
            <w:vAlign w:val="center"/>
          </w:tcPr>
          <w:p>
            <w:pPr>
              <w:spacing w:line="300" w:lineRule="exact"/>
              <w:jc w:val="center"/>
              <w:rPr>
                <w:rFonts w:ascii="方正书宋_GBK" w:eastAsia="方正书宋_GBK"/>
                <w:b w:val="0"/>
                <w:bCs/>
              </w:rPr>
            </w:pPr>
            <w:r>
              <w:rPr>
                <w:rFonts w:ascii="方正书宋_GBK" w:eastAsia="方正书宋_GBK"/>
                <w:b w:val="0"/>
                <w:bCs/>
              </w:rPr>
              <w:t>3</w:t>
            </w:r>
            <w:r>
              <w:rPr>
                <w:rFonts w:hint="eastAsia" w:ascii="方正书宋_GBK" w:eastAsia="方正书宋_GBK"/>
                <w:b w:val="0"/>
                <w:bCs/>
              </w:rPr>
              <w:t>月底</w:t>
            </w:r>
          </w:p>
        </w:tc>
        <w:tc>
          <w:tcPr>
            <w:tcW w:w="1587" w:type="dxa"/>
            <w:noWrap w:val="0"/>
            <w:vAlign w:val="center"/>
          </w:tcPr>
          <w:p>
            <w:pPr>
              <w:spacing w:line="300" w:lineRule="exact"/>
              <w:jc w:val="center"/>
              <w:rPr>
                <w:rFonts w:ascii="方正书宋_GBK" w:eastAsia="方正书宋_GBK"/>
                <w:b w:val="0"/>
                <w:bCs/>
              </w:rPr>
            </w:pPr>
            <w:r>
              <w:rPr>
                <w:rFonts w:ascii="方正书宋_GBK" w:eastAsia="方正书宋_GBK"/>
                <w:b w:val="0"/>
                <w:bCs/>
              </w:rPr>
              <w:t>6</w:t>
            </w:r>
            <w:r>
              <w:rPr>
                <w:rFonts w:hint="eastAsia" w:ascii="方正书宋_GBK" w:eastAsia="方正书宋_GBK"/>
                <w:b w:val="0"/>
                <w:bCs/>
              </w:rPr>
              <w:t>月底</w:t>
            </w:r>
          </w:p>
        </w:tc>
        <w:tc>
          <w:tcPr>
            <w:tcW w:w="1304" w:type="dxa"/>
            <w:noWrap w:val="0"/>
            <w:vAlign w:val="center"/>
          </w:tcPr>
          <w:p>
            <w:pPr>
              <w:spacing w:line="300" w:lineRule="exact"/>
              <w:jc w:val="center"/>
              <w:rPr>
                <w:rFonts w:ascii="方正书宋_GBK" w:eastAsia="方正书宋_GBK"/>
                <w:b w:val="0"/>
                <w:bCs/>
              </w:rPr>
            </w:pPr>
            <w:r>
              <w:rPr>
                <w:rFonts w:ascii="方正书宋_GBK" w:eastAsia="方正书宋_GBK"/>
                <w:b w:val="0"/>
                <w:bCs/>
              </w:rPr>
              <w:t>10</w:t>
            </w:r>
            <w:r>
              <w:rPr>
                <w:rFonts w:hint="eastAsia" w:ascii="方正书宋_GBK" w:eastAsia="方正书宋_GBK"/>
                <w:b w:val="0"/>
                <w:bCs/>
              </w:rPr>
              <w:t>月底</w:t>
            </w:r>
          </w:p>
        </w:tc>
        <w:tc>
          <w:tcPr>
            <w:tcW w:w="2977" w:type="dxa"/>
            <w:gridSpan w:val="2"/>
            <w:noWrap w:val="0"/>
            <w:vAlign w:val="center"/>
          </w:tcPr>
          <w:p>
            <w:pPr>
              <w:spacing w:line="300" w:lineRule="exact"/>
              <w:jc w:val="center"/>
              <w:rPr>
                <w:rFonts w:ascii="方正书宋_GBK" w:eastAsia="方正书宋_GBK"/>
                <w:b w:val="0"/>
                <w:bCs/>
              </w:rPr>
            </w:pPr>
            <w:r>
              <w:rPr>
                <w:rFonts w:ascii="方正书宋_GBK" w:eastAsia="方正书宋_GBK"/>
                <w:b w:val="0"/>
                <w:bCs/>
              </w:rPr>
              <w:t>12</w:t>
            </w:r>
            <w:r>
              <w:rPr>
                <w:rFonts w:hint="eastAsia" w:ascii="方正书宋_GBK" w:eastAsia="方正书宋_GBK"/>
                <w:b w:val="0"/>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b w:val="0"/>
                <w:bCs/>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b w:val="0"/>
                <w:bCs/>
              </w:rPr>
            </w:pPr>
            <w:r>
              <w:rPr>
                <w:rFonts w:ascii="方正书宋_GBK" w:eastAsia="方正书宋_GBK"/>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绩效目标</w:t>
            </w:r>
          </w:p>
        </w:tc>
        <w:tc>
          <w:tcPr>
            <w:tcW w:w="8278" w:type="dxa"/>
            <w:gridSpan w:val="6"/>
            <w:tcBorders>
              <w:bottom w:val="nil"/>
            </w:tcBorders>
            <w:noWrap w:val="0"/>
            <w:vAlign w:val="center"/>
          </w:tcPr>
          <w:p>
            <w:pPr>
              <w:spacing w:line="300" w:lineRule="exact"/>
              <w:jc w:val="left"/>
              <w:rPr>
                <w:rFonts w:ascii="方正书宋_GBK" w:eastAsia="方正书宋_GBK"/>
                <w:b w:val="0"/>
                <w:bCs/>
              </w:rPr>
            </w:pPr>
            <w:r>
              <w:rPr>
                <w:rFonts w:ascii="方正书宋_GBK" w:eastAsia="方正书宋_GBK"/>
                <w:b w:val="0"/>
                <w:bCs/>
              </w:rPr>
              <w:t>1.</w:t>
            </w:r>
            <w:r>
              <w:rPr>
                <w:rFonts w:hint="eastAsia" w:ascii="方正书宋_GBK" w:eastAsia="方正书宋_GBK"/>
                <w:b w:val="0"/>
                <w:bCs/>
              </w:rPr>
              <w:t>建设互联网信息内容监测指挥平台</w:t>
            </w:r>
          </w:p>
        </w:tc>
      </w:tr>
    </w:tbl>
    <w:p>
      <w:pPr>
        <w:spacing w:line="14" w:lineRule="exact"/>
        <w:jc w:val="center"/>
        <w:rPr>
          <w:rFonts w:hAnsi="宋体"/>
          <w:b w:val="0"/>
          <w:bCs/>
        </w:rPr>
      </w:pPr>
      <w:r>
        <w:rPr>
          <w:rFonts w:ascii="方正书宋_GBK" w:eastAsia="方正书宋_GBK"/>
          <w:b w:val="0"/>
          <w:bCs/>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一级指标</w:t>
            </w:r>
          </w:p>
        </w:tc>
        <w:tc>
          <w:tcPr>
            <w:tcW w:w="1134"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二级指标</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三级指标</w:t>
            </w:r>
          </w:p>
        </w:tc>
        <w:tc>
          <w:tcPr>
            <w:tcW w:w="2891"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绩效指标描述</w:t>
            </w:r>
          </w:p>
        </w:tc>
        <w:tc>
          <w:tcPr>
            <w:tcW w:w="1276"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w:t>
            </w:r>
          </w:p>
        </w:tc>
        <w:tc>
          <w:tcPr>
            <w:tcW w:w="1701" w:type="dxa"/>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产出指标</w:t>
            </w:r>
          </w:p>
        </w:tc>
        <w:tc>
          <w:tcPr>
            <w:tcW w:w="1134"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数量指标</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舆情信息抓取数量</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一年舆情抓取数量</w:t>
            </w:r>
          </w:p>
        </w:tc>
        <w:tc>
          <w:tcPr>
            <w:tcW w:w="1276" w:type="dxa"/>
            <w:noWrap w:val="0"/>
            <w:vAlign w:val="center"/>
          </w:tcPr>
          <w:p>
            <w:pPr>
              <w:spacing w:line="300" w:lineRule="exact"/>
              <w:jc w:val="left"/>
              <w:rPr>
                <w:rFonts w:ascii="方正书宋_GBK" w:eastAsia="方正书宋_GBK"/>
                <w:b w:val="0"/>
                <w:bCs/>
              </w:rPr>
            </w:pPr>
            <w:r>
              <w:rPr>
                <w:rFonts w:ascii="方正书宋_GBK" w:eastAsia="方正书宋_GBK"/>
                <w:b w:val="0"/>
                <w:bCs/>
              </w:rPr>
              <w:t>100</w:t>
            </w:r>
            <w:r>
              <w:rPr>
                <w:rFonts w:hint="eastAsia" w:ascii="方正书宋_GBK" w:eastAsia="方正书宋_GBK"/>
                <w:b w:val="0"/>
                <w:bCs/>
              </w:rPr>
              <w:t>条</w:t>
            </w:r>
          </w:p>
        </w:tc>
        <w:tc>
          <w:tcPr>
            <w:tcW w:w="170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 w:val="0"/>
                <w:bCs/>
              </w:rPr>
            </w:pPr>
          </w:p>
        </w:tc>
        <w:tc>
          <w:tcPr>
            <w:tcW w:w="1134"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质量指标</w:t>
            </w:r>
          </w:p>
        </w:tc>
        <w:tc>
          <w:tcPr>
            <w:tcW w:w="1276"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舆情解决的完成度</w:t>
            </w:r>
          </w:p>
        </w:tc>
        <w:tc>
          <w:tcPr>
            <w:tcW w:w="2891"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研判处置回复的完成度</w:t>
            </w:r>
          </w:p>
        </w:tc>
        <w:tc>
          <w:tcPr>
            <w:tcW w:w="1276" w:type="dxa"/>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w:t>
            </w:r>
            <w:r>
              <w:rPr>
                <w:rFonts w:ascii="方正书宋_GBK" w:eastAsia="方正书宋_GBK"/>
                <w:b w:val="0"/>
                <w:bCs/>
              </w:rPr>
              <w:t>90%</w:t>
            </w:r>
          </w:p>
        </w:tc>
        <w:tc>
          <w:tcPr>
            <w:tcW w:w="1701" w:type="dxa"/>
            <w:noWrap w:val="0"/>
            <w:vAlign w:val="center"/>
          </w:tcPr>
          <w:p>
            <w:pPr>
              <w:spacing w:line="300" w:lineRule="exact"/>
              <w:jc w:val="left"/>
              <w:rPr>
                <w:rFonts w:hint="eastAsia" w:ascii="方正书宋_GBK" w:eastAsia="方正书宋_GBK"/>
                <w:b w:val="0"/>
                <w:bCs/>
              </w:rPr>
            </w:pPr>
            <w:r>
              <w:rPr>
                <w:rFonts w:hint="eastAsia" w:ascii="方正书宋_GBK" w:eastAsia="方正书宋_GBK"/>
                <w:b w:val="0"/>
                <w:bCs/>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回复处置及时率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回复解决问题的速度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舆情监测费用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购买监测软件的费用</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营造稳定社会氛围的贡献程度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对社会稳定氛围的贡献程度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收益人口数量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惠及满城区网民数量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10.2</w:t>
            </w:r>
            <w:r>
              <w:rPr>
                <w:rFonts w:hint="eastAsia" w:ascii="方正书宋_GBK" w:eastAsia="方正书宋_GBK"/>
              </w:rPr>
              <w:t>万人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营造稳定社会氛围的贡献程度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对社会稳定氛围的贡献程度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项目持续发挥作用的年限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检测软件的使用期限</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发帖群众的满意度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群众对于所提问题解决与否的满意程度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实际工作成效</w:t>
            </w:r>
          </w:p>
        </w:tc>
      </w:tr>
    </w:tbl>
    <w:p>
      <w:pPr>
        <w:spacing w:before="0" w:after="0" w:line="520" w:lineRule="auto"/>
        <w:ind w:left="0" w:right="0" w:firstLine="640"/>
        <w:jc w:val="both"/>
        <w:rPr>
          <w:rFonts w:hint="eastAsia" w:ascii="仿宋_GB2312" w:hAnsi="仿宋_GB2312" w:eastAsia="仿宋_GB2312" w:cs="仿宋_GB2312"/>
          <w:color w:val="auto"/>
          <w:spacing w:val="0"/>
          <w:position w:val="0"/>
          <w:sz w:val="32"/>
          <w:shd w:val="clear" w:color="auto" w:fill="auto"/>
        </w:rPr>
      </w:pPr>
    </w:p>
    <w:p>
      <w:pPr>
        <w:spacing w:line="300" w:lineRule="exact"/>
        <w:jc w:val="left"/>
        <w:rPr>
          <w:b w:val="0"/>
          <w:bCs/>
        </w:rPr>
      </w:pPr>
    </w:p>
    <w:p>
      <w:pPr>
        <w:spacing w:before="0" w:after="0" w:line="240" w:lineRule="auto"/>
        <w:ind w:left="0" w:right="0" w:firstLine="0"/>
        <w:jc w:val="both"/>
        <w:rPr>
          <w:rFonts w:ascii="仿宋_GB2312" w:hAnsi="仿宋_GB2312" w:eastAsia="仿宋_GB2312" w:cs="仿宋_GB2312"/>
          <w:color w:val="auto"/>
          <w:spacing w:val="0"/>
          <w:position w:val="0"/>
          <w:sz w:val="32"/>
          <w:shd w:val="clear" w:color="auto" w:fill="auto"/>
        </w:rPr>
      </w:pPr>
    </w:p>
    <w:p>
      <w:pPr>
        <w:widowControl w:val="0"/>
        <w:numPr>
          <w:ilvl w:val="0"/>
          <w:numId w:val="0"/>
        </w:numPr>
        <w:spacing w:before="0" w:after="200" w:line="300" w:lineRule="auto"/>
        <w:ind w:left="630" w:leftChars="0" w:right="0" w:rightChars="0"/>
        <w:jc w:val="left"/>
        <w:rPr>
          <w:rFonts w:ascii="Tahoma" w:hAnsi="Tahoma" w:eastAsia="Tahoma" w:cs="Tahoma"/>
          <w:color w:val="auto"/>
          <w:spacing w:val="0"/>
          <w:position w:val="0"/>
          <w:sz w:val="22"/>
          <w:shd w:val="clear" w:color="auto" w:fill="auto"/>
        </w:rPr>
      </w:pPr>
    </w:p>
    <w:p>
      <w:pPr>
        <w:spacing w:before="0" w:after="0" w:line="240" w:lineRule="auto"/>
        <w:ind w:left="0" w:right="0" w:firstLine="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第六部分 政府采购预算情况</w:t>
      </w:r>
    </w:p>
    <w:p>
      <w:pPr>
        <w:spacing w:before="0" w:after="0" w:line="240" w:lineRule="auto"/>
        <w:ind w:left="0" w:right="0" w:firstLine="640"/>
        <w:jc w:val="both"/>
        <w:rPr>
          <w:rFonts w:ascii="宋体" w:hAnsi="宋体" w:eastAsia="宋体" w:cs="宋体"/>
          <w:color w:val="auto"/>
          <w:spacing w:val="0"/>
          <w:position w:val="0"/>
          <w:sz w:val="32"/>
          <w:shd w:val="clear" w:color="auto" w:fill="auto"/>
        </w:rPr>
      </w:pPr>
    </w:p>
    <w:p>
      <w:pPr>
        <w:spacing w:before="0" w:after="0" w:line="240" w:lineRule="auto"/>
        <w:ind w:left="0" w:right="0" w:firstLine="640"/>
        <w:jc w:val="both"/>
        <w:rPr>
          <w:rFonts w:hint="eastAsia" w:ascii="仿宋_GB2312" w:hAnsi="仿宋_GB2312" w:eastAsia="仿宋_GB2312" w:cs="仿宋_GB2312"/>
          <w:color w:val="auto"/>
          <w:spacing w:val="0"/>
          <w:position w:val="0"/>
          <w:sz w:val="32"/>
          <w:shd w:val="clear" w:color="auto" w:fill="auto"/>
          <w:lang w:eastAsia="zh-CN"/>
        </w:rPr>
      </w:pPr>
      <w:r>
        <w:rPr>
          <w:rFonts w:ascii="仿宋_GB2312" w:hAnsi="仿宋_GB2312" w:eastAsia="仿宋_GB2312" w:cs="仿宋_GB2312"/>
          <w:color w:val="auto"/>
          <w:spacing w:val="0"/>
          <w:position w:val="0"/>
          <w:sz w:val="32"/>
          <w:shd w:val="clear" w:color="auto" w:fill="auto"/>
        </w:rPr>
        <w:t>2021年度没有政府采购预算</w:t>
      </w:r>
      <w:r>
        <w:rPr>
          <w:rFonts w:hint="eastAsia" w:ascii="仿宋_GB2312" w:hAnsi="仿宋_GB2312" w:eastAsia="仿宋_GB2312" w:cs="仿宋_GB2312"/>
          <w:color w:val="auto"/>
          <w:spacing w:val="0"/>
          <w:position w:val="0"/>
          <w:sz w:val="32"/>
          <w:shd w:val="clear" w:color="auto" w:fill="auto"/>
          <w:lang w:eastAsia="zh-CN"/>
        </w:rPr>
        <w:t>，空表列示。</w:t>
      </w:r>
    </w:p>
    <w:tbl>
      <w:tblPr>
        <w:tblStyle w:val="4"/>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pStyle w:val="2"/>
        <w:rPr>
          <w:rFonts w:hint="eastAsia"/>
          <w:lang w:eastAsia="zh-CN"/>
        </w:rPr>
      </w:pPr>
    </w:p>
    <w:p>
      <w:pPr>
        <w:spacing w:before="0" w:after="0" w:line="240" w:lineRule="auto"/>
        <w:ind w:left="0" w:right="0" w:firstLine="0"/>
        <w:jc w:val="center"/>
        <w:rPr>
          <w:rFonts w:ascii="宋体" w:hAnsi="宋体" w:eastAsia="宋体" w:cs="宋体"/>
          <w:b/>
          <w:color w:val="auto"/>
          <w:spacing w:val="0"/>
          <w:position w:val="0"/>
          <w:sz w:val="32"/>
          <w:shd w:val="clear" w:color="auto" w:fill="auto"/>
        </w:rPr>
      </w:pPr>
    </w:p>
    <w:p>
      <w:pPr>
        <w:spacing w:before="0" w:after="0" w:line="240" w:lineRule="auto"/>
        <w:ind w:left="0" w:right="0" w:firstLine="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第七部分 国有资产信息情况说明</w:t>
      </w:r>
    </w:p>
    <w:p>
      <w:pPr>
        <w:spacing w:before="0" w:after="0" w:line="520" w:lineRule="auto"/>
        <w:ind w:left="0" w:right="0" w:firstLine="640"/>
        <w:jc w:val="both"/>
        <w:rPr>
          <w:rFonts w:ascii="仿宋_GB2312" w:hAnsi="仿宋_GB2312" w:eastAsia="仿宋_GB2312" w:cs="仿宋_GB2312"/>
          <w:color w:val="auto"/>
          <w:spacing w:val="0"/>
          <w:position w:val="0"/>
          <w:sz w:val="32"/>
          <w:shd w:val="clear" w:color="auto" w:fill="auto"/>
        </w:rPr>
      </w:pPr>
      <w:r>
        <w:rPr>
          <w:rFonts w:ascii="宋体" w:hAnsi="宋体" w:eastAsia="宋体" w:cs="宋体"/>
          <w:color w:val="auto"/>
          <w:spacing w:val="0"/>
          <w:position w:val="0"/>
          <w:sz w:val="32"/>
          <w:shd w:val="clear" w:color="auto" w:fill="auto"/>
        </w:rPr>
        <w:t xml:space="preserve">  </w:t>
      </w:r>
      <w:r>
        <w:rPr>
          <w:rFonts w:ascii="仿宋_GB2312" w:hAnsi="仿宋_GB2312" w:eastAsia="仿宋_GB2312" w:cs="仿宋_GB2312"/>
          <w:color w:val="auto"/>
          <w:spacing w:val="0"/>
          <w:position w:val="0"/>
          <w:sz w:val="32"/>
          <w:shd w:val="clear" w:color="auto" w:fill="auto"/>
        </w:rPr>
        <w:t>中共保定市满城区委网络安全和信息化委员会办公室2020年末固定资产总金额</w:t>
      </w:r>
      <w:r>
        <w:rPr>
          <w:rFonts w:hint="eastAsia" w:ascii="仿宋_GB2312" w:hAnsi="仿宋_GB2312" w:eastAsia="仿宋_GB2312" w:cs="仿宋_GB2312"/>
          <w:color w:val="auto"/>
          <w:spacing w:val="0"/>
          <w:position w:val="0"/>
          <w:sz w:val="32"/>
          <w:shd w:val="clear" w:color="auto" w:fill="auto"/>
          <w:lang w:val="en-US" w:eastAsia="zh-CN"/>
        </w:rPr>
        <w:t>6.54</w:t>
      </w:r>
      <w:r>
        <w:rPr>
          <w:rFonts w:ascii="仿宋_GB2312" w:hAnsi="仿宋_GB2312" w:eastAsia="仿宋_GB2312" w:cs="仿宋_GB2312"/>
          <w:color w:val="auto"/>
          <w:spacing w:val="0"/>
          <w:position w:val="0"/>
          <w:sz w:val="32"/>
          <w:shd w:val="clear" w:color="auto" w:fill="auto"/>
        </w:rPr>
        <w:t>万元（详见下表）。202</w:t>
      </w:r>
      <w:r>
        <w:rPr>
          <w:rFonts w:hint="eastAsia" w:ascii="仿宋_GB2312" w:hAnsi="仿宋_GB2312" w:eastAsia="仿宋_GB2312" w:cs="仿宋_GB2312"/>
          <w:color w:val="auto"/>
          <w:spacing w:val="0"/>
          <w:position w:val="0"/>
          <w:sz w:val="32"/>
          <w:shd w:val="clear" w:color="auto" w:fill="auto"/>
          <w:lang w:val="en-US" w:eastAsia="zh-CN"/>
        </w:rPr>
        <w:t>1</w:t>
      </w:r>
      <w:r>
        <w:rPr>
          <w:rFonts w:ascii="仿宋_GB2312" w:hAnsi="仿宋_GB2312" w:eastAsia="仿宋_GB2312" w:cs="仿宋_GB2312"/>
          <w:color w:val="auto"/>
          <w:spacing w:val="0"/>
          <w:position w:val="0"/>
          <w:sz w:val="32"/>
          <w:shd w:val="clear" w:color="auto" w:fill="auto"/>
        </w:rPr>
        <w:t xml:space="preserve">年无拟购置固定资产。 </w:t>
      </w:r>
    </w:p>
    <w:tbl>
      <w:tblPr>
        <w:tblStyle w:val="4"/>
        <w:tblW w:w="8804" w:type="dxa"/>
        <w:tblInd w:w="0" w:type="dxa"/>
        <w:tblLayout w:type="fixed"/>
        <w:tblCellMar>
          <w:top w:w="0" w:type="dxa"/>
          <w:left w:w="10" w:type="dxa"/>
          <w:bottom w:w="0" w:type="dxa"/>
          <w:right w:w="10" w:type="dxa"/>
        </w:tblCellMar>
      </w:tblPr>
      <w:tblGrid>
        <w:gridCol w:w="3811"/>
        <w:gridCol w:w="1591"/>
        <w:gridCol w:w="3402"/>
      </w:tblGrid>
      <w:tr>
        <w:tblPrEx>
          <w:tblCellMar>
            <w:top w:w="0" w:type="dxa"/>
            <w:left w:w="10" w:type="dxa"/>
            <w:bottom w:w="0" w:type="dxa"/>
            <w:right w:w="10" w:type="dxa"/>
          </w:tblCellMar>
        </w:tblPrEx>
        <w:trPr>
          <w:trHeight w:val="0" w:hRule="atLeast"/>
        </w:trPr>
        <w:tc>
          <w:tcPr>
            <w:tcW w:w="8804" w:type="dxa"/>
            <w:gridSpan w:val="3"/>
            <w:tcBorders>
              <w:top w:val="single" w:color="000000" w:sz="0" w:space="0"/>
              <w:left w:val="single" w:color="000000" w:sz="0" w:space="0"/>
              <w:bottom w:val="single" w:color="000000" w:sz="0" w:space="0"/>
              <w:right w:val="single" w:color="000000" w:sz="0"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中共保定市满城区委网络安全和信息化委员会办公室</w:t>
            </w:r>
          </w:p>
          <w:p>
            <w:pPr>
              <w:widowControl w:val="0"/>
              <w:spacing w:before="0" w:after="0" w:line="240" w:lineRule="auto"/>
              <w:ind w:left="0" w:right="0" w:firstLine="0"/>
              <w:jc w:val="center"/>
              <w:rPr>
                <w:rFonts w:ascii="宋体" w:hAnsi="宋体" w:eastAsia="宋体" w:cs="宋体"/>
                <w:color w:val="auto"/>
                <w:spacing w:val="0"/>
                <w:position w:val="0"/>
                <w:shd w:val="clear" w:color="auto" w:fill="auto"/>
              </w:rPr>
            </w:pPr>
            <w:r>
              <w:rPr>
                <w:rFonts w:ascii="宋体" w:hAnsi="宋体" w:eastAsia="宋体" w:cs="宋体"/>
                <w:b/>
                <w:color w:val="auto"/>
                <w:spacing w:val="0"/>
                <w:position w:val="0"/>
                <w:sz w:val="32"/>
                <w:shd w:val="clear" w:color="auto" w:fill="auto"/>
              </w:rPr>
              <w:t>固定资产占用情况表</w:t>
            </w:r>
          </w:p>
        </w:tc>
      </w:tr>
      <w:tr>
        <w:tblPrEx>
          <w:tblCellMar>
            <w:top w:w="0" w:type="dxa"/>
            <w:left w:w="10" w:type="dxa"/>
            <w:bottom w:w="0" w:type="dxa"/>
            <w:right w:w="10" w:type="dxa"/>
          </w:tblCellMar>
        </w:tblPrEx>
        <w:trPr>
          <w:trHeight w:val="0" w:hRule="atLeast"/>
        </w:trPr>
        <w:tc>
          <w:tcPr>
            <w:tcW w:w="8804" w:type="dxa"/>
            <w:gridSpan w:val="3"/>
            <w:tcBorders>
              <w:top w:val="single" w:color="000000" w:sz="0" w:space="0"/>
              <w:left w:val="single" w:color="000000" w:sz="0" w:space="0"/>
              <w:bottom w:val="single" w:color="000000" w:sz="4" w:space="0"/>
              <w:right w:val="single" w:color="000000" w:sz="0"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32"/>
                <w:shd w:val="clear" w:color="auto" w:fill="auto"/>
              </w:rPr>
              <w:t xml:space="preserve">                           截止时间：2020年12月31日</w:t>
            </w:r>
          </w:p>
        </w:tc>
      </w:tr>
      <w:tr>
        <w:tblPrEx>
          <w:tblCellMar>
            <w:top w:w="0" w:type="dxa"/>
            <w:left w:w="10" w:type="dxa"/>
            <w:bottom w:w="0" w:type="dxa"/>
            <w:right w:w="10" w:type="dxa"/>
          </w:tblCellMar>
        </w:tblPrEx>
        <w:trPr>
          <w:trHeight w:val="0" w:hRule="atLeast"/>
        </w:trPr>
        <w:tc>
          <w:tcPr>
            <w:tcW w:w="3811" w:type="dxa"/>
            <w:tcBorders>
              <w:top w:val="single" w:color="000000" w:sz="0" w:space="0"/>
              <w:left w:val="single" w:color="000000" w:sz="4"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b/>
                <w:color w:val="000000"/>
                <w:spacing w:val="0"/>
                <w:position w:val="0"/>
                <w:sz w:val="24"/>
                <w:shd w:val="clear" w:color="auto" w:fill="auto"/>
              </w:rPr>
              <w:t>项　　目</w:t>
            </w:r>
          </w:p>
        </w:tc>
        <w:tc>
          <w:tcPr>
            <w:tcW w:w="1591"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b/>
                <w:color w:val="000000"/>
                <w:spacing w:val="0"/>
                <w:position w:val="0"/>
                <w:sz w:val="24"/>
                <w:shd w:val="clear" w:color="auto" w:fill="auto"/>
              </w:rPr>
              <w:t>数量</w:t>
            </w:r>
          </w:p>
        </w:tc>
        <w:tc>
          <w:tcPr>
            <w:tcW w:w="3402"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b/>
                <w:color w:val="000000"/>
                <w:spacing w:val="0"/>
                <w:position w:val="0"/>
                <w:sz w:val="24"/>
                <w:shd w:val="clear" w:color="auto" w:fill="auto"/>
              </w:rPr>
              <w:t>价值（单位：万元）</w:t>
            </w:r>
          </w:p>
        </w:tc>
      </w:tr>
      <w:tr>
        <w:tblPrEx>
          <w:tblCellMar>
            <w:top w:w="0" w:type="dxa"/>
            <w:left w:w="10" w:type="dxa"/>
            <w:bottom w:w="0" w:type="dxa"/>
            <w:right w:w="10" w:type="dxa"/>
          </w:tblCellMar>
        </w:tblPrEx>
        <w:trPr>
          <w:trHeight w:val="0" w:hRule="atLeast"/>
        </w:trPr>
        <w:tc>
          <w:tcPr>
            <w:tcW w:w="3811" w:type="dxa"/>
            <w:tcBorders>
              <w:top w:val="single" w:color="000000" w:sz="0" w:space="0"/>
              <w:left w:val="single" w:color="000000" w:sz="4"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b/>
                <w:color w:val="000000"/>
                <w:spacing w:val="0"/>
                <w:position w:val="0"/>
                <w:sz w:val="24"/>
                <w:shd w:val="clear" w:color="auto" w:fill="auto"/>
              </w:rPr>
              <w:t>固定资产总额</w:t>
            </w:r>
          </w:p>
        </w:tc>
        <w:tc>
          <w:tcPr>
            <w:tcW w:w="1591"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c>
          <w:tcPr>
            <w:tcW w:w="3402"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hint="default" w:ascii="宋体" w:hAnsi="宋体" w:eastAsia="宋体" w:cs="宋体"/>
                <w:spacing w:val="0"/>
                <w:position w:val="0"/>
                <w:shd w:val="clear" w:color="auto" w:fill="auto"/>
                <w:lang w:val="en-US" w:eastAsia="zh-CN"/>
              </w:rPr>
            </w:pPr>
            <w:r>
              <w:rPr>
                <w:rFonts w:hint="eastAsia" w:ascii="宋体" w:hAnsi="宋体" w:eastAsia="宋体" w:cs="宋体"/>
                <w:spacing w:val="0"/>
                <w:position w:val="0"/>
                <w:shd w:val="clear" w:color="auto" w:fill="auto"/>
                <w:lang w:val="en-US" w:eastAsia="zh-CN"/>
              </w:rPr>
              <w:t>6.54</w:t>
            </w:r>
          </w:p>
        </w:tc>
      </w:tr>
      <w:tr>
        <w:tblPrEx>
          <w:tblCellMar>
            <w:top w:w="0" w:type="dxa"/>
            <w:left w:w="10" w:type="dxa"/>
            <w:bottom w:w="0" w:type="dxa"/>
            <w:right w:w="10" w:type="dxa"/>
          </w:tblCellMar>
        </w:tblPrEx>
        <w:trPr>
          <w:trHeight w:val="0" w:hRule="atLeast"/>
        </w:trPr>
        <w:tc>
          <w:tcPr>
            <w:tcW w:w="3811" w:type="dxa"/>
            <w:tcBorders>
              <w:top w:val="single" w:color="000000" w:sz="0" w:space="0"/>
              <w:left w:val="single" w:color="000000" w:sz="4"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 xml:space="preserve">  1、房屋（平方米）</w:t>
            </w:r>
          </w:p>
        </w:tc>
        <w:tc>
          <w:tcPr>
            <w:tcW w:w="1591"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c>
          <w:tcPr>
            <w:tcW w:w="3402"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r>
      <w:tr>
        <w:tblPrEx>
          <w:tblCellMar>
            <w:top w:w="0" w:type="dxa"/>
            <w:left w:w="10" w:type="dxa"/>
            <w:bottom w:w="0" w:type="dxa"/>
            <w:right w:w="10" w:type="dxa"/>
          </w:tblCellMar>
        </w:tblPrEx>
        <w:trPr>
          <w:trHeight w:val="0" w:hRule="atLeast"/>
        </w:trPr>
        <w:tc>
          <w:tcPr>
            <w:tcW w:w="381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left"/>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 xml:space="preserve">   其中：办公用房（平方米）</w:t>
            </w:r>
          </w:p>
        </w:tc>
        <w:tc>
          <w:tcPr>
            <w:tcW w:w="1591" w:type="dxa"/>
            <w:tcBorders>
              <w:top w:val="single" w:color="000000" w:sz="4" w:space="0"/>
              <w:left w:val="single" w:color="000000" w:sz="0"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c>
          <w:tcPr>
            <w:tcW w:w="3402" w:type="dxa"/>
            <w:tcBorders>
              <w:top w:val="single" w:color="000000" w:sz="4" w:space="0"/>
              <w:left w:val="single" w:color="000000" w:sz="0"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r>
      <w:tr>
        <w:tblPrEx>
          <w:tblCellMar>
            <w:top w:w="0" w:type="dxa"/>
            <w:left w:w="10" w:type="dxa"/>
            <w:bottom w:w="0" w:type="dxa"/>
            <w:right w:w="10" w:type="dxa"/>
          </w:tblCellMar>
        </w:tblPrEx>
        <w:trPr>
          <w:trHeight w:val="0" w:hRule="atLeast"/>
        </w:trPr>
        <w:tc>
          <w:tcPr>
            <w:tcW w:w="3811" w:type="dxa"/>
            <w:tcBorders>
              <w:top w:val="single" w:color="000000" w:sz="0" w:space="0"/>
              <w:left w:val="single" w:color="000000" w:sz="4"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 xml:space="preserve">  2、车辆（台、辆）</w:t>
            </w:r>
          </w:p>
        </w:tc>
        <w:tc>
          <w:tcPr>
            <w:tcW w:w="1591"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color="auto" w:fill="auto"/>
                <w:lang w:eastAsia="zh-CN"/>
              </w:rPr>
            </w:pPr>
            <w:r>
              <w:rPr>
                <w:rFonts w:hint="eastAsia" w:ascii="宋体" w:hAnsi="宋体" w:eastAsia="宋体" w:cs="宋体"/>
                <w:color w:val="000000"/>
                <w:spacing w:val="0"/>
                <w:position w:val="0"/>
                <w:sz w:val="24"/>
                <w:shd w:val="clear" w:color="auto" w:fill="auto"/>
                <w:lang w:val="en-US" w:eastAsia="zh-CN"/>
              </w:rPr>
              <w:t>1</w:t>
            </w:r>
          </w:p>
        </w:tc>
        <w:tc>
          <w:tcPr>
            <w:tcW w:w="3402"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color="auto" w:fill="auto"/>
                <w:lang w:eastAsia="zh-CN"/>
              </w:rPr>
            </w:pPr>
            <w:r>
              <w:rPr>
                <w:rFonts w:hint="eastAsia" w:ascii="宋体" w:hAnsi="宋体" w:eastAsia="宋体" w:cs="宋体"/>
                <w:color w:val="000000"/>
                <w:spacing w:val="0"/>
                <w:position w:val="0"/>
                <w:sz w:val="24"/>
                <w:shd w:val="clear" w:color="auto" w:fill="auto"/>
                <w:lang w:val="en-US" w:eastAsia="zh-CN"/>
              </w:rPr>
              <w:t>0</w:t>
            </w:r>
          </w:p>
        </w:tc>
      </w:tr>
      <w:tr>
        <w:tblPrEx>
          <w:tblCellMar>
            <w:top w:w="0" w:type="dxa"/>
            <w:left w:w="10" w:type="dxa"/>
            <w:bottom w:w="0" w:type="dxa"/>
            <w:right w:w="10" w:type="dxa"/>
          </w:tblCellMar>
        </w:tblPrEx>
        <w:trPr>
          <w:trHeight w:val="0" w:hRule="atLeast"/>
        </w:trPr>
        <w:tc>
          <w:tcPr>
            <w:tcW w:w="3811" w:type="dxa"/>
            <w:tcBorders>
              <w:top w:val="single" w:color="000000" w:sz="0" w:space="0"/>
              <w:left w:val="single" w:color="000000" w:sz="4"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 xml:space="preserve">  3、单价在20万元以上的设备</w:t>
            </w:r>
          </w:p>
        </w:tc>
        <w:tc>
          <w:tcPr>
            <w:tcW w:w="1591"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c>
          <w:tcPr>
            <w:tcW w:w="3402" w:type="dxa"/>
            <w:tcBorders>
              <w:top w:val="single" w:color="000000" w:sz="0" w:space="0"/>
              <w:left w:val="single" w:color="000000" w:sz="0" w:space="0"/>
              <w:bottom w:val="single" w:color="000000" w:sz="4" w:space="0"/>
              <w:right w:val="single" w:color="000000" w:sz="4" w:space="0"/>
            </w:tcBorders>
            <w:noWrap w:val="0"/>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r>
      <w:tr>
        <w:tblPrEx>
          <w:tblCellMar>
            <w:top w:w="0" w:type="dxa"/>
            <w:left w:w="10" w:type="dxa"/>
            <w:bottom w:w="0" w:type="dxa"/>
            <w:right w:w="10" w:type="dxa"/>
          </w:tblCellMar>
        </w:tblPrEx>
        <w:trPr>
          <w:trHeight w:val="0" w:hRule="atLeast"/>
        </w:trPr>
        <w:tc>
          <w:tcPr>
            <w:tcW w:w="381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left"/>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 xml:space="preserve">  4、其他固定资产</w:t>
            </w:r>
          </w:p>
        </w:tc>
        <w:tc>
          <w:tcPr>
            <w:tcW w:w="1591" w:type="dxa"/>
            <w:tcBorders>
              <w:top w:val="single" w:color="000000" w:sz="4" w:space="0"/>
              <w:left w:val="single" w:color="000000" w:sz="0"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color="auto" w:fill="auto"/>
              </w:rPr>
            </w:pPr>
            <w:r>
              <w:rPr>
                <w:rFonts w:ascii="宋体" w:hAnsi="宋体" w:eastAsia="宋体" w:cs="宋体"/>
                <w:color w:val="000000"/>
                <w:spacing w:val="0"/>
                <w:position w:val="0"/>
                <w:sz w:val="24"/>
                <w:shd w:val="clear" w:color="auto" w:fill="auto"/>
              </w:rPr>
              <w:t>—</w:t>
            </w:r>
          </w:p>
        </w:tc>
        <w:tc>
          <w:tcPr>
            <w:tcW w:w="3402" w:type="dxa"/>
            <w:tcBorders>
              <w:top w:val="single" w:color="000000" w:sz="4" w:space="0"/>
              <w:left w:val="single" w:color="000000" w:sz="0" w:space="0"/>
              <w:bottom w:val="single" w:color="000000" w:sz="4" w:space="0"/>
              <w:right w:val="single" w:color="000000" w:sz="4" w:space="0"/>
            </w:tcBorders>
            <w:noWrap w:val="0"/>
            <w:tcMar>
              <w:left w:w="108" w:type="dxa"/>
              <w:right w:w="108" w:type="dxa"/>
            </w:tcMar>
            <w:vAlign w:val="center"/>
          </w:tcPr>
          <w:p>
            <w:pPr>
              <w:spacing w:before="0" w:after="0" w:line="240" w:lineRule="auto"/>
              <w:ind w:left="0" w:right="0" w:firstLine="0"/>
              <w:jc w:val="center"/>
              <w:rPr>
                <w:rFonts w:hint="default" w:ascii="宋体" w:hAnsi="宋体" w:eastAsia="宋体" w:cs="宋体"/>
                <w:spacing w:val="0"/>
                <w:position w:val="0"/>
                <w:shd w:val="clear" w:color="auto" w:fill="auto"/>
                <w:lang w:val="en-US" w:eastAsia="zh-CN"/>
              </w:rPr>
            </w:pPr>
            <w:r>
              <w:rPr>
                <w:rFonts w:hint="eastAsia" w:ascii="宋体" w:hAnsi="宋体" w:eastAsia="宋体" w:cs="宋体"/>
                <w:color w:val="000000"/>
                <w:spacing w:val="0"/>
                <w:position w:val="0"/>
                <w:sz w:val="24"/>
                <w:shd w:val="clear" w:color="auto" w:fill="auto"/>
                <w:lang w:val="en-US" w:eastAsia="zh-CN"/>
              </w:rPr>
              <w:t>6.54</w:t>
            </w:r>
          </w:p>
        </w:tc>
      </w:tr>
    </w:tbl>
    <w:p>
      <w:pPr>
        <w:spacing w:before="0" w:after="0" w:line="500" w:lineRule="auto"/>
        <w:ind w:left="0" w:right="0" w:firstLine="630"/>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第八部分：名词解释</w:t>
      </w:r>
    </w:p>
    <w:p>
      <w:pPr>
        <w:spacing w:before="0" w:after="0" w:line="50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1、一般公共预算拨款收入：指区级财政当年拨付的资金。</w:t>
      </w:r>
    </w:p>
    <w:p>
      <w:pPr>
        <w:spacing w:before="0" w:after="0" w:line="50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2、其他收入：指除上述“财政拨款收入”、“事业收入”等以外的收入。</w:t>
      </w:r>
    </w:p>
    <w:p>
      <w:pPr>
        <w:spacing w:before="0" w:after="0" w:line="50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3、基本支出：指为保障机构正常运转、完成日常工作任务而发生的人员支出和公用支出。</w:t>
      </w:r>
    </w:p>
    <w:p>
      <w:pPr>
        <w:spacing w:before="0" w:after="0" w:line="50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4、项目支出：指在基本支出之外为完成特定行政任务和事业发展目标所发生的支出。</w:t>
      </w:r>
    </w:p>
    <w:p>
      <w:pPr>
        <w:spacing w:before="0" w:after="0" w:line="500" w:lineRule="auto"/>
        <w:ind w:left="0" w:right="0" w:firstLine="640"/>
        <w:jc w:val="left"/>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0" w:after="0" w:line="240" w:lineRule="auto"/>
        <w:ind w:left="0" w:right="0" w:firstLine="80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 xml:space="preserve">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spacing w:before="0" w:after="0" w:line="240" w:lineRule="auto"/>
        <w:ind w:left="0" w:right="0" w:firstLine="800"/>
        <w:jc w:val="both"/>
        <w:rPr>
          <w:rFonts w:ascii="宋体" w:hAnsi="宋体" w:eastAsia="宋体" w:cs="宋体"/>
          <w:color w:val="auto"/>
          <w:spacing w:val="0"/>
          <w:position w:val="0"/>
          <w:sz w:val="32"/>
          <w:shd w:val="clear" w:color="auto" w:fill="auto"/>
        </w:rPr>
      </w:pPr>
    </w:p>
    <w:p>
      <w:pPr>
        <w:spacing w:before="0" w:after="0" w:line="240" w:lineRule="auto"/>
        <w:ind w:left="0" w:right="0" w:firstLine="803"/>
        <w:jc w:val="center"/>
        <w:rPr>
          <w:rFonts w:ascii="宋体" w:hAnsi="宋体" w:eastAsia="宋体" w:cs="宋体"/>
          <w:b/>
          <w:color w:val="auto"/>
          <w:spacing w:val="0"/>
          <w:position w:val="0"/>
          <w:sz w:val="32"/>
          <w:shd w:val="clear" w:color="auto" w:fill="auto"/>
        </w:rPr>
      </w:pPr>
      <w:r>
        <w:rPr>
          <w:rFonts w:ascii="宋体" w:hAnsi="宋体" w:eastAsia="宋体" w:cs="宋体"/>
          <w:b/>
          <w:color w:val="auto"/>
          <w:spacing w:val="0"/>
          <w:position w:val="0"/>
          <w:sz w:val="32"/>
          <w:shd w:val="clear" w:color="auto" w:fill="auto"/>
        </w:rPr>
        <w:t>第九部分：其他需说明的事项</w:t>
      </w:r>
    </w:p>
    <w:p>
      <w:pPr>
        <w:spacing w:before="0" w:after="0" w:line="240" w:lineRule="auto"/>
        <w:ind w:left="0" w:right="0" w:firstLine="800"/>
        <w:jc w:val="both"/>
        <w:rPr>
          <w:rFonts w:ascii="宋体" w:hAnsi="宋体" w:eastAsia="宋体" w:cs="宋体"/>
          <w:color w:val="auto"/>
          <w:spacing w:val="0"/>
          <w:position w:val="0"/>
          <w:sz w:val="32"/>
          <w:shd w:val="clear" w:color="auto" w:fill="auto"/>
        </w:rPr>
      </w:pPr>
    </w:p>
    <w:p>
      <w:pPr>
        <w:spacing w:before="0" w:after="0" w:line="240" w:lineRule="auto"/>
        <w:ind w:left="0" w:right="0" w:firstLine="800"/>
        <w:jc w:val="both"/>
        <w:rPr>
          <w:rFonts w:ascii="仿宋_GB2312" w:hAnsi="仿宋_GB2312" w:eastAsia="仿宋_GB2312" w:cs="仿宋_GB2312"/>
          <w:color w:val="auto"/>
          <w:spacing w:val="0"/>
          <w:position w:val="0"/>
          <w:sz w:val="32"/>
          <w:shd w:val="clear" w:color="auto" w:fill="auto"/>
        </w:rPr>
      </w:pPr>
      <w:r>
        <w:rPr>
          <w:rFonts w:ascii="仿宋_GB2312" w:hAnsi="仿宋_GB2312" w:eastAsia="仿宋_GB2312" w:cs="仿宋_GB2312"/>
          <w:color w:val="auto"/>
          <w:spacing w:val="0"/>
          <w:position w:val="0"/>
          <w:sz w:val="32"/>
          <w:shd w:val="clear" w:color="auto" w:fill="auto"/>
        </w:rPr>
        <w:t xml:space="preserve">无其他需说明的事项。           </w:t>
      </w:r>
    </w:p>
    <w:p>
      <w:pPr>
        <w:spacing w:before="0" w:after="0" w:line="240" w:lineRule="auto"/>
        <w:ind w:left="0" w:right="0" w:firstLine="0"/>
        <w:jc w:val="both"/>
        <w:rPr>
          <w:rFonts w:ascii="Calibri" w:hAnsi="Calibri" w:eastAsia="Calibri" w:cs="Calibri"/>
          <w:color w:val="auto"/>
          <w:spacing w:val="0"/>
          <w:position w:val="0"/>
          <w:sz w:val="21"/>
          <w:shd w:val="clear" w:color="auto"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hyphenationZone w:val="360"/>
  <w:displayHorizontalDrawingGridEvery w:val="1"/>
  <w:displayVerticalDrawingGridEvery w:val="1"/>
  <w:characterSpacingControl w:val="doNotCompress"/>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A0C4F"/>
    <w:rsid w:val="032644DE"/>
    <w:rsid w:val="062D7121"/>
    <w:rsid w:val="07781349"/>
    <w:rsid w:val="078C6685"/>
    <w:rsid w:val="08E84EB1"/>
    <w:rsid w:val="0C7D63A2"/>
    <w:rsid w:val="0C8D1251"/>
    <w:rsid w:val="0D161FAE"/>
    <w:rsid w:val="0D4C4831"/>
    <w:rsid w:val="0D5623E9"/>
    <w:rsid w:val="0E260632"/>
    <w:rsid w:val="0F3704AE"/>
    <w:rsid w:val="14990E16"/>
    <w:rsid w:val="156E3DBC"/>
    <w:rsid w:val="1A714B0B"/>
    <w:rsid w:val="1A8C645A"/>
    <w:rsid w:val="1AAC25B5"/>
    <w:rsid w:val="1CAB1216"/>
    <w:rsid w:val="204B68AC"/>
    <w:rsid w:val="22094DCF"/>
    <w:rsid w:val="28D90ED8"/>
    <w:rsid w:val="29B07FA2"/>
    <w:rsid w:val="2B846FCB"/>
    <w:rsid w:val="33512C67"/>
    <w:rsid w:val="367B61F1"/>
    <w:rsid w:val="36AD559E"/>
    <w:rsid w:val="37D1198A"/>
    <w:rsid w:val="38871727"/>
    <w:rsid w:val="3A9E1866"/>
    <w:rsid w:val="3B3F0AF0"/>
    <w:rsid w:val="41192DAD"/>
    <w:rsid w:val="417D4E23"/>
    <w:rsid w:val="440F0046"/>
    <w:rsid w:val="46273E0F"/>
    <w:rsid w:val="4A08693E"/>
    <w:rsid w:val="4A6917C1"/>
    <w:rsid w:val="4CD535F0"/>
    <w:rsid w:val="4DA60873"/>
    <w:rsid w:val="501D32CC"/>
    <w:rsid w:val="50BE6F29"/>
    <w:rsid w:val="533077DB"/>
    <w:rsid w:val="56C84965"/>
    <w:rsid w:val="57D90B53"/>
    <w:rsid w:val="5AB6024A"/>
    <w:rsid w:val="5CD2729D"/>
    <w:rsid w:val="5CDC2EED"/>
    <w:rsid w:val="6381334C"/>
    <w:rsid w:val="642B5E87"/>
    <w:rsid w:val="656F6109"/>
    <w:rsid w:val="6755763B"/>
    <w:rsid w:val="68E131E3"/>
    <w:rsid w:val="6BD37EE7"/>
    <w:rsid w:val="6C887307"/>
    <w:rsid w:val="6E6D74E4"/>
    <w:rsid w:val="6E6E0FE7"/>
    <w:rsid w:val="6EE554FF"/>
    <w:rsid w:val="6FC04CB7"/>
    <w:rsid w:val="74990110"/>
    <w:rsid w:val="7742284A"/>
    <w:rsid w:val="7A2C4B6D"/>
    <w:rsid w:val="7D463ABB"/>
    <w:rsid w:val="7E2E6BDE"/>
    <w:rsid w:val="7FEF77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rPr>
  </w:style>
  <w:style w:type="character" w:default="1" w:styleId="5">
    <w:name w:val="Default Paragraph Font"/>
    <w:semiHidden/>
    <w:qForma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customStyle="1"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2021-04-29T06:42:00Z</dcterms:created>
  <dc:creator>Administrator</dc:creator>
  <cp:lastModifiedBy>Administrator</cp:lastModifiedBy>
  <dcterms:modified xsi:type="dcterms:W3CDTF">2023-11-09T03:13:46Z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BFDD0D3B71184B568AD496394A041659</vt:lpwstr>
  </property>
</Properties>
</file>