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满城区人民政府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</w:t>
      </w:r>
      <w:r>
        <w:rPr>
          <w:rFonts w:ascii="仿宋_GB2312" w:eastAsia="仿宋_GB2312"/>
          <w:b/>
          <w:sz w:val="36"/>
          <w:szCs w:val="36"/>
        </w:rPr>
        <w:t>201</w:t>
      </w:r>
      <w:r>
        <w:rPr>
          <w:rFonts w:hint="eastAsia" w:ascii="仿宋_GB2312" w:eastAsia="仿宋_GB2312"/>
          <w:b/>
          <w:sz w:val="36"/>
          <w:szCs w:val="36"/>
        </w:rPr>
        <w:t>8年公共财政预算公开有关事项的说明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一、财政资金安排“三公”经费预算情况</w:t>
      </w:r>
      <w:r>
        <w:rPr>
          <w:rFonts w:eastAsia="仿宋_GB2312"/>
          <w:b/>
          <w:sz w:val="28"/>
          <w:szCs w:val="28"/>
        </w:rPr>
        <w:t>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8年本级财政安排“三公”经费预算906万元，比上年减少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22万元，下降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1.9</w:t>
      </w:r>
      <w:r>
        <w:rPr>
          <w:rFonts w:ascii="仿宋_GB2312" w:eastAsia="仿宋_GB2312"/>
          <w:sz w:val="28"/>
          <w:szCs w:val="28"/>
        </w:rPr>
        <w:t>%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具体安排情况：</w:t>
      </w:r>
      <w:r>
        <w:rPr>
          <w:rFonts w:eastAsia="仿宋_GB2312"/>
          <w:sz w:val="28"/>
          <w:szCs w:val="28"/>
        </w:rPr>
        <w:t>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（一）公车购置及运行费。安排858万元，同比减少141万元，下降</w:t>
      </w:r>
      <w:r>
        <w:rPr>
          <w:rFonts w:ascii="仿宋_GB2312" w:eastAsia="仿宋_GB2312"/>
          <w:sz w:val="28"/>
          <w:szCs w:val="28"/>
        </w:rPr>
        <w:t>14.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%</w:t>
      </w:r>
      <w:r>
        <w:rPr>
          <w:rFonts w:hint="eastAsia" w:ascii="仿宋_GB2312" w:eastAsia="仿宋_GB2312"/>
          <w:sz w:val="28"/>
          <w:szCs w:val="28"/>
        </w:rPr>
        <w:t xml:space="preserve"> 。①公车购置费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8年度未安排财政预算；②全区公务用车290辆，公车运行维护经费安排858万元，同比下降</w:t>
      </w:r>
      <w:r>
        <w:rPr>
          <w:rFonts w:ascii="仿宋_GB2312" w:eastAsia="仿宋_GB2312"/>
          <w:sz w:val="28"/>
          <w:szCs w:val="28"/>
        </w:rPr>
        <w:t>14.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%</w:t>
      </w:r>
      <w:r>
        <w:rPr>
          <w:rFonts w:hint="eastAsia" w:ascii="仿宋_GB2312" w:eastAsia="仿宋_GB2312"/>
          <w:sz w:val="28"/>
          <w:szCs w:val="28"/>
        </w:rPr>
        <w:t>；与2017年决算相比下降27.0%，原因是调减公务用车运行定额标准。</w:t>
      </w:r>
      <w:r>
        <w:rPr>
          <w:rFonts w:eastAsia="仿宋_GB2312"/>
          <w:sz w:val="28"/>
          <w:szCs w:val="28"/>
        </w:rPr>
        <w:t>  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（二）公务接待费。安排48万元，与上年基本持平，略有降低；与2017年决算比较减少21万元，下降30%，主要是各单位严格公务接待标准，减少不必要的接待安排。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（三）因公出国（境）费。本级财政未安排。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 二、财政收支情况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2018年一般公共预算收入安排64515万元，同比增长9%，支出安排200615万元，同比增加9893万元。政府性基金预算收入安排121538万元，支出安排79847万元。</w:t>
      </w:r>
    </w:p>
    <w:p>
      <w:pPr>
        <w:ind w:firstLine="410" w:firstLineChars="14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三、地方政府债券还本付息情况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年共安排地方政府债券付息资金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628万元，其中:一般公共预算424万元、政府性基金204万元。根据《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中华人民共和国预算法</w:t>
      </w:r>
      <w:r>
        <w:rPr>
          <w:rFonts w:hint="eastAsia" w:ascii="仿宋_GB2312" w:eastAsia="仿宋_GB2312"/>
          <w:sz w:val="28"/>
          <w:szCs w:val="28"/>
        </w:rPr>
        <w:t>》有关规定，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8年拟使用地方政府债券收支暂未列入年初预算，待省、市政府下达我区</w:t>
      </w:r>
      <w:r>
        <w:rPr>
          <w:rFonts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年地方政府债券限额后，再编制区级预算调整方案，提请区人大常委会批准后再按规定要求公开。</w:t>
      </w:r>
    </w:p>
    <w:p>
      <w:pPr>
        <w:ind w:firstLine="410" w:firstLineChars="14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四、财政转移支付安排情况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8年上级下达我区一般公共预算转移支付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1372万元，其中：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返还性收入</w:t>
      </w:r>
      <w:r>
        <w:rPr>
          <w:rFonts w:ascii="仿宋_GB2312" w:eastAsia="仿宋_GB2312"/>
          <w:sz w:val="28"/>
          <w:szCs w:val="28"/>
        </w:rPr>
        <w:t xml:space="preserve"> 4014 </w:t>
      </w:r>
      <w:r>
        <w:rPr>
          <w:rFonts w:hint="eastAsia" w:ascii="仿宋_GB2312" w:eastAsia="仿宋_GB2312"/>
          <w:sz w:val="28"/>
          <w:szCs w:val="28"/>
        </w:rPr>
        <w:t>万元，一般性转移支付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60049万元，专项转移支付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17309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万元。政府性基金552万元。</w:t>
      </w:r>
    </w:p>
    <w:p>
      <w:pPr>
        <w:ind w:firstLine="413" w:firstLineChars="147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五、绩效预算工作开展情况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</w:t>
      </w:r>
      <w:r>
        <w:rPr>
          <w:rFonts w:hint="eastAsia" w:ascii="仿宋_GB2312" w:eastAsia="仿宋_GB2312"/>
          <w:sz w:val="28"/>
          <w:szCs w:val="28"/>
          <w:lang w:eastAsia="zh-CN"/>
        </w:rPr>
        <w:t>中华人民共和国预算法</w:t>
      </w:r>
      <w:r>
        <w:rPr>
          <w:rFonts w:hint="eastAsia" w:ascii="仿宋_GB2312" w:eastAsia="仿宋_GB2312"/>
          <w:sz w:val="28"/>
          <w:szCs w:val="28"/>
        </w:rPr>
        <w:t>》和省、市有关文件及区委、区政府要求，区财政局作为绩效预算管理改革工作的牵头部门，按照规定                的工作步骤及时间节点召开培训会议，下发绩效预算管理改革相关文件，对绩效预算管理改革工作进行了详细的安排部署，为科学、规范编制好</w:t>
      </w:r>
      <w:r>
        <w:rPr>
          <w:rFonts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</w:rPr>
        <w:t>8年部门绩效预算奠定了坚实的基础。</w:t>
      </w:r>
    </w:p>
    <w:p>
      <w:pPr>
        <w:spacing w:line="560" w:lineRule="exact"/>
        <w:ind w:firstLine="280" w:firstLineChars="1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（一）完善绩效管理制度</w:t>
      </w:r>
      <w:r>
        <w:rPr>
          <w:rFonts w:hint="eastAsia" w:ascii="仿宋_GB2312" w:hAnsi="宋体" w:eastAsia="仿宋_GB2312"/>
          <w:b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我们在往年出台的一系列规范性文件基础上，研究</w:t>
      </w:r>
      <w:r>
        <w:rPr>
          <w:rFonts w:hint="eastAsia" w:ascii="仿宋_GB2312" w:hAnsi="宋体" w:eastAsia="仿宋_GB2312" w:cs="宋体"/>
          <w:sz w:val="28"/>
          <w:szCs w:val="28"/>
        </w:rPr>
        <w:t>出台了《满城区区级预算项目填报规范》（满财</w:t>
      </w:r>
      <w:r>
        <w:rPr>
          <w:rFonts w:hint="eastAsia" w:ascii="仿宋_GB2312" w:hAnsi="宋体" w:eastAsia="仿宋_GB2312"/>
          <w:sz w:val="28"/>
          <w:szCs w:val="28"/>
        </w:rPr>
        <w:t>〔2017〕43号</w:t>
      </w:r>
      <w:r>
        <w:rPr>
          <w:rFonts w:hint="eastAsia" w:ascii="仿宋_GB2312" w:hAnsi="宋体" w:eastAsia="仿宋_GB2312" w:cs="宋体"/>
          <w:sz w:val="28"/>
          <w:szCs w:val="28"/>
        </w:rPr>
        <w:t>），至此，绩效预算管理改革制度框架基本建立，为深入推进改革奠定了基础。</w:t>
      </w:r>
    </w:p>
    <w:p>
      <w:pPr>
        <w:spacing w:line="560" w:lineRule="exact"/>
        <w:ind w:firstLine="640"/>
        <w:rPr>
          <w:rFonts w:ascii="仿宋_GB2312" w:hAnsi="宋体" w:eastAsia="仿宋_GB2312"/>
          <w:snapToGrid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（二）规范项目库管理。</w:t>
      </w:r>
      <w:r>
        <w:rPr>
          <w:rFonts w:hint="eastAsia" w:ascii="仿宋_GB2312" w:hAnsi="宋体" w:eastAsia="仿宋_GB2312" w:cs="宋体"/>
          <w:sz w:val="28"/>
          <w:szCs w:val="28"/>
        </w:rPr>
        <w:t>严格预算项目管理，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坚持“三个全部”，即：部门项目支出全部入库、财政预留资金全部入库、上级下达项目资金全部入库。</w:t>
      </w:r>
    </w:p>
    <w:p>
      <w:pPr>
        <w:spacing w:line="560" w:lineRule="exact"/>
        <w:ind w:firstLine="64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（三）启动对标评估活动。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全省市县绩效预算编制业务培训会上，省财政厅对绩效预算编制工作进行了部署，决定在全省所有市县（包括设区市）开展绩效预算管理改革对标评估活动。会后，我们及时进行研究和部署。一是召开会议。</w:t>
      </w:r>
      <w:r>
        <w:rPr>
          <w:rFonts w:hint="eastAsia" w:ascii="仿宋_GB2312" w:hAnsi="宋体" w:eastAsia="仿宋_GB2312" w:cs="宋体"/>
          <w:sz w:val="28"/>
          <w:szCs w:val="28"/>
        </w:rPr>
        <w:t>二是印发方案。印发《满城区绩效预算管理改革对标活动工作方案》，方案将对标内容全部分解到财政局各业务课室，各司其职，各负其责，确保达标。</w:t>
      </w:r>
    </w:p>
    <w:p>
      <w:pPr>
        <w:spacing w:line="560" w:lineRule="exact"/>
        <w:ind w:firstLine="64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（四）编制部门绩效预算。</w:t>
      </w:r>
      <w:r>
        <w:rPr>
          <w:rFonts w:hint="eastAsia" w:ascii="仿宋_GB2312" w:hAnsi="宋体" w:eastAsia="仿宋_GB2312" w:cs="宋体"/>
          <w:sz w:val="28"/>
          <w:szCs w:val="28"/>
        </w:rPr>
        <w:t>一是做好编制准备。</w:t>
      </w:r>
      <w:r>
        <w:rPr>
          <w:rFonts w:hint="eastAsia" w:ascii="仿宋_GB2312" w:hAnsi="宋体" w:eastAsia="仿宋_GB2312" w:cs="仿宋"/>
          <w:sz w:val="28"/>
          <w:szCs w:val="28"/>
        </w:rPr>
        <w:t>为方便区直部门掌握部门预算编制的相关政策及标准，印制了《2018年区级部门预算编制手册》及《2018年部门预算暨培训会讲稿》。</w:t>
      </w:r>
      <w:r>
        <w:rPr>
          <w:rFonts w:hint="eastAsia" w:ascii="仿宋_GB2312" w:hAnsi="宋体" w:eastAsia="仿宋_GB2312" w:cs="宋体"/>
          <w:sz w:val="28"/>
          <w:szCs w:val="28"/>
        </w:rPr>
        <w:t>二是</w:t>
      </w:r>
      <w:r>
        <w:rPr>
          <w:rFonts w:hint="eastAsia" w:ascii="仿宋_GB2312" w:hAnsi="宋体" w:eastAsia="仿宋_GB2312" w:cs="仿宋"/>
          <w:sz w:val="28"/>
          <w:szCs w:val="28"/>
        </w:rPr>
        <w:t>部门预算部署培训会，三是</w:t>
      </w:r>
      <w:r>
        <w:rPr>
          <w:rFonts w:hint="eastAsia" w:ascii="仿宋_GB2312" w:hAnsi="宋体" w:eastAsia="仿宋_GB2312" w:cs="宋体"/>
          <w:sz w:val="28"/>
          <w:szCs w:val="28"/>
        </w:rPr>
        <w:t>开展集中会审。所有部门、单位全部按照绩效预算管理模式完成了2018年部门预算编制工作。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六、政府采购预算情况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由于受区级财力限制，我区只编制了教育、卫生、公检法、城乡环境一体化项目等几个部门的政府采购预算，政府采购预算资金4244万元，其中：货物采购737万元、工程采购391万元、服务采购3116万元。</w:t>
      </w:r>
    </w:p>
    <w:p>
      <w:pPr>
        <w:ind w:firstLine="419" w:firstLineChars="14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七、其他重要事项的解释说明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</w:t>
      </w:r>
    </w:p>
    <w:p>
      <w:pPr>
        <w:overflowPunct w:val="0"/>
        <w:ind w:firstLine="560" w:firstLineChars="200"/>
        <w:rPr>
          <w:rFonts w:ascii="宋体" w:hAnsi="宋体"/>
          <w:sz w:val="32"/>
          <w:szCs w:val="36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  <w:sectPr>
          <w:pgSz w:w="11900" w:h="16838"/>
          <w:pgMar w:top="1440" w:right="1640" w:bottom="729" w:left="1800" w:header="0" w:footer="0" w:gutter="0"/>
          <w:cols w:equalWidth="0" w:num="1">
            <w:col w:w="8460"/>
          </w:cols>
          <w:docGrid w:linePitch="360" w:charSpace="0"/>
        </w:sectPr>
      </w:pPr>
    </w:p>
    <w:p>
      <w:pPr>
        <w:spacing w:line="240" w:lineRule="atLeast"/>
        <w:rPr>
          <w:rFonts w:ascii="黑体" w:hAnsi="黑体" w:eastAsia="黑体"/>
          <w:b/>
          <w:sz w:val="32"/>
        </w:rPr>
      </w:pPr>
    </w:p>
    <w:tbl>
      <w:tblPr>
        <w:tblStyle w:val="4"/>
        <w:tblW w:w="80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5"/>
        <w:gridCol w:w="537"/>
        <w:gridCol w:w="39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Style w:val="17"/>
              </w:rPr>
              <w:t>1-1</w:t>
            </w:r>
          </w:p>
        </w:tc>
        <w:tc>
          <w:tcPr>
            <w:tcW w:w="452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03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一般公共预算收入表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05" w:type="dxa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一、税收收入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38793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18"/>
                <w:rFonts w:hint="eastAsia"/>
              </w:rPr>
              <w:t>增值税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17978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企业所得税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城市维护建设税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房产税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城镇土地使用税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土地增值税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车船税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耕地占用税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契税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二、非税收入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15533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专项收入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4465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其中：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地方教育附加收入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残疾人就业保障金收入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教育资金收入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农田水利建设专项收入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行政事业性收费收入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5939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其中：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罚没收入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5000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国有资源（资产）有偿使用收入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政府住房基金收入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19"/>
                <w:rFonts w:hint="eastAsia"/>
              </w:rPr>
              <w:t>合计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54326 </w:t>
            </w:r>
          </w:p>
        </w:tc>
      </w:tr>
    </w:tbl>
    <w:p>
      <w:pPr>
        <w:spacing w:line="240" w:lineRule="atLeast"/>
        <w:ind w:left="2260"/>
        <w:rPr>
          <w:rFonts w:ascii="黑体" w:hAnsi="黑体" w:eastAsia="黑体"/>
          <w:b/>
          <w:sz w:val="32"/>
        </w:rPr>
      </w:pPr>
    </w:p>
    <w:tbl>
      <w:tblPr>
        <w:tblStyle w:val="4"/>
        <w:tblW w:w="86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5"/>
        <w:gridCol w:w="1462"/>
        <w:gridCol w:w="33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25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1-2</w:t>
            </w:r>
          </w:p>
        </w:tc>
        <w:tc>
          <w:tcPr>
            <w:tcW w:w="3398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655" w:type="dxa"/>
            <w:gridSpan w:val="3"/>
          </w:tcPr>
          <w:p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一般公共预算支出表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79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860" w:type="dxa"/>
            <w:gridSpan w:val="2"/>
            <w:vAlign w:val="center"/>
          </w:tcPr>
          <w:p>
            <w:pPr>
              <w:widowControl/>
              <w:ind w:right="440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680"/>
              </w:tabs>
              <w:ind w:right="2577" w:rightChars="1227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一、本级支出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40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185666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一、一般公共服务支出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20141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人大事务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政协事务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政府办公厅（室）及相关机构事务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6737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信访事务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发展与改革事务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物价管理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统计信息事务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税收事务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其他税收事务支出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审计事务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纪检监察事务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商贸事务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工商行政管理事务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质量技术监督与检验检疫事务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质量技术监督行政执法及业务管理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民主党派及工商联事务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群众团体事务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党委办公厅（室）及相关机构事务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其他党委办公厅（室）及相关机构事务支出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宣传事务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统战事务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其他共产党事务支出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二、公共安全支出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武装警察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公安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出入境管理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道路交通管理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其他公安支出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检察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其他法院支出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司法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法律援助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其他司法支出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三、教育支出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57081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其他教育管理事务支出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3836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普通教育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44857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21374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11697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其他普通教育支出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职业高中教育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其他职业教育支出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特殊学校教育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进修及培训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教师进修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干部教育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教育费附加安排的支出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其他教育费附加安排的支出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其他教育支出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四、科学技术支出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科学技术普及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其他科学技术普及支出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五、文化体育与传媒支出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新闻出版广播影视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电视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六、社会保障和就业支出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民政管理事务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其他民政管理事务支出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行政事业单位离退休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12054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对机关事业单位基本养老保险基金的补助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就业补助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就业创业服务补贴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其他就业补助支出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抚恤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伤残抚恤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优抚事业单位支出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义务兵优待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其他优抚支出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退役安置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退役士兵安置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军队移交政府的离退休人员安置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社会福利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老年福利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殡葬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残疾人事业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自然灾害生活救助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其他自然灾害生活救助支出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最低生活保障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城市最低生活保障金支出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临时救助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流浪乞讨人员救助支出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其他生活救助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其他城市生活救助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财政对基本养老保险基金的补助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财政对城乡居民基本养老保险基金的补助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财政对其他社会保险基金的补助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其他财政对社会保险基金的补助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其他社会保障和就业支出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七、医疗卫生与计划生育支出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医疗卫生与计划生育管理事务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公立医院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其他公立医院支出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基层医疗卫生机构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乡镇卫生院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其他基层医疗卫生机构支出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基本公共卫生服务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重大公共卫生专项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其他公共卫生支出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中医药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其他中医药支出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计划生育事务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计划生育服务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其他计划生育事务支出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食品和药品监督管理事务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其他食品和药品监督管理事务支出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财政对基本医疗保险基金的补助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财政对城乡居民基本医疗保险基金的补助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医疗救助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城乡医疗救助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优抚对象医疗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优抚对象医疗补助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其他医疗卫生与计划生育支出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八、节能环保支出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环境保护管理事务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污染防治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其他污染防治支出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天然林保护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其他天然林保护支出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退耕还林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退耕现金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其他退耕还林支出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九、城乡社区支出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城乡社区管理事务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城管执法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城乡社区公共设施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小城镇基础设施建设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其他城乡社区公共设施支出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城乡社区环境卫生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十、农林水支出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农产品质量安全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统计监测与信息服务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农业生产支持补贴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农业组织化与产业化经营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对高校毕业生到基层任职补助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其他农业支出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林业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森林生态效益补偿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其他林业支出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扶贫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其他扶贫支出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农业综合开发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土地治理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产业化经营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农村综合改革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对村级一事一议的补助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其他农村综合改革支出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普惠金融发展支出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其他普惠金融发展支出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十一、交通运输支出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公路水路运输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公路养护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其他公路水路运输支出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十二、资源勘探信息等支出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工业和信息产业监管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工业和信息产业支持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其他工业和信息产业监管支出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安全生产监管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十三、商业服务业等支出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商业流通事务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其他商业流通事务支出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旅游业管理与服务支出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涉外发展服务支出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其他涉外发展服务支出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十四、国土海洋气象等支出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国土资源事务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其他国土资源事务支出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气象事务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其他气象事务支出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十五、住房保障支出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保障性安居工程支出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棚户区改造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农村危房改造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其他保障性安居工程支出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十六、粮油物资储备支出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粮油事务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粮食专项业务活动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粮油储备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其他粮油储备支出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十七、其他支出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二、对下税收返还和转移支付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转移性收入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132840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上级补助收入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返还性收入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所得税基数返还收入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成品油税费改革税收返还收入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增值税税收返还收入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消费税税收返还收入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一般性转移支付收入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均衡性转移支付收入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县级基本财力保障机制奖补资金收入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结算补助收入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成品油税费改革转移支付补助收入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基层公检法司转移支付收入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城乡义务教育转移支付收入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基本养老金转移支付收入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城乡居民医疗保险转移支付收入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农村综合改革转移支付收入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重点生态功能区转移支付收入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固定数额补助收入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贫困地区转移支付收入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其他一般性转移支付收入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专项转移支付收入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23894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公共安全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文化体育与传媒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农林水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资源勘探电力信息等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商业服务业等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住房保障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粮油物资储备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上年结余收入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调入资金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从政府性基金预算调入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转移性支出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1500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上解上级支出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体制上解支出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专项上解支出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187166 </w:t>
            </w:r>
          </w:p>
        </w:tc>
      </w:tr>
    </w:tbl>
    <w:p/>
    <w:p/>
    <w:p/>
    <w:p/>
    <w:p/>
    <w:p/>
    <w:p/>
    <w:p/>
    <w:p/>
    <w:p/>
    <w:tbl>
      <w:tblPr>
        <w:tblStyle w:val="4"/>
        <w:tblW w:w="7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4380"/>
        <w:gridCol w:w="20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10" w:type="dxa"/>
          </w:tcPr>
          <w:p>
            <w:pPr>
              <w:widowControl/>
              <w:jc w:val="left"/>
              <w:textAlignment w:val="top"/>
              <w:rPr>
                <w:rStyle w:val="20"/>
                <w:rFonts w:hAnsi="Calibri"/>
              </w:rPr>
            </w:pPr>
          </w:p>
          <w:p>
            <w:pPr>
              <w:widowControl/>
              <w:jc w:val="left"/>
              <w:textAlignment w:val="top"/>
              <w:rPr>
                <w:rStyle w:val="20"/>
                <w:rFonts w:hAnsi="Calibri"/>
              </w:rPr>
            </w:pPr>
          </w:p>
          <w:p>
            <w:pPr>
              <w:widowControl/>
              <w:jc w:val="left"/>
              <w:textAlignment w:val="top"/>
              <w:rPr>
                <w:rStyle w:val="20"/>
                <w:rFonts w:hAnsi="Calibri"/>
              </w:rPr>
            </w:pPr>
          </w:p>
          <w:p>
            <w:pPr>
              <w:widowControl/>
              <w:jc w:val="left"/>
              <w:textAlignment w:val="top"/>
              <w:rPr>
                <w:rStyle w:val="20"/>
                <w:rFonts w:hAnsi="Calibri"/>
              </w:rPr>
            </w:pPr>
          </w:p>
          <w:p>
            <w:pPr>
              <w:widowControl/>
              <w:jc w:val="left"/>
              <w:textAlignment w:val="top"/>
              <w:rPr>
                <w:rStyle w:val="20"/>
                <w:rFonts w:hAnsi="Calibri"/>
              </w:rPr>
            </w:pPr>
          </w:p>
          <w:p>
            <w:pPr>
              <w:widowControl/>
              <w:jc w:val="left"/>
              <w:textAlignment w:val="top"/>
              <w:rPr>
                <w:rStyle w:val="20"/>
                <w:rFonts w:hAnsi="Calibri"/>
              </w:rPr>
            </w:pPr>
          </w:p>
          <w:p>
            <w:pPr>
              <w:widowControl/>
              <w:jc w:val="left"/>
              <w:textAlignment w:val="top"/>
              <w:rPr>
                <w:rStyle w:val="20"/>
                <w:rFonts w:hAnsi="Calibri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20"/>
                <w:rFonts w:hint="eastAsia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1-3</w:t>
            </w:r>
          </w:p>
        </w:tc>
        <w:tc>
          <w:tcPr>
            <w:tcW w:w="4380" w:type="dxa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55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845" w:type="dxa"/>
            <w:gridSpan w:val="3"/>
          </w:tcPr>
          <w:p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一般公共预算本级支出表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10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380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55" w:type="dxa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一、一般公共服务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人大事务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政协事务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政府办公厅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室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及相关机构事务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2010308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信访事务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发展与改革事务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2010401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2010408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物价管理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统计信息事务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2010501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2010601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税收事务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2010799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其他税收事务支出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审计事务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2010801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2011001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纪检监察事务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商贸事务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20120115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工商行政管理事务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2011501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2011502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质量技术监督与检验检疫事务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2011701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2011704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质量技术监督行政执法及业务管理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民主党派及工商联事务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2012801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群众团体事务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2012901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2012902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党委办公厅（室）及相关机构事务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其他党委办公厅（室）及相关机构事务支出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宣传事务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统战事务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2013401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其他共产党事务支出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2013601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2019999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其他一般公共服务支出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二、公共安全支出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武装警察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2040103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出入境管理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道路交通管理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其他公安支出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2040401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2040501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其他法院支出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司法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2050601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2050607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法律援助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2040699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其他司法支出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三、教育支出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57081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其他教育管理事务支出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普通教育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44857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21374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其他普通教育支出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2050304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职业高中教育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2050399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其他职业教育支出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2050701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特殊学校教育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进修及培训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2050801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教师进修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2050802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干部教育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教育费附加安排的支出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2050999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其他教育费附加安排的支出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其他教育支出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四、科学技术支出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科学技术普及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2060799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其他科学技术普及支出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五、文化体育与传媒支出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新闻出版广播影视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2070405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2079999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其他文化体育与传媒支出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六、社会保障和就业支出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民政管理事务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其他民政管理事务支出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行政事业单位离退休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2080507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对机关事业单位基本养老保险基金的补助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就业补助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2080701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就业创业服务补贴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2080799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其他就业补助支出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抚恤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伤残抚恤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优抚事业单位支出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义务兵优待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2080899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其他优抚支出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退役安置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2080901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退役士兵安置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2080902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军队移交政府的离退休人员安置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社会福利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2081002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老年福利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2081004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殡葬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残疾人事业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自然灾害生活救助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其他自然灾害生活救助支出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最低生活保障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2081901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城市最低生活保障金支出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临时救助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2082002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流浪乞讨人员救助支出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其他生活救助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2082502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其他城市生活救助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财政对基本养老保险基金的补助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2082602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财政对城乡居民基本养老保险基金的补助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2082699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财政对其他社会保险基金的补助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其他财政对社会保险基金的补助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2089901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其他社会保障和就业支出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七、医疗卫生与计划生育支出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医疗卫生与计划生育管理事务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公立医院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其他公立医院支出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基层医疗卫生机构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2100302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乡镇卫生院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2100399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其他基层医疗卫生机构支出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基本公共卫生服务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重大公共卫生专项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2100499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其他公共卫生支出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中医药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210699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其他中医药支出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计划生育事务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2100716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计划生育服务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2100799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其他计划生育事务支出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食品和药品监督管理事务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2101099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其他食品和药品监督管理事务支出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财政对基本医疗保险基金的补助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2101204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财政对城乡居民基本医疗保险基金的补助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医疗救助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城乡医疗救助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优抚对象医疗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2101401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优抚对象医疗补助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2101499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其他医疗卫生与计划生育支出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八、节能环保支出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环境保护管理事务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污染防治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2110399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其他污染防治支出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天然林保护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其他天然林保护支出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退耕还林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2110602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退耕现金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2110699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其他退耕还林支出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九、城乡社区支出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城乡社区管理事务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2120104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城管执法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城乡社区公共设施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2120303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小城镇基础设施建设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其他城乡社区公共设施支出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城乡社区环境卫生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十、农林水支出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农产品质量安全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统计监测与信息服务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农业生产支持补贴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农业组织化与产业化经营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2130152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对高校毕业生到基层任职补助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其他农业支出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2130209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森林生态效益补偿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其他林业支出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扶贫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其他扶贫支出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农业综合开发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2130602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土地治理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2130603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产业化经营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农村综合改革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2130701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对村级一事一议的补助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2130799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其他农村综合改革支出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普惠金融发展支出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2130899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其他普惠金融发展支出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2139999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其他农林水事务支出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十一、交通运输支出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公路水路运输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公路养护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其他公路水路运输支出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十二、资源勘探信息等支出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工业和信息产业监管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2150510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工业和信息产业支持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其他工业和信息产业监管支出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安全生产监管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2150601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2150699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其他资源勘探信息等支出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十三、商业服务业等支出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商业流通事务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2160299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其他商业流通事务支出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旅游业管理与服务支出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2160501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涉外发展服务支出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2160699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其他涉外发展服务支出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十四、国土海洋气象等支出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国土资源事务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其他国土资源事务支出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气象事务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2200599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其他气象事务支出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十五、住房保障支出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保障性安居工程支出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2210103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棚户区改造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2210105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农村危房改造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2210199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其他保障性安居工程支出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十六、粮油物资储备支出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粮油事务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2220101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2220106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粮食专项业务活动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粮油储备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2220499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其他粮油储备支出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十七、其他支出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2299901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支出合计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185666</w:t>
            </w:r>
          </w:p>
        </w:tc>
      </w:tr>
    </w:tbl>
    <w:p/>
    <w:p/>
    <w:p/>
    <w:p/>
    <w:p/>
    <w:p/>
    <w:p/>
    <w:p/>
    <w:p/>
    <w:tbl>
      <w:tblPr>
        <w:tblStyle w:val="4"/>
        <w:tblW w:w="67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4"/>
        <w:gridCol w:w="2910"/>
        <w:gridCol w:w="20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5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1-4</w:t>
            </w:r>
          </w:p>
        </w:tc>
        <w:tc>
          <w:tcPr>
            <w:tcW w:w="2910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一般公共预算本级基本支出表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54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910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79565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30101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43656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9971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30201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4498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对个人和家庭的补助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66622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156158 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71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2"/>
        <w:gridCol w:w="1271"/>
        <w:gridCol w:w="1617"/>
        <w:gridCol w:w="18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Style w:val="21"/>
              </w:rPr>
              <w:t>1-5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713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一般公共预算税收返还、一般性和专项转移</w:t>
            </w:r>
          </w:p>
          <w:p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支付分地区安排情况表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02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1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17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7" w:type="dxa"/>
          </w:tcPr>
          <w:p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22"/>
                <w:rFonts w:hint="eastAsia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地区名称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税收返还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一般性转移支付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专项转移支付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满城区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57400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23894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市（县、镇）名</w:t>
            </w:r>
            <w:r>
              <w:rPr>
                <w:rStyle w:val="21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市（县、镇）名</w:t>
            </w:r>
            <w:r>
              <w:rPr>
                <w:rStyle w:val="21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市（县、镇）名</w:t>
            </w:r>
            <w:r>
              <w:rPr>
                <w:rStyle w:val="21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市（县、镇）名</w:t>
            </w:r>
            <w:r>
              <w:rPr>
                <w:rStyle w:val="21"/>
              </w:rPr>
              <w:t>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未分配数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/>
    <w:p/>
    <w:p/>
    <w:p/>
    <w:p/>
    <w:p/>
    <w:p/>
    <w:p/>
    <w:p/>
    <w:p/>
    <w:p/>
    <w:p/>
    <w:p/>
    <w:tbl>
      <w:tblPr>
        <w:tblStyle w:val="4"/>
        <w:tblW w:w="741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2"/>
        <w:gridCol w:w="3495"/>
      </w:tblGrid>
      <w:tr>
        <w:trPr>
          <w:trHeight w:val="540" w:hRule="atLeast"/>
        </w:trPr>
        <w:tc>
          <w:tcPr>
            <w:tcW w:w="39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1-6</w:t>
            </w:r>
          </w:p>
        </w:tc>
        <w:tc>
          <w:tcPr>
            <w:tcW w:w="3495" w:type="dxa"/>
            <w:vAlign w:val="center"/>
          </w:tcPr>
          <w:p>
            <w:pPr>
              <w:ind w:left="2642" w:leftChars="125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3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一般公共预算专项转移支付分项目安排情况表</w:t>
            </w:r>
          </w:p>
        </w:tc>
        <w:tc>
          <w:tcPr>
            <w:tcW w:w="3495" w:type="dxa"/>
            <w:vAlign w:val="center"/>
          </w:tcPr>
          <w:p>
            <w:pPr>
              <w:ind w:left="2644" w:leftChars="1259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22" w:type="dxa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95" w:type="dxa"/>
          </w:tcPr>
          <w:p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公共安全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2658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文化体育与传媒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3552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医疗卫生与计划生育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4120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农林水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5029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资源勘探信息等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商业服务业等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住房保障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7071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粮油物资储备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23"/>
                <w:rFonts w:hint="eastAsia"/>
              </w:rPr>
              <w:t>合计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23894 </w:t>
            </w:r>
          </w:p>
        </w:tc>
      </w:tr>
    </w:tbl>
    <w:p/>
    <w:p/>
    <w:p/>
    <w:p/>
    <w:p/>
    <w:p/>
    <w:p/>
    <w:p/>
    <w:p/>
    <w:tbl>
      <w:tblPr>
        <w:tblStyle w:val="4"/>
        <w:tblW w:w="76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6"/>
        <w:gridCol w:w="736"/>
        <w:gridCol w:w="37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2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1-7</w:t>
            </w:r>
          </w:p>
        </w:tc>
        <w:tc>
          <w:tcPr>
            <w:tcW w:w="4441" w:type="dxa"/>
            <w:gridSpan w:val="2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8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政府性基金预算收入表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982" w:type="dxa"/>
            <w:gridSpan w:val="2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一、新型墙体材料专项基金收入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二、城市公用事业附加收入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三、国有土地收益基金收入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四、农业土地开发资金收入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五、国有土地使用权出让收入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六、彩票公益金收入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七、城市基础设施配套费收入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八、污水处理费收入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85230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转移性收入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政府性基金转移收入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政府性基金补助收入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上年结余收入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91350 </w:t>
            </w:r>
          </w:p>
        </w:tc>
      </w:tr>
    </w:tbl>
    <w:p/>
    <w:p/>
    <w:p/>
    <w:p/>
    <w:p/>
    <w:p/>
    <w:p/>
    <w:p/>
    <w:p/>
    <w:p/>
    <w:p/>
    <w:p/>
    <w:tbl>
      <w:tblPr>
        <w:tblStyle w:val="4"/>
        <w:tblW w:w="90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0"/>
        <w:gridCol w:w="31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1-8</w:t>
            </w:r>
          </w:p>
        </w:tc>
        <w:tc>
          <w:tcPr>
            <w:tcW w:w="3129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89" w:type="dxa"/>
            <w:gridSpan w:val="2"/>
          </w:tcPr>
          <w:p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960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一、本级支出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55150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一、文化体育与传媒支出</w:t>
            </w:r>
          </w:p>
        </w:tc>
        <w:tc>
          <w:tcPr>
            <w:tcW w:w="31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国家电影事业发展专项资金及对应专项债务收入安排的支出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二、社会保障和就业支出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大中型水库移民后期扶持基金支出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小型水库移民扶助基金及对应专项债务收入安排的支出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四、城乡社区支出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49191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国有土地使用权出让收入及对应专项债务收入安排的支出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城市公用事业附加及对应专项债务收入安排的支出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国有土地收益基金及对应专项债务收入安排的支出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农业土地开发资金及对应专项债务收入安排的支出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城市基础设施配套费及对应专项债务收入安排的支出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污水处理费收入及对应专项债务收入安排的支出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五、农林水支出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新菜地开发建设基金及对应专项债务收入安排的支出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国家重大水利工程建设基金及对应专项债务收入安排的支出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七、资源勘探信息等支出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散装水泥专项资金及对应专项债务收入安排的支出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新型墙体材料专项基金及对应专项债务收入安排的支出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九、其他支出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彩票公益金及对应专项债务收入安排的支出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支出合计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转移性支出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调出资金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支出总计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91350</w:t>
            </w:r>
          </w:p>
        </w:tc>
      </w:tr>
    </w:tbl>
    <w:p/>
    <w:p/>
    <w:p/>
    <w:p/>
    <w:p/>
    <w:tbl>
      <w:tblPr>
        <w:tblStyle w:val="4"/>
        <w:tblW w:w="90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6045"/>
        <w:gridCol w:w="239"/>
        <w:gridCol w:w="10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7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1-9</w:t>
            </w:r>
          </w:p>
        </w:tc>
        <w:tc>
          <w:tcPr>
            <w:tcW w:w="6284" w:type="dxa"/>
            <w:gridSpan w:val="2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21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015" w:type="dxa"/>
            <w:gridSpan w:val="4"/>
          </w:tcPr>
          <w:p>
            <w:pPr>
              <w:widowControl/>
              <w:jc w:val="center"/>
              <w:textAlignment w:val="top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政府性基金预算本级支出表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045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一、文化体育与传媒支出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20707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国家电影事业发展专项资金及对应专项债务收入安排的支出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二、社会保障和就业支出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20822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大中型水库移民后期扶持基金支出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2082201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移民补助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2082202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基础设施建设和经济发展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20823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小型水库移民扶助基金及对应专项债务收入安排的支出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2082399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其他小型水库移民扶助基金支出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三、城乡社区支出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49191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21208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国有土地使用权出让收入及对应专项债务收入安排的支出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征地和拆迁补偿支出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土地开发支出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城市建设支出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农村基础设施建设支出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2120806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土地出让业务支出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公共租赁住房支出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2120899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其他国有土地使用权出让收入安排的支出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21209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城市公用事业附加及对应专项债务收入安排的支出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2120901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城市公共设施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2120902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城市环境卫生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国有土地收益基金及对应专项债务收入安排的支出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2121002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土地开发支出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农业土地开发资金及对应专项债务收入安排的支出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城市基础设施配套费及对应专项债务收入安排的支出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2131399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其他城市基础设施配套费安排的支出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21214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污水处理费收入及对应专项债务收入安排的支出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四、农林水支出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21360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新菜地开发建设基金及对应专项债务收入安排的支出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2136001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开发新菜地工程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21369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国家重大水利工程建设基金及对应专项债务收入安排的支出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2136901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南水北调工程建设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五、资源勘探信息等支出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21560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散装水泥专项资金及对应专项债务收入安排的支出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2156099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其他散装水泥专项资金支出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21561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新型墙体材料专项基金及对应专项债务收入安排的支出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2156199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其他新型墙体材料专项基金支出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六、其他支出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22960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彩票公益金及对应专项债务收入安排的支出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2296002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用于社会福利的彩票公益金支出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2296003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用于体育事业的彩票公益金支出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2296004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用于教育事业的彩票公益金支出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支出合计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55150</w:t>
            </w:r>
          </w:p>
        </w:tc>
      </w:tr>
    </w:tbl>
    <w:p/>
    <w:p/>
    <w:tbl>
      <w:tblPr>
        <w:tblStyle w:val="4"/>
        <w:tblW w:w="891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4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黑体" w:hAnsi="Times New Roman" w:eastAsia="黑体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1-10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政府性基金预算专项转移支付分地区安排情况表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地区名称</w:t>
            </w:r>
          </w:p>
        </w:tc>
        <w:tc>
          <w:tcPr>
            <w:tcW w:w="4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满城区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未分配数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  <w:r>
              <w:rPr>
                <w:rFonts w:ascii="Times New Roman" w:hAnsi="Times New Roman"/>
                <w:kern w:val="0"/>
                <w:sz w:val="22"/>
              </w:rPr>
              <w:t>902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/>
    <w:p/>
    <w:p/>
    <w:p/>
    <w:p/>
    <w:p/>
    <w:p/>
    <w:p/>
    <w:tbl>
      <w:tblPr>
        <w:tblStyle w:val="4"/>
        <w:tblW w:w="79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5"/>
        <w:gridCol w:w="3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1-11</w:t>
            </w:r>
          </w:p>
        </w:tc>
        <w:tc>
          <w:tcPr>
            <w:tcW w:w="3780" w:type="dxa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155" w:type="dxa"/>
            <w:vAlign w:val="center"/>
          </w:tcPr>
          <w:p>
            <w:pPr>
              <w:widowControl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政府性基金预算专项转移支付分项目安排情况表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55" w:type="dxa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780" w:type="dxa"/>
          </w:tcPr>
          <w:p>
            <w:pPr>
              <w:widowControl/>
              <w:jc w:val="righ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公共安全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文化体育与传媒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768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医疗卫生与计划生育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农林水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资源勘探信息等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商业服务业等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住房保障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粮油物资储备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902 </w:t>
            </w:r>
          </w:p>
        </w:tc>
      </w:tr>
    </w:tbl>
    <w:p/>
    <w:p/>
    <w:p/>
    <w:p/>
    <w:tbl>
      <w:tblPr>
        <w:tblStyle w:val="4"/>
        <w:tblW w:w="59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2576"/>
      </w:tblGrid>
      <w:tr>
        <w:trPr>
          <w:trHeight w:val="420" w:hRule="atLeast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黑体" w:hAnsi="Times New Roman" w:eastAsia="黑体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国有资本经营预算收入表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一、利润收入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二、股利、股息收入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……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备注：我县无国有资本经营预算，空表列示。</w:t>
            </w:r>
          </w:p>
        </w:tc>
      </w:tr>
    </w:tbl>
    <w:p/>
    <w:p/>
    <w:p/>
    <w:p/>
    <w:p/>
    <w:p/>
    <w:tbl>
      <w:tblPr>
        <w:tblStyle w:val="4"/>
        <w:tblW w:w="681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3396"/>
      </w:tblGrid>
      <w:tr>
        <w:trPr>
          <w:trHeight w:val="585" w:hRule="atLeast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黑体" w:hAnsi="Times New Roman" w:eastAsia="黑体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国有资本经营预算支出表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一、本级支出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……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二、对下转移支付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……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备注：我县无国有资本经营预算，空表列示。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79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4376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黑体" w:hAnsi="Times New Roman" w:eastAsia="黑体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1-14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国有资本经营预算本级支出表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223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kern w:val="0"/>
                <w:sz w:val="22"/>
              </w:rPr>
              <w:t>国有资本经营预算支出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22301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解决历史遗留问题及改革成本支出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2230101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厂办大集体改革支出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22302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kern w:val="0"/>
                <w:sz w:val="22"/>
              </w:rPr>
              <w:t>国有企业资本金注入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2230201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国有经济结构调整支出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备注：我县无国有资本经营预算，空表列示。</w:t>
            </w:r>
          </w:p>
        </w:tc>
      </w:tr>
    </w:tbl>
    <w:p/>
    <w:p/>
    <w:p/>
    <w:p/>
    <w:p/>
    <w:p/>
    <w:p/>
    <w:p/>
    <w:p/>
    <w:p/>
    <w:p/>
    <w:p/>
    <w:tbl>
      <w:tblPr>
        <w:tblStyle w:val="4"/>
        <w:tblW w:w="6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3356"/>
      </w:tblGrid>
      <w:tr>
        <w:trPr>
          <w:trHeight w:val="435" w:hRule="atLeas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黑体" w:hAnsi="Times New Roman" w:eastAsia="黑体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国有资本经营预算专项转移支付分地区安排情况表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地区名称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市（县、镇）名</w:t>
            </w:r>
            <w:r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……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未分配数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备注：我县无国有资本经营预算专项转移支付，空表列示。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4"/>
        <w:tblW w:w="6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黑体" w:hAnsi="Times New Roman" w:eastAsia="黑体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kern w:val="0"/>
                <w:sz w:val="22"/>
              </w:rPr>
              <w:t>1-16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国有资本经营预算专项转移支付分项目安排情况表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106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备注：我县无国有资本经营预算专项转移支付，空表列示。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Style w:val="4"/>
        <w:tblW w:w="85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4425"/>
        <w:gridCol w:w="20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1-17</w:t>
            </w:r>
          </w:p>
        </w:tc>
        <w:tc>
          <w:tcPr>
            <w:tcW w:w="4425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?????_GBK" w:hAnsi="?????_GBK" w:cs="?????_GBK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社会保险基金预算收入表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55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425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社保保险基金收入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90688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10201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基本养老保险基金收入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51913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1021101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机关事业单位基本养老保险收入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34913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1021101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机关事业单位财政补贴收入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16900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1021103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利息收入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10203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基本医疗保险基金收入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6595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1020301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基本医疗保险费收入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6484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1020303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利息收入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10205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生育保险基金收入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251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1020501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生育保险费收入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1020503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利息收入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10212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城乡居民基本医疗保险基金收入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22518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102100</w:t>
            </w:r>
          </w:p>
        </w:tc>
        <w:tc>
          <w:tcPr>
            <w:tcW w:w="44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????_GBK" w:hAnsi="????_GBK" w:cs="????_GBK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城乡居民基本养老保险基金收入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9411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90688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????_GBK" w:hAnsi="????_GBK" w:cs="????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4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3"/>
        <w:gridCol w:w="4982"/>
        <w:gridCol w:w="604"/>
        <w:gridCol w:w="8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附表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1-18</w:t>
            </w:r>
          </w:p>
        </w:tc>
        <w:tc>
          <w:tcPr>
            <w:tcW w:w="5586" w:type="dxa"/>
            <w:gridSpan w:val="2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36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95" w:type="dxa"/>
            <w:gridSpan w:val="4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社会保险基金预算支出表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73" w:type="dxa"/>
          </w:tcPr>
          <w:p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82" w:type="dxa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/>
              <w:jc w:val="right"/>
              <w:textAlignment w:val="top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社会保险基金支出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84911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机关事业单位基本养老保险基金支出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51219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2091101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基本养老金支出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51219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城镇职工基本医疗保险基金支出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5353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2090301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城镇职工基本医疗保险统筹基金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3131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2090302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城镇职工医疗保险个人账户基金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2090399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生育保险基金支出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2090501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生育医疗费支出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2090502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生育津贴支出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2090599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20912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城乡居民医疗保险基金支出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21065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20910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城乡居民基本养老保险基金支出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7013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84911 </w:t>
            </w:r>
          </w:p>
        </w:tc>
      </w:tr>
    </w:tbl>
    <w:p/>
    <w:p/>
    <w:p/>
    <w:p/>
    <w:p/>
    <w:p/>
    <w:p/>
    <w:p/>
    <w:p/>
    <w:p/>
    <w:p/>
    <w:p/>
    <w:tbl>
      <w:tblPr>
        <w:tblStyle w:val="4"/>
        <w:tblW w:w="92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0"/>
        <w:gridCol w:w="2010"/>
        <w:gridCol w:w="240"/>
        <w:gridCol w:w="945"/>
        <w:gridCol w:w="463"/>
        <w:gridCol w:w="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38" w:type="dxa"/>
          <w:trHeight w:val="375" w:hRule="atLeast"/>
        </w:trPr>
        <w:tc>
          <w:tcPr>
            <w:tcW w:w="55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附表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-19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5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政府一般债务限额及余额情况表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285" w:hRule="atLeast"/>
        </w:trPr>
        <w:tc>
          <w:tcPr>
            <w:tcW w:w="5520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单位：亿元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hAnsi="方正书宋_GBK" w:eastAsia="方正书宋_GBK" w:cs="方正书宋_GBK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hAnsi="方正书宋_GBK" w:eastAsia="方正书宋_GBK" w:cs="方正书宋_GBK"/>
                <w:b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hAnsi="方正书宋_GBK" w:eastAsia="方正书宋_GBK" w:cs="方正书宋_GBK"/>
                <w:b/>
                <w:color w:val="000000"/>
                <w:kern w:val="0"/>
                <w:sz w:val="22"/>
              </w:rPr>
              <w:t>执行数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一、上两个年度末政府一般债务余额实际数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3.38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二、上年度末政府一般债务余额限额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4.307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4.307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三、因预算管理变化调整余额和限额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四、调整后上年度末政府一般债务余额限额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4.307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4.307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五、上年度政府一般债务发行额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1.0261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1.0261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中央转贷地方的国际金融组织和外国政府贷款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政府一般债券发行额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1.0261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1.0261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六、上年度政府一般债务还本额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0.5261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0.5261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七、上年度末政府一般债务余额预算执行数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3.88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八、本年度政府一般债务余额新增限额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九、本年度末政府一般债务余额限额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4.307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4.307 </w:t>
            </w:r>
          </w:p>
        </w:tc>
      </w:tr>
    </w:tbl>
    <w:p/>
    <w:tbl>
      <w:tblPr>
        <w:tblStyle w:val="4"/>
        <w:tblW w:w="9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0"/>
        <w:gridCol w:w="2010"/>
        <w:gridCol w:w="240"/>
        <w:gridCol w:w="12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附表1-20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5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政府专项债务限额及余额情况表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20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单位：亿元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hAnsi="方正书宋_GBK" w:eastAsia="方正书宋_GBK" w:cs="方正书宋_GBK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hAnsi="方正书宋_GBK" w:eastAsia="方正书宋_GBK" w:cs="方正书宋_GBK"/>
                <w:b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hAnsi="方正书宋_GBK" w:eastAsia="方正书宋_GBK" w:cs="方正书宋_GBK"/>
                <w:b/>
                <w:color w:val="000000"/>
                <w:kern w:val="0"/>
                <w:sz w:val="22"/>
              </w:rPr>
              <w:t>执行数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一、上两个年度末政府专项债务余额实际数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二、上年度末政府专项债务余额限额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三、因预算管理变化调整余额和限额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四、调整后上年度末政府专项债务余额限额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五、上年度政府专项债务发行额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中央转贷地方的国际金融组织和外国政府贷款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政府专项债券发行额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六、上年度政府专项债务还本额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七、上年度末政府专项债务余额预算执行数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1.06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八、本年度政府专项债务余额新增限额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0.5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九、本年度末政府专项债务余额限额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1.99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4A"/>
    <w:rsid w:val="0001059C"/>
    <w:rsid w:val="00031EB3"/>
    <w:rsid w:val="000E3D04"/>
    <w:rsid w:val="00131FFA"/>
    <w:rsid w:val="001F50B1"/>
    <w:rsid w:val="00205701"/>
    <w:rsid w:val="0023690D"/>
    <w:rsid w:val="00247202"/>
    <w:rsid w:val="00286211"/>
    <w:rsid w:val="00355383"/>
    <w:rsid w:val="00390429"/>
    <w:rsid w:val="003C2296"/>
    <w:rsid w:val="003D0319"/>
    <w:rsid w:val="003E2BC5"/>
    <w:rsid w:val="004248A9"/>
    <w:rsid w:val="004405C6"/>
    <w:rsid w:val="004717BE"/>
    <w:rsid w:val="004B1595"/>
    <w:rsid w:val="004B6A89"/>
    <w:rsid w:val="0054014A"/>
    <w:rsid w:val="005416ED"/>
    <w:rsid w:val="005840E7"/>
    <w:rsid w:val="00590366"/>
    <w:rsid w:val="005B5C6D"/>
    <w:rsid w:val="005C2D40"/>
    <w:rsid w:val="005E2915"/>
    <w:rsid w:val="006469B4"/>
    <w:rsid w:val="006B049A"/>
    <w:rsid w:val="006C0B2C"/>
    <w:rsid w:val="006C552A"/>
    <w:rsid w:val="006C74E8"/>
    <w:rsid w:val="006E6122"/>
    <w:rsid w:val="00706959"/>
    <w:rsid w:val="0071043F"/>
    <w:rsid w:val="00752546"/>
    <w:rsid w:val="007578E9"/>
    <w:rsid w:val="00762AC1"/>
    <w:rsid w:val="00782C54"/>
    <w:rsid w:val="007A3D00"/>
    <w:rsid w:val="007B55A6"/>
    <w:rsid w:val="00840BDE"/>
    <w:rsid w:val="008561A7"/>
    <w:rsid w:val="008820DF"/>
    <w:rsid w:val="0091265B"/>
    <w:rsid w:val="00925C23"/>
    <w:rsid w:val="00941BE9"/>
    <w:rsid w:val="009439E5"/>
    <w:rsid w:val="00945963"/>
    <w:rsid w:val="009A4149"/>
    <w:rsid w:val="009C3F81"/>
    <w:rsid w:val="00A251FE"/>
    <w:rsid w:val="00BA05FD"/>
    <w:rsid w:val="00BA3D7A"/>
    <w:rsid w:val="00BB681B"/>
    <w:rsid w:val="00BC2C3B"/>
    <w:rsid w:val="00BF67A4"/>
    <w:rsid w:val="00C10FC2"/>
    <w:rsid w:val="00C56841"/>
    <w:rsid w:val="00C61B2C"/>
    <w:rsid w:val="00C87E73"/>
    <w:rsid w:val="00CB201C"/>
    <w:rsid w:val="00D7304B"/>
    <w:rsid w:val="00D9118E"/>
    <w:rsid w:val="00DE0EB2"/>
    <w:rsid w:val="00E757E6"/>
    <w:rsid w:val="00E960DD"/>
    <w:rsid w:val="00EA283A"/>
    <w:rsid w:val="00EA3793"/>
    <w:rsid w:val="00ED238D"/>
    <w:rsid w:val="00F07255"/>
    <w:rsid w:val="00F2272B"/>
    <w:rsid w:val="00F2487D"/>
    <w:rsid w:val="00F34C6F"/>
    <w:rsid w:val="00F43B32"/>
    <w:rsid w:val="00F47917"/>
    <w:rsid w:val="00FE5BA8"/>
    <w:rsid w:val="07B76B56"/>
    <w:rsid w:val="0E471EE8"/>
    <w:rsid w:val="29097F94"/>
    <w:rsid w:val="40BF296F"/>
    <w:rsid w:val="503544E3"/>
    <w:rsid w:val="66FF63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2"/>
    <w:basedOn w:val="5"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51"/>
    <w:basedOn w:val="5"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01"/>
    <w:basedOn w:val="5"/>
    <w:uiPriority w:val="99"/>
    <w:rPr>
      <w:rFonts w:ascii="????_GBK" w:hAnsi="????_GBK" w:cs="????_GBK"/>
      <w:color w:val="000000"/>
      <w:sz w:val="24"/>
      <w:szCs w:val="24"/>
      <w:u w:val="none"/>
    </w:rPr>
  </w:style>
  <w:style w:type="character" w:customStyle="1" w:styleId="12">
    <w:name w:val="font151"/>
    <w:basedOn w:val="5"/>
    <w:uiPriority w:val="99"/>
    <w:rPr>
      <w:rFonts w:ascii="????_GBK" w:hAnsi="????_GBK" w:cs="????_GBK"/>
      <w:b/>
      <w:color w:val="000000"/>
      <w:sz w:val="22"/>
      <w:szCs w:val="22"/>
      <w:u w:val="none"/>
    </w:rPr>
  </w:style>
  <w:style w:type="character" w:customStyle="1" w:styleId="13">
    <w:name w:val="font111"/>
    <w:basedOn w:val="5"/>
    <w:uiPriority w:val="99"/>
    <w:rPr>
      <w:rFonts w:ascii="????_GBK" w:hAnsi="????_GBK" w:cs="????_GBK"/>
      <w:color w:val="000000"/>
      <w:sz w:val="22"/>
      <w:szCs w:val="22"/>
      <w:u w:val="none"/>
    </w:rPr>
  </w:style>
  <w:style w:type="character" w:customStyle="1" w:styleId="14">
    <w:name w:val="font81"/>
    <w:basedOn w:val="5"/>
    <w:uiPriority w:val="99"/>
    <w:rPr>
      <w:rFonts w:ascii="????_GBK" w:hAnsi="????_GBK" w:cs="????_GBK"/>
      <w:b/>
      <w:color w:val="000000"/>
      <w:sz w:val="22"/>
      <w:szCs w:val="22"/>
      <w:u w:val="none"/>
    </w:rPr>
  </w:style>
  <w:style w:type="character" w:customStyle="1" w:styleId="15">
    <w:name w:val="font11"/>
    <w:basedOn w:val="5"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6">
    <w:name w:val="font112"/>
    <w:basedOn w:val="5"/>
    <w:uiPriority w:val="99"/>
    <w:rPr>
      <w:rFonts w:ascii="????_GBK" w:hAnsi="????_GBK" w:cs="????_GBK"/>
      <w:color w:val="000000"/>
      <w:sz w:val="22"/>
      <w:szCs w:val="22"/>
      <w:u w:val="none"/>
    </w:rPr>
  </w:style>
  <w:style w:type="character" w:customStyle="1" w:styleId="17">
    <w:name w:val="font13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21"/>
    <w:basedOn w:val="5"/>
    <w:uiPriority w:val="99"/>
    <w:rPr>
      <w:rFonts w:ascii="????_GBK" w:hAnsi="????_GBK" w:cs="????_GBK"/>
      <w:color w:val="000000"/>
      <w:sz w:val="22"/>
      <w:szCs w:val="22"/>
      <w:u w:val="none"/>
    </w:rPr>
  </w:style>
  <w:style w:type="character" w:customStyle="1" w:styleId="19">
    <w:name w:val="font71"/>
    <w:basedOn w:val="5"/>
    <w:qFormat/>
    <w:uiPriority w:val="99"/>
    <w:rPr>
      <w:rFonts w:ascii="????_GBK" w:hAnsi="????_GBK" w:cs="????_GBK"/>
      <w:b/>
      <w:color w:val="000000"/>
      <w:sz w:val="22"/>
      <w:szCs w:val="22"/>
      <w:u w:val="none"/>
    </w:rPr>
  </w:style>
  <w:style w:type="character" w:customStyle="1" w:styleId="20">
    <w:name w:val="font4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9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61"/>
    <w:basedOn w:val="5"/>
    <w:qFormat/>
    <w:uiPriority w:val="99"/>
    <w:rPr>
      <w:rFonts w:ascii="????_GBK" w:hAnsi="????_GBK" w:cs="????_GBK"/>
      <w:color w:val="000000"/>
      <w:sz w:val="21"/>
      <w:szCs w:val="21"/>
      <w:u w:val="none"/>
    </w:rPr>
  </w:style>
  <w:style w:type="character" w:customStyle="1" w:styleId="23">
    <w:name w:val="font101"/>
    <w:basedOn w:val="5"/>
    <w:uiPriority w:val="99"/>
    <w:rPr>
      <w:rFonts w:ascii="????_GBK" w:hAnsi="????_GBK" w:cs="????_GBK"/>
      <w:b/>
      <w:color w:val="000000"/>
      <w:sz w:val="22"/>
      <w:szCs w:val="22"/>
      <w:u w:val="none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Lenovo-PC</Company>
  <Pages>43</Pages>
  <Words>2423</Words>
  <Characters>13817</Characters>
  <Lines>115</Lines>
  <Paragraphs>32</Paragraphs>
  <TotalTime>0</TotalTime>
  <ScaleCrop>false</ScaleCrop>
  <LinksUpToDate>false</LinksUpToDate>
  <CharactersWithSpaces>16208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2018-04-09T02:47:00Z</dcterms:created>
  <dc:creator>null,null,总收发</dc:creator>
  <cp:lastModifiedBy>Administrator</cp:lastModifiedBy>
  <dcterms:modified xsi:type="dcterms:W3CDTF">2023-11-09T10:32:32Z</dcterms:modified>
  <dc:title>满城区人民政府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45B864070E04405E924257B674613CFC</vt:lpwstr>
  </property>
</Properties>
</file>