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满城区委组织部</w:t>
      </w:r>
    </w:p>
    <w:p>
      <w:pPr>
        <w:jc w:val="center"/>
        <w:rPr>
          <w:rFonts w:ascii="宋体" w:hAnsi="宋体"/>
          <w:b/>
          <w:sz w:val="44"/>
          <w:szCs w:val="44"/>
        </w:rPr>
      </w:pPr>
      <w:r>
        <w:rPr>
          <w:rFonts w:hint="eastAsia" w:ascii="宋体" w:hAnsi="宋体"/>
          <w:b/>
          <w:sz w:val="44"/>
          <w:szCs w:val="44"/>
        </w:rPr>
        <w:t>201</w:t>
      </w:r>
      <w:r>
        <w:rPr>
          <w:rFonts w:hint="eastAsia" w:ascii="宋体" w:hAnsi="宋体"/>
          <w:b/>
          <w:sz w:val="44"/>
          <w:szCs w:val="44"/>
          <w:lang w:val="en-US" w:eastAsia="zh-CN"/>
        </w:rPr>
        <w:t>9</w:t>
      </w:r>
      <w:r>
        <w:rPr>
          <w:rFonts w:hint="eastAsia" w:ascii="宋体" w:hAnsi="宋体"/>
          <w:b/>
          <w:sz w:val="44"/>
          <w:szCs w:val="44"/>
        </w:rPr>
        <w:t>年部门预算信息公开</w:t>
      </w:r>
    </w:p>
    <w:p>
      <w:pPr>
        <w:spacing w:line="520" w:lineRule="exact"/>
        <w:ind w:firstLine="640" w:firstLineChars="200"/>
        <w:jc w:val="left"/>
        <w:rPr>
          <w:rFonts w:hint="eastAsia" w:eastAsia="方正仿宋_GBK"/>
          <w:sz w:val="32"/>
          <w:szCs w:val="32"/>
        </w:rPr>
      </w:pPr>
    </w:p>
    <w:p>
      <w:pPr>
        <w:spacing w:line="52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按照《</w:t>
      </w:r>
      <w:r>
        <w:rPr>
          <w:rFonts w:hint="eastAsia" w:ascii="仿宋_GB2312" w:hAnsi="仿宋" w:eastAsia="仿宋_GB2312" w:cs="仿宋_GB2312"/>
          <w:sz w:val="32"/>
          <w:szCs w:val="32"/>
          <w:lang w:eastAsia="zh-CN"/>
        </w:rPr>
        <w:t>中华人民共和国</w:t>
      </w:r>
      <w:bookmarkStart w:id="1" w:name="_GoBack"/>
      <w:bookmarkEnd w:id="1"/>
      <w:r>
        <w:rPr>
          <w:rFonts w:hint="eastAsia" w:ascii="仿宋_GB2312" w:hAnsi="仿宋" w:eastAsia="仿宋_GB2312" w:cs="仿宋_GB2312"/>
          <w:sz w:val="32"/>
          <w:szCs w:val="32"/>
        </w:rPr>
        <w:t>预算法》、</w:t>
      </w:r>
      <w:r>
        <w:rPr>
          <w:rFonts w:hint="eastAsia" w:ascii="仿宋_GB2312" w:eastAsia="仿宋_GB2312"/>
          <w:sz w:val="32"/>
          <w:szCs w:val="32"/>
        </w:rPr>
        <w:t>《地方预决算公开操作规程》和《河北省省级预算公开办法》</w:t>
      </w:r>
      <w:r>
        <w:rPr>
          <w:rFonts w:hint="eastAsia" w:ascii="仿宋_GB2312" w:hAnsi="仿宋" w:eastAsia="仿宋_GB2312" w:cs="仿宋_GB2312"/>
          <w:sz w:val="32"/>
          <w:szCs w:val="32"/>
        </w:rPr>
        <w:t>规定，现将满城区委组织部201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年部门预算公开如下：</w:t>
      </w:r>
    </w:p>
    <w:p>
      <w:pPr>
        <w:spacing w:line="52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第一部分:部门职责及机构设置情况</w:t>
      </w:r>
    </w:p>
    <w:p>
      <w:pPr>
        <w:spacing w:line="520" w:lineRule="exact"/>
        <w:ind w:firstLine="640" w:firstLineChars="200"/>
        <w:jc w:val="center"/>
        <w:rPr>
          <w:rFonts w:hint="eastAsia" w:ascii="黑体" w:hAnsi="黑体" w:eastAsia="黑体"/>
          <w:sz w:val="32"/>
          <w:szCs w:val="32"/>
        </w:rPr>
      </w:pP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一、部门职责</w:t>
      </w:r>
    </w:p>
    <w:p>
      <w:pPr>
        <w:pStyle w:val="14"/>
        <w:widowControl/>
        <w:spacing w:line="52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根据中共满城区委办公室《关于印发〈中共满城区委组织部职能配置、内设机构和人员编制规定〉的通知》（满办字[2002]75号），现将我部部门概况说明如下：</w:t>
      </w:r>
    </w:p>
    <w:p>
      <w:pPr>
        <w:pStyle w:val="14"/>
        <w:widowControl/>
        <w:spacing w:line="520" w:lineRule="exact"/>
        <w:ind w:firstLine="640" w:firstLineChars="200"/>
        <w:jc w:val="both"/>
        <w:rPr>
          <w:rFonts w:hint="eastAsia" w:ascii="仿宋_GB2312" w:hAnsi="仿宋" w:eastAsia="仿宋_GB2312" w:cs="Times New Roman"/>
          <w:sz w:val="32"/>
          <w:szCs w:val="32"/>
        </w:rPr>
      </w:pPr>
      <w:r>
        <w:rPr>
          <w:rFonts w:hint="eastAsia" w:ascii="仿宋_GB2312" w:hAnsi="仿宋" w:eastAsia="仿宋_GB2312" w:cs="仿宋_GB2312"/>
          <w:sz w:val="32"/>
          <w:szCs w:val="32"/>
        </w:rPr>
        <w:t>（一）指导党的基层组织建设，探索各类新的经济组织中党组织的设置和活动方式；负责党员的管理教育和发展工作。</w:t>
      </w:r>
    </w:p>
    <w:p>
      <w:pPr>
        <w:pStyle w:val="14"/>
        <w:widowControl/>
        <w:spacing w:line="520" w:lineRule="exact"/>
        <w:ind w:firstLine="640" w:firstLineChars="200"/>
        <w:jc w:val="both"/>
        <w:rPr>
          <w:rFonts w:hint="eastAsia" w:ascii="仿宋_GB2312" w:hAnsi="仿宋" w:eastAsia="仿宋_GB2312" w:cs="Times New Roman"/>
          <w:sz w:val="32"/>
          <w:szCs w:val="32"/>
        </w:rPr>
      </w:pPr>
      <w:r>
        <w:rPr>
          <w:rFonts w:hint="eastAsia" w:ascii="仿宋_GB2312" w:hAnsi="仿宋" w:eastAsia="仿宋_GB2312" w:cs="仿宋_GB2312"/>
          <w:sz w:val="32"/>
          <w:szCs w:val="32"/>
        </w:rPr>
        <w:t>（二）提出关于乡（镇）和县直和部门领导班子调整、配备的意见和建议；负责区委管理干部的考察和办理任免、工资待遇、退（离）休审批手续；指导领导班子的思想作风建设；负责干部队伍宏观管理工作，承办干部的调配交流和安置工作。</w:t>
      </w:r>
    </w:p>
    <w:p>
      <w:pPr>
        <w:pStyle w:val="14"/>
        <w:widowControl/>
        <w:spacing w:line="520" w:lineRule="exact"/>
        <w:ind w:firstLine="640" w:firstLineChars="200"/>
        <w:jc w:val="both"/>
        <w:rPr>
          <w:rFonts w:hint="eastAsia" w:ascii="仿宋_GB2312" w:hAnsi="仿宋" w:eastAsia="仿宋_GB2312" w:cs="Times New Roman"/>
          <w:sz w:val="32"/>
          <w:szCs w:val="32"/>
        </w:rPr>
      </w:pPr>
      <w:r>
        <w:rPr>
          <w:rFonts w:hint="eastAsia" w:ascii="仿宋_GB2312" w:hAnsi="仿宋" w:eastAsia="仿宋_GB2312" w:cs="仿宋_GB2312"/>
          <w:sz w:val="32"/>
          <w:szCs w:val="32"/>
        </w:rPr>
        <w:t>（三）负责全区科级后备干部的培养、选拔、管理、考察工作；负责妇女干部、党外干部、少数民族干部的培养、选拔、管理和推荐工作。</w:t>
      </w:r>
    </w:p>
    <w:p>
      <w:pPr>
        <w:pStyle w:val="14"/>
        <w:widowControl/>
        <w:spacing w:line="520" w:lineRule="exact"/>
        <w:ind w:firstLine="640" w:firstLineChars="200"/>
        <w:jc w:val="both"/>
        <w:rPr>
          <w:rFonts w:hint="eastAsia" w:ascii="仿宋_GB2312" w:hAnsi="仿宋" w:eastAsia="仿宋_GB2312" w:cs="Times New Roman"/>
          <w:sz w:val="32"/>
          <w:szCs w:val="32"/>
        </w:rPr>
      </w:pPr>
      <w:r>
        <w:rPr>
          <w:rFonts w:hint="eastAsia" w:ascii="仿宋_GB2312" w:hAnsi="仿宋" w:eastAsia="仿宋_GB2312" w:cs="仿宋_GB2312"/>
          <w:sz w:val="32"/>
          <w:szCs w:val="32"/>
        </w:rPr>
        <w:t>（四）研究探索干部人事制度改革，制定全区组织、干部、人事工作的重要政策和制度。</w:t>
      </w:r>
    </w:p>
    <w:p>
      <w:pPr>
        <w:pStyle w:val="14"/>
        <w:widowControl/>
        <w:spacing w:line="52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（五）负责全区组织工作、干部工作、干部人事纪律、班子建设等方面的检查督促，及时向区委反映情况，提出建议。</w:t>
      </w:r>
    </w:p>
    <w:p>
      <w:pPr>
        <w:pStyle w:val="14"/>
        <w:widowControl/>
        <w:spacing w:line="520" w:lineRule="exact"/>
        <w:ind w:firstLine="640" w:firstLineChars="200"/>
        <w:jc w:val="both"/>
        <w:rPr>
          <w:rFonts w:hint="eastAsia" w:ascii="仿宋_GB2312" w:hAnsi="仿宋" w:eastAsia="仿宋_GB2312" w:cs="Times New Roman"/>
          <w:sz w:val="32"/>
          <w:szCs w:val="32"/>
        </w:rPr>
      </w:pPr>
      <w:r>
        <w:rPr>
          <w:rFonts w:hint="eastAsia" w:ascii="仿宋_GB2312" w:hAnsi="仿宋" w:eastAsia="仿宋_GB2312" w:cs="仿宋_GB2312"/>
          <w:sz w:val="32"/>
          <w:szCs w:val="32"/>
        </w:rPr>
        <w:t>（六）负责全区党政领导班子和领导干部考核、奖惩工作。依据考核结果，向区委提出干部奖惩、任免、使用情况。</w:t>
      </w:r>
    </w:p>
    <w:p>
      <w:pPr>
        <w:pStyle w:val="14"/>
        <w:widowControl/>
        <w:spacing w:line="52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（七）负责全区的干部教育工作，制订干部教育工作规划和措施，对全区干部教育进行宏观管理、指导和协调。</w:t>
      </w:r>
    </w:p>
    <w:p>
      <w:pPr>
        <w:pStyle w:val="14"/>
        <w:widowControl/>
        <w:spacing w:line="52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（八）督促检查知识分子政策的贯彻落实，选拔推荐优秀知识分子，负责科技副乡（镇）长的选拔、考察和管理。</w:t>
      </w:r>
    </w:p>
    <w:p>
      <w:pPr>
        <w:pStyle w:val="14"/>
        <w:widowControl/>
        <w:spacing w:line="52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（九）负责贯彻落实上级和区委关于离退休干部工作的方针、政策。组织协调有关部门共同做好离退休干部工作，依据政策安排好他们的工作、生活、学习。</w:t>
      </w:r>
    </w:p>
    <w:p>
      <w:pPr>
        <w:pStyle w:val="14"/>
        <w:widowControl/>
        <w:spacing w:line="52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（十）完成区委交办的其它工作任务。</w:t>
      </w:r>
    </w:p>
    <w:p>
      <w:pPr>
        <w:pStyle w:val="15"/>
        <w:spacing w:line="520" w:lineRule="exact"/>
        <w:ind w:firstLine="736" w:firstLineChars="230"/>
        <w:rPr>
          <w:rFonts w:hint="eastAsia" w:ascii="黑体" w:hAnsi="黑体" w:eastAsia="黑体"/>
          <w:sz w:val="32"/>
          <w:szCs w:val="32"/>
        </w:rPr>
      </w:pPr>
      <w:r>
        <w:rPr>
          <w:rFonts w:hint="eastAsia" w:ascii="黑体" w:hAnsi="黑体" w:eastAsia="黑体" w:cs="仿宋_GB2312"/>
          <w:sz w:val="32"/>
          <w:szCs w:val="32"/>
        </w:rPr>
        <w:t>二、</w:t>
      </w:r>
      <w:r>
        <w:rPr>
          <w:rFonts w:hint="eastAsia" w:ascii="黑体" w:hAnsi="黑体" w:eastAsia="黑体"/>
          <w:sz w:val="32"/>
          <w:szCs w:val="32"/>
        </w:rPr>
        <w:t>机构设置</w:t>
      </w:r>
    </w:p>
    <w:tbl>
      <w:tblPr>
        <w:tblStyle w:val="8"/>
        <w:tblW w:w="0" w:type="auto"/>
        <w:tblInd w:w="93" w:type="dxa"/>
        <w:tblLayout w:type="fixed"/>
        <w:tblCellMar>
          <w:top w:w="0" w:type="dxa"/>
          <w:left w:w="108" w:type="dxa"/>
          <w:bottom w:w="0" w:type="dxa"/>
          <w:right w:w="108" w:type="dxa"/>
        </w:tblCellMar>
      </w:tblPr>
      <w:tblGrid>
        <w:gridCol w:w="1194"/>
        <w:gridCol w:w="3313"/>
        <w:gridCol w:w="439"/>
        <w:gridCol w:w="2193"/>
        <w:gridCol w:w="2632"/>
      </w:tblGrid>
      <w:tr>
        <w:tblPrEx>
          <w:tblCellMar>
            <w:top w:w="0" w:type="dxa"/>
            <w:left w:w="108" w:type="dxa"/>
            <w:bottom w:w="0" w:type="dxa"/>
            <w:right w:w="108" w:type="dxa"/>
          </w:tblCellMar>
        </w:tblPrEx>
        <w:trPr>
          <w:wBefore w:w="0" w:type="dxa"/>
          <w:wAfter w:w="0" w:type="dxa"/>
          <w:trHeight w:val="720" w:hRule="atLeast"/>
        </w:trPr>
        <w:tc>
          <w:tcPr>
            <w:tcW w:w="494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b/>
                <w:bCs/>
                <w:color w:val="000000"/>
                <w:kern w:val="0"/>
                <w:sz w:val="32"/>
                <w:szCs w:val="32"/>
              </w:rPr>
              <w:t xml:space="preserve">中共保定市满城区委组织部     </w:t>
            </w:r>
          </w:p>
        </w:tc>
        <w:tc>
          <w:tcPr>
            <w:tcW w:w="48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行政单位</w:t>
            </w:r>
          </w:p>
        </w:tc>
      </w:tr>
      <w:tr>
        <w:tblPrEx>
          <w:tblCellMar>
            <w:top w:w="0" w:type="dxa"/>
            <w:left w:w="108" w:type="dxa"/>
            <w:bottom w:w="0" w:type="dxa"/>
            <w:right w:w="108" w:type="dxa"/>
          </w:tblCellMar>
        </w:tblPrEx>
        <w:trPr>
          <w:wBefore w:w="0" w:type="dxa"/>
          <w:wAfter w:w="0" w:type="dxa"/>
          <w:trHeight w:val="720" w:hRule="atLeast"/>
        </w:trPr>
        <w:tc>
          <w:tcPr>
            <w:tcW w:w="977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xml:space="preserve">  内部机构设置</w:t>
            </w:r>
          </w:p>
        </w:tc>
      </w:tr>
      <w:tr>
        <w:tblPrEx>
          <w:tblCellMar>
            <w:top w:w="0" w:type="dxa"/>
            <w:left w:w="108" w:type="dxa"/>
            <w:bottom w:w="0" w:type="dxa"/>
            <w:right w:w="108" w:type="dxa"/>
          </w:tblCellMar>
        </w:tblPrEx>
        <w:trPr>
          <w:wBefore w:w="0" w:type="dxa"/>
          <w:wAfter w:w="0" w:type="dxa"/>
          <w:trHeight w:val="1012"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序号</w:t>
            </w:r>
          </w:p>
        </w:tc>
        <w:tc>
          <w:tcPr>
            <w:tcW w:w="33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单位名称</w:t>
            </w:r>
          </w:p>
        </w:tc>
        <w:tc>
          <w:tcPr>
            <w:tcW w:w="26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单位规格</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拨款形式</w:t>
            </w:r>
          </w:p>
        </w:tc>
      </w:tr>
      <w:tr>
        <w:tblPrEx>
          <w:tblCellMar>
            <w:top w:w="0" w:type="dxa"/>
            <w:left w:w="108" w:type="dxa"/>
            <w:bottom w:w="0" w:type="dxa"/>
            <w:right w:w="108" w:type="dxa"/>
          </w:tblCellMar>
        </w:tblPrEx>
        <w:trPr>
          <w:wBefore w:w="0" w:type="dxa"/>
          <w:wAfter w:w="0" w:type="dxa"/>
          <w:trHeight w:val="720"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33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办公室</w:t>
            </w:r>
          </w:p>
        </w:tc>
        <w:tc>
          <w:tcPr>
            <w:tcW w:w="26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股级</w:t>
            </w:r>
          </w:p>
        </w:tc>
        <w:tc>
          <w:tcPr>
            <w:tcW w:w="263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财政拨款</w:t>
            </w:r>
          </w:p>
        </w:tc>
      </w:tr>
      <w:tr>
        <w:tblPrEx>
          <w:tblCellMar>
            <w:top w:w="0" w:type="dxa"/>
            <w:left w:w="108" w:type="dxa"/>
            <w:bottom w:w="0" w:type="dxa"/>
            <w:right w:w="108" w:type="dxa"/>
          </w:tblCellMar>
        </w:tblPrEx>
        <w:trPr>
          <w:wBefore w:w="0" w:type="dxa"/>
          <w:wAfter w:w="0" w:type="dxa"/>
          <w:trHeight w:val="720" w:hRule="atLeast"/>
        </w:trPr>
        <w:tc>
          <w:tcPr>
            <w:tcW w:w="119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331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干部科</w:t>
            </w:r>
          </w:p>
        </w:tc>
        <w:tc>
          <w:tcPr>
            <w:tcW w:w="2632"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股级</w:t>
            </w:r>
          </w:p>
        </w:tc>
        <w:tc>
          <w:tcPr>
            <w:tcW w:w="263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财政拨款</w:t>
            </w:r>
          </w:p>
        </w:tc>
      </w:tr>
      <w:tr>
        <w:tblPrEx>
          <w:tblCellMar>
            <w:top w:w="0" w:type="dxa"/>
            <w:left w:w="108" w:type="dxa"/>
            <w:bottom w:w="0" w:type="dxa"/>
            <w:right w:w="108" w:type="dxa"/>
          </w:tblCellMar>
        </w:tblPrEx>
        <w:trPr>
          <w:wBefore w:w="0" w:type="dxa"/>
          <w:wAfter w:w="0" w:type="dxa"/>
          <w:trHeight w:val="720"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33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组织科</w:t>
            </w:r>
          </w:p>
        </w:tc>
        <w:tc>
          <w:tcPr>
            <w:tcW w:w="26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股级</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财政拨款</w:t>
            </w:r>
          </w:p>
        </w:tc>
      </w:tr>
      <w:tr>
        <w:tblPrEx>
          <w:tblCellMar>
            <w:top w:w="0" w:type="dxa"/>
            <w:left w:w="108" w:type="dxa"/>
            <w:bottom w:w="0" w:type="dxa"/>
            <w:right w:w="108" w:type="dxa"/>
          </w:tblCellMar>
        </w:tblPrEx>
        <w:trPr>
          <w:wBefore w:w="0" w:type="dxa"/>
          <w:wAfter w:w="0" w:type="dxa"/>
          <w:trHeight w:val="720"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33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电教室</w:t>
            </w:r>
          </w:p>
        </w:tc>
        <w:tc>
          <w:tcPr>
            <w:tcW w:w="26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股级</w:t>
            </w:r>
          </w:p>
        </w:tc>
        <w:tc>
          <w:tcPr>
            <w:tcW w:w="263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财政拨款</w:t>
            </w:r>
          </w:p>
        </w:tc>
      </w:tr>
      <w:tr>
        <w:tblPrEx>
          <w:tblCellMar>
            <w:top w:w="0" w:type="dxa"/>
            <w:left w:w="108" w:type="dxa"/>
            <w:bottom w:w="0" w:type="dxa"/>
            <w:right w:w="108" w:type="dxa"/>
          </w:tblCellMar>
        </w:tblPrEx>
        <w:trPr>
          <w:wBefore w:w="0" w:type="dxa"/>
          <w:wAfter w:w="0" w:type="dxa"/>
          <w:trHeight w:val="720" w:hRule="atLeast"/>
        </w:trPr>
        <w:tc>
          <w:tcPr>
            <w:tcW w:w="119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331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组织员办公室</w:t>
            </w:r>
          </w:p>
        </w:tc>
        <w:tc>
          <w:tcPr>
            <w:tcW w:w="2632"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股级</w:t>
            </w:r>
          </w:p>
        </w:tc>
        <w:tc>
          <w:tcPr>
            <w:tcW w:w="263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财政拨款</w:t>
            </w:r>
          </w:p>
        </w:tc>
      </w:tr>
      <w:tr>
        <w:tblPrEx>
          <w:tblCellMar>
            <w:top w:w="0" w:type="dxa"/>
            <w:left w:w="108" w:type="dxa"/>
            <w:bottom w:w="0" w:type="dxa"/>
            <w:right w:w="108" w:type="dxa"/>
          </w:tblCellMar>
        </w:tblPrEx>
        <w:trPr>
          <w:wBefore w:w="0" w:type="dxa"/>
          <w:wAfter w:w="0" w:type="dxa"/>
          <w:trHeight w:val="720" w:hRule="atLeast"/>
        </w:trPr>
        <w:tc>
          <w:tcPr>
            <w:tcW w:w="119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331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考核科</w:t>
            </w:r>
          </w:p>
        </w:tc>
        <w:tc>
          <w:tcPr>
            <w:tcW w:w="2632"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股级</w:t>
            </w:r>
          </w:p>
        </w:tc>
        <w:tc>
          <w:tcPr>
            <w:tcW w:w="263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财政拨款</w:t>
            </w:r>
          </w:p>
        </w:tc>
      </w:tr>
      <w:tr>
        <w:tblPrEx>
          <w:tblCellMar>
            <w:top w:w="0" w:type="dxa"/>
            <w:left w:w="108" w:type="dxa"/>
            <w:bottom w:w="0" w:type="dxa"/>
            <w:right w:w="108" w:type="dxa"/>
          </w:tblCellMar>
        </w:tblPrEx>
        <w:trPr>
          <w:wBefore w:w="0" w:type="dxa"/>
          <w:wAfter w:w="0" w:type="dxa"/>
          <w:trHeight w:val="720"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33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人才科</w:t>
            </w:r>
          </w:p>
        </w:tc>
        <w:tc>
          <w:tcPr>
            <w:tcW w:w="26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股级</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财政拨款</w:t>
            </w:r>
          </w:p>
        </w:tc>
      </w:tr>
    </w:tbl>
    <w:p>
      <w:pPr>
        <w:spacing w:line="520" w:lineRule="exact"/>
        <w:ind w:firstLine="560"/>
        <w:rPr>
          <w:rFonts w:hint="eastAsia" w:ascii="仿宋_GB2312" w:hAnsi="黑体" w:eastAsia="仿宋_GB2312"/>
          <w:kern w:val="0"/>
          <w:sz w:val="32"/>
          <w:szCs w:val="32"/>
        </w:rPr>
      </w:pPr>
    </w:p>
    <w:p>
      <w:pPr>
        <w:spacing w:line="520" w:lineRule="exact"/>
        <w:ind w:left="1713" w:firstLine="320" w:firstLineChars="100"/>
        <w:rPr>
          <w:rFonts w:hint="eastAsia" w:ascii="黑体" w:hAnsi="黑体" w:eastAsia="黑体"/>
          <w:sz w:val="32"/>
          <w:szCs w:val="32"/>
        </w:rPr>
      </w:pPr>
      <w:r>
        <w:rPr>
          <w:rFonts w:hint="eastAsia" w:ascii="黑体" w:hAnsi="黑体" w:eastAsia="黑体"/>
          <w:sz w:val="32"/>
          <w:szCs w:val="32"/>
        </w:rPr>
        <w:t>第二部分：部门预算安排的总体情况</w:t>
      </w:r>
    </w:p>
    <w:p>
      <w:pPr>
        <w:spacing w:line="520" w:lineRule="exact"/>
        <w:ind w:left="1713"/>
        <w:rPr>
          <w:rFonts w:hint="eastAsia" w:ascii="黑体" w:hAnsi="黑体" w:eastAsia="黑体"/>
          <w:sz w:val="32"/>
          <w:szCs w:val="32"/>
        </w:rPr>
      </w:pPr>
    </w:p>
    <w:p>
      <w:pPr>
        <w:spacing w:line="52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w:t>
      </w:r>
      <w:r>
        <w:rPr>
          <w:rFonts w:hint="eastAsia" w:ascii="仿宋_GB2312" w:hAnsi="黑体" w:eastAsia="仿宋_GB2312"/>
          <w:b/>
          <w:bCs/>
          <w:sz w:val="32"/>
          <w:szCs w:val="32"/>
        </w:rPr>
        <w:t>收入说明</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年满城区委组织部收入预算总额为</w:t>
      </w:r>
      <w:r>
        <w:rPr>
          <w:rFonts w:hint="eastAsia" w:ascii="仿宋_GB2312" w:hAnsi="仿宋" w:eastAsia="仿宋_GB2312"/>
          <w:sz w:val="32"/>
          <w:szCs w:val="32"/>
          <w:lang w:val="en-US" w:eastAsia="zh-CN"/>
        </w:rPr>
        <w:t>1273.50万</w:t>
      </w:r>
      <w:r>
        <w:rPr>
          <w:rFonts w:hint="eastAsia" w:ascii="仿宋_GB2312" w:hAnsi="仿宋" w:eastAsia="仿宋_GB2312"/>
          <w:sz w:val="32"/>
          <w:szCs w:val="32"/>
        </w:rPr>
        <w:t>元。其中一般公共预算收入</w:t>
      </w:r>
      <w:r>
        <w:rPr>
          <w:rFonts w:hint="eastAsia" w:ascii="仿宋_GB2312" w:hAnsi="仿宋" w:eastAsia="仿宋_GB2312"/>
          <w:sz w:val="32"/>
          <w:szCs w:val="32"/>
          <w:lang w:val="en-US" w:eastAsia="zh-CN"/>
        </w:rPr>
        <w:t>1273.50</w:t>
      </w:r>
      <w:r>
        <w:rPr>
          <w:rFonts w:hint="eastAsia" w:ascii="仿宋_GB2312" w:hAnsi="仿宋" w:eastAsia="仿宋_GB2312"/>
          <w:sz w:val="32"/>
          <w:szCs w:val="32"/>
        </w:rPr>
        <w:t>万元。</w:t>
      </w:r>
    </w:p>
    <w:p>
      <w:pPr>
        <w:spacing w:line="520" w:lineRule="exact"/>
        <w:ind w:firstLine="640" w:firstLineChars="200"/>
        <w:rPr>
          <w:rFonts w:hint="eastAsia" w:ascii="仿宋_GB2312" w:hAnsi="仿宋" w:eastAsia="仿宋_GB2312"/>
          <w:sz w:val="32"/>
          <w:szCs w:val="32"/>
        </w:rPr>
      </w:pPr>
      <w:r>
        <w:rPr>
          <w:rFonts w:hint="eastAsia" w:ascii="仿宋_GB2312" w:hAnsi="黑体" w:eastAsia="仿宋_GB2312"/>
          <w:sz w:val="32"/>
          <w:szCs w:val="32"/>
        </w:rPr>
        <w:t>2、</w:t>
      </w:r>
      <w:r>
        <w:rPr>
          <w:rFonts w:hint="eastAsia" w:ascii="仿宋_GB2312" w:hAnsi="黑体" w:eastAsia="仿宋_GB2312"/>
          <w:b/>
          <w:bCs/>
          <w:sz w:val="32"/>
          <w:szCs w:val="32"/>
        </w:rPr>
        <w:t>支出说明</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年部门支出安排预算总额</w:t>
      </w:r>
      <w:r>
        <w:rPr>
          <w:rFonts w:hint="eastAsia" w:ascii="仿宋_GB2312" w:hAnsi="仿宋" w:eastAsia="仿宋_GB2312"/>
          <w:sz w:val="32"/>
          <w:szCs w:val="32"/>
          <w:lang w:val="en-US" w:eastAsia="zh-CN"/>
        </w:rPr>
        <w:t>1273.50</w:t>
      </w:r>
      <w:r>
        <w:rPr>
          <w:rFonts w:hint="eastAsia" w:ascii="仿宋_GB2312" w:hAnsi="仿宋" w:eastAsia="仿宋_GB2312"/>
          <w:sz w:val="32"/>
          <w:szCs w:val="32"/>
        </w:rPr>
        <w:t>万元。</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基本支出  </w:t>
      </w:r>
      <w:r>
        <w:rPr>
          <w:rFonts w:hint="eastAsia" w:ascii="仿宋_GB2312" w:hAnsi="仿宋" w:eastAsia="仿宋_GB2312"/>
          <w:sz w:val="32"/>
          <w:szCs w:val="32"/>
          <w:lang w:val="en-US" w:eastAsia="zh-CN"/>
        </w:rPr>
        <w:t>262.91</w:t>
      </w:r>
      <w:r>
        <w:rPr>
          <w:rFonts w:hint="eastAsia" w:ascii="仿宋_GB2312" w:hAnsi="仿宋" w:eastAsia="仿宋_GB2312"/>
          <w:sz w:val="32"/>
          <w:szCs w:val="32"/>
        </w:rPr>
        <w:t>万元</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其中：人员经费 </w:t>
      </w:r>
      <w:r>
        <w:rPr>
          <w:rFonts w:hint="eastAsia" w:ascii="仿宋_GB2312" w:hAnsi="仿宋" w:eastAsia="仿宋_GB2312"/>
          <w:sz w:val="32"/>
          <w:szCs w:val="32"/>
          <w:lang w:val="en-US" w:eastAsia="zh-CN"/>
        </w:rPr>
        <w:t>235.10</w:t>
      </w:r>
      <w:r>
        <w:rPr>
          <w:rFonts w:hint="eastAsia" w:ascii="仿宋_GB2312" w:hAnsi="仿宋" w:eastAsia="仿宋_GB2312"/>
          <w:sz w:val="32"/>
          <w:szCs w:val="32"/>
        </w:rPr>
        <w:t>万元</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日常公用经费</w:t>
      </w:r>
      <w:r>
        <w:rPr>
          <w:rFonts w:hint="eastAsia" w:ascii="仿宋_GB2312" w:hAnsi="仿宋" w:eastAsia="仿宋_GB2312"/>
          <w:sz w:val="32"/>
          <w:szCs w:val="32"/>
          <w:lang w:val="en-US" w:eastAsia="zh-CN"/>
        </w:rPr>
        <w:t>27.81</w:t>
      </w:r>
      <w:r>
        <w:rPr>
          <w:rFonts w:hint="eastAsia" w:ascii="仿宋_GB2312" w:hAnsi="仿宋" w:eastAsia="仿宋_GB2312"/>
          <w:sz w:val="32"/>
          <w:szCs w:val="32"/>
        </w:rPr>
        <w:t>万元</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项目支出   </w:t>
      </w:r>
      <w:r>
        <w:rPr>
          <w:rFonts w:hint="eastAsia" w:ascii="仿宋_GB2312" w:hAnsi="仿宋" w:eastAsia="仿宋_GB2312"/>
          <w:sz w:val="32"/>
          <w:szCs w:val="32"/>
          <w:lang w:val="en-US" w:eastAsia="zh-CN"/>
        </w:rPr>
        <w:t>1010.59</w:t>
      </w:r>
      <w:r>
        <w:rPr>
          <w:rFonts w:hint="eastAsia" w:ascii="仿宋_GB2312" w:hAnsi="仿宋" w:eastAsia="仿宋_GB2312"/>
          <w:sz w:val="32"/>
          <w:szCs w:val="32"/>
        </w:rPr>
        <w:t>万元</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其中：本级支出 </w:t>
      </w:r>
      <w:r>
        <w:rPr>
          <w:rFonts w:hint="eastAsia" w:ascii="仿宋_GB2312" w:hAnsi="仿宋" w:eastAsia="仿宋_GB2312"/>
          <w:sz w:val="32"/>
          <w:szCs w:val="32"/>
          <w:lang w:val="en-US" w:eastAsia="zh-CN"/>
        </w:rPr>
        <w:t>1010.59</w:t>
      </w:r>
      <w:r>
        <w:rPr>
          <w:rFonts w:hint="eastAsia" w:ascii="仿宋_GB2312" w:hAnsi="仿宋" w:eastAsia="仿宋_GB2312"/>
          <w:sz w:val="32"/>
          <w:szCs w:val="32"/>
        </w:rPr>
        <w:t>万元</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
          <w:bCs/>
          <w:sz w:val="32"/>
          <w:szCs w:val="32"/>
        </w:rPr>
        <w:t>比上年增减情况</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年组织部基本支出</w:t>
      </w:r>
      <w:r>
        <w:rPr>
          <w:rFonts w:hint="eastAsia" w:ascii="仿宋_GB2312" w:hAnsi="仿宋" w:eastAsia="仿宋_GB2312"/>
          <w:sz w:val="32"/>
          <w:szCs w:val="32"/>
          <w:lang w:val="en-US" w:eastAsia="zh-CN"/>
        </w:rPr>
        <w:t>1273.50</w:t>
      </w:r>
      <w:r>
        <w:rPr>
          <w:rFonts w:hint="eastAsia" w:ascii="仿宋_GB2312" w:hAnsi="仿宋" w:eastAsia="仿宋_GB2312"/>
          <w:sz w:val="32"/>
          <w:szCs w:val="32"/>
        </w:rPr>
        <w:t>万元，比201</w:t>
      </w:r>
      <w:r>
        <w:rPr>
          <w:rFonts w:hint="eastAsia" w:ascii="仿宋_GB2312" w:hAnsi="仿宋" w:eastAsia="仿宋_GB2312"/>
          <w:sz w:val="32"/>
          <w:szCs w:val="32"/>
          <w:lang w:val="en-US" w:eastAsia="zh-CN"/>
        </w:rPr>
        <w:t>8</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1025.85</w:t>
      </w:r>
      <w:r>
        <w:rPr>
          <w:rFonts w:hint="eastAsia" w:ascii="仿宋_GB2312" w:hAnsi="仿宋" w:eastAsia="仿宋_GB2312"/>
          <w:sz w:val="32"/>
          <w:szCs w:val="32"/>
        </w:rPr>
        <w:t>万元,主要原因为</w:t>
      </w:r>
      <w:r>
        <w:rPr>
          <w:rFonts w:hint="eastAsia" w:ascii="仿宋_GB2312" w:hAnsi="仿宋" w:eastAsia="仿宋_GB2312"/>
          <w:sz w:val="32"/>
          <w:szCs w:val="32"/>
          <w:lang w:eastAsia="zh-CN"/>
        </w:rPr>
        <w:t>增加</w:t>
      </w:r>
      <w:r>
        <w:rPr>
          <w:rFonts w:hint="eastAsia" w:ascii="仿宋_GB2312" w:hAnsi="仿宋" w:eastAsia="仿宋_GB2312"/>
          <w:sz w:val="32"/>
          <w:szCs w:val="32"/>
        </w:rPr>
        <w:t>农村基层组织建设支出；201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年人员支出</w:t>
      </w:r>
      <w:r>
        <w:rPr>
          <w:rFonts w:hint="eastAsia" w:ascii="仿宋_GB2312" w:hAnsi="仿宋" w:eastAsia="仿宋_GB2312"/>
          <w:sz w:val="32"/>
          <w:szCs w:val="32"/>
          <w:lang w:val="en-US" w:eastAsia="zh-CN"/>
        </w:rPr>
        <w:t>235.10</w:t>
      </w:r>
      <w:r>
        <w:rPr>
          <w:rFonts w:hint="eastAsia" w:ascii="仿宋_GB2312" w:hAnsi="仿宋" w:eastAsia="仿宋_GB2312"/>
          <w:sz w:val="32"/>
          <w:szCs w:val="32"/>
        </w:rPr>
        <w:t>万元，比201</w:t>
      </w:r>
      <w:r>
        <w:rPr>
          <w:rFonts w:hint="eastAsia" w:ascii="仿宋_GB2312" w:hAnsi="仿宋" w:eastAsia="仿宋_GB2312"/>
          <w:sz w:val="32"/>
          <w:szCs w:val="32"/>
          <w:lang w:val="en-US" w:eastAsia="zh-CN"/>
        </w:rPr>
        <w:t>8</w:t>
      </w:r>
      <w:r>
        <w:rPr>
          <w:rFonts w:hint="eastAsia" w:ascii="仿宋_GB2312" w:hAnsi="仿宋" w:eastAsia="仿宋_GB2312"/>
          <w:sz w:val="32"/>
          <w:szCs w:val="32"/>
        </w:rPr>
        <w:t>年</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13.94</w:t>
      </w:r>
      <w:r>
        <w:rPr>
          <w:rFonts w:hint="eastAsia" w:ascii="仿宋_GB2312" w:hAnsi="仿宋" w:eastAsia="仿宋_GB2312"/>
          <w:sz w:val="32"/>
          <w:szCs w:val="32"/>
        </w:rPr>
        <w:t>万元，主要原因为</w:t>
      </w:r>
      <w:r>
        <w:rPr>
          <w:rFonts w:hint="eastAsia" w:ascii="仿宋_GB2312" w:hAnsi="仿宋" w:eastAsia="仿宋_GB2312"/>
          <w:sz w:val="32"/>
          <w:szCs w:val="32"/>
          <w:lang w:eastAsia="zh-CN"/>
        </w:rPr>
        <w:t>在职人员工资标准调整增加支出</w:t>
      </w:r>
      <w:r>
        <w:rPr>
          <w:rFonts w:hint="eastAsia" w:ascii="仿宋_GB2312" w:hAnsi="仿宋" w:eastAsia="仿宋_GB2312"/>
          <w:sz w:val="32"/>
          <w:szCs w:val="32"/>
        </w:rPr>
        <w:t>；20</w:t>
      </w:r>
      <w:r>
        <w:rPr>
          <w:rFonts w:hint="eastAsia" w:ascii="仿宋_GB2312" w:hAnsi="仿宋" w:eastAsia="仿宋_GB2312"/>
          <w:sz w:val="32"/>
          <w:szCs w:val="32"/>
          <w:lang w:val="en-US" w:eastAsia="zh-CN"/>
        </w:rPr>
        <w:t>19</w:t>
      </w:r>
      <w:r>
        <w:rPr>
          <w:rFonts w:hint="eastAsia" w:ascii="仿宋_GB2312" w:hAnsi="仿宋" w:eastAsia="仿宋_GB2312"/>
          <w:sz w:val="32"/>
          <w:szCs w:val="32"/>
        </w:rPr>
        <w:t>年日常公用经费支出26.49万元，比201</w:t>
      </w:r>
      <w:r>
        <w:rPr>
          <w:rFonts w:hint="eastAsia" w:ascii="仿宋_GB2312" w:hAnsi="仿宋" w:eastAsia="仿宋_GB2312"/>
          <w:sz w:val="32"/>
          <w:szCs w:val="32"/>
          <w:lang w:val="en-US" w:eastAsia="zh-CN"/>
        </w:rPr>
        <w:t>8</w:t>
      </w:r>
      <w:r>
        <w:rPr>
          <w:rFonts w:hint="eastAsia" w:ascii="仿宋_GB2312" w:hAnsi="仿宋" w:eastAsia="仿宋_GB2312"/>
          <w:sz w:val="32"/>
          <w:szCs w:val="32"/>
        </w:rPr>
        <w:t>年增加</w:t>
      </w:r>
      <w:r>
        <w:rPr>
          <w:rFonts w:hint="eastAsia" w:ascii="仿宋_GB2312" w:hAnsi="仿宋" w:eastAsia="仿宋_GB2312"/>
          <w:sz w:val="32"/>
          <w:szCs w:val="32"/>
          <w:lang w:val="en-US" w:eastAsia="zh-CN"/>
        </w:rPr>
        <w:t>1.32</w:t>
      </w:r>
      <w:r>
        <w:rPr>
          <w:rFonts w:hint="eastAsia" w:ascii="仿宋_GB2312" w:hAnsi="仿宋" w:eastAsia="仿宋_GB2312"/>
          <w:sz w:val="32"/>
          <w:szCs w:val="32"/>
        </w:rPr>
        <w:t>万元，主要原因</w:t>
      </w:r>
      <w:r>
        <w:rPr>
          <w:rFonts w:hint="eastAsia" w:ascii="仿宋_GB2312" w:hAnsi="仿宋" w:eastAsia="仿宋_GB2312"/>
          <w:sz w:val="32"/>
          <w:szCs w:val="32"/>
          <w:lang w:eastAsia="zh-CN"/>
        </w:rPr>
        <w:t>为按人员计算的公用经费增加</w:t>
      </w: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年项目支出</w:t>
      </w:r>
      <w:r>
        <w:rPr>
          <w:rFonts w:hint="eastAsia" w:ascii="仿宋_GB2312" w:hAnsi="仿宋" w:eastAsia="仿宋_GB2312"/>
          <w:sz w:val="32"/>
          <w:szCs w:val="32"/>
          <w:lang w:val="en-US" w:eastAsia="zh-CN"/>
        </w:rPr>
        <w:t>1010.59</w:t>
      </w:r>
      <w:r>
        <w:rPr>
          <w:rFonts w:hint="eastAsia" w:ascii="仿宋_GB2312" w:hAnsi="仿宋" w:eastAsia="仿宋_GB2312"/>
          <w:sz w:val="32"/>
          <w:szCs w:val="32"/>
        </w:rPr>
        <w:t>万元，较201</w:t>
      </w:r>
      <w:r>
        <w:rPr>
          <w:rFonts w:hint="eastAsia" w:ascii="仿宋_GB2312" w:hAnsi="仿宋" w:eastAsia="仿宋_GB2312"/>
          <w:sz w:val="32"/>
          <w:szCs w:val="32"/>
          <w:lang w:val="en-US" w:eastAsia="zh-CN"/>
        </w:rPr>
        <w:t>8</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941.18</w:t>
      </w:r>
      <w:r>
        <w:rPr>
          <w:rFonts w:hint="eastAsia" w:ascii="仿宋_GB2312" w:hAnsi="仿宋" w:eastAsia="仿宋_GB2312"/>
          <w:sz w:val="32"/>
          <w:szCs w:val="32"/>
        </w:rPr>
        <w:t>万元,主要原因为农村基层组织建设支出</w:t>
      </w:r>
      <w:r>
        <w:rPr>
          <w:rFonts w:hint="eastAsia" w:ascii="仿宋_GB2312" w:hAnsi="仿宋" w:eastAsia="仿宋_GB2312"/>
          <w:sz w:val="32"/>
          <w:szCs w:val="32"/>
          <w:lang w:eastAsia="zh-CN"/>
        </w:rPr>
        <w:t>增加</w:t>
      </w:r>
      <w:r>
        <w:rPr>
          <w:rFonts w:hint="eastAsia" w:ascii="仿宋_GB2312" w:hAnsi="仿宋" w:eastAsia="仿宋_GB2312"/>
          <w:sz w:val="32"/>
          <w:szCs w:val="32"/>
        </w:rPr>
        <w:t>。</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年我部的各项支出以将全面贯彻党和国家的有关政策、认真遵守财经纪律为准则，严格按预算规定的标准、用途执行，做到经费按进度，专款要专用，力争全面提高资金的使用效率。</w:t>
      </w:r>
    </w:p>
    <w:p>
      <w:pPr>
        <w:spacing w:line="520" w:lineRule="exact"/>
        <w:ind w:firstLine="640" w:firstLineChars="200"/>
        <w:rPr>
          <w:rFonts w:hint="eastAsia" w:ascii="仿宋_GB2312" w:hAnsi="仿宋" w:eastAsia="仿宋_GB2312"/>
          <w:sz w:val="32"/>
          <w:szCs w:val="32"/>
        </w:rPr>
      </w:pPr>
    </w:p>
    <w:p>
      <w:pPr>
        <w:spacing w:line="520" w:lineRule="exact"/>
        <w:outlineLvl w:val="0"/>
        <w:rPr>
          <w:rFonts w:hint="eastAsia" w:ascii="黑体" w:hAnsi="黑体" w:eastAsia="黑体"/>
          <w:sz w:val="32"/>
          <w:szCs w:val="32"/>
        </w:rPr>
      </w:pPr>
    </w:p>
    <w:p>
      <w:pPr>
        <w:spacing w:line="520" w:lineRule="exact"/>
        <w:jc w:val="center"/>
        <w:outlineLvl w:val="0"/>
        <w:rPr>
          <w:rFonts w:hint="eastAsia" w:ascii="黑体" w:hAnsi="黑体" w:eastAsia="黑体"/>
          <w:sz w:val="32"/>
          <w:szCs w:val="32"/>
        </w:rPr>
      </w:pPr>
      <w:r>
        <w:rPr>
          <w:rFonts w:hint="eastAsia" w:ascii="黑体" w:hAnsi="黑体" w:eastAsia="黑体"/>
          <w:sz w:val="32"/>
          <w:szCs w:val="32"/>
        </w:rPr>
        <w:t>第三部分：机关运行经费安排情况</w:t>
      </w:r>
    </w:p>
    <w:p>
      <w:pPr>
        <w:spacing w:line="520" w:lineRule="exact"/>
        <w:jc w:val="center"/>
        <w:outlineLvl w:val="0"/>
        <w:rPr>
          <w:rFonts w:hint="eastAsia" w:ascii="黑体" w:hAnsi="黑体" w:eastAsia="黑体"/>
          <w:sz w:val="32"/>
          <w:szCs w:val="32"/>
        </w:rPr>
      </w:pPr>
    </w:p>
    <w:p>
      <w:pPr>
        <w:spacing w:line="520" w:lineRule="exact"/>
        <w:ind w:firstLine="640" w:firstLineChars="200"/>
        <w:jc w:val="left"/>
        <w:outlineLvl w:val="0"/>
        <w:rPr>
          <w:rFonts w:hint="eastAsia" w:ascii="仿宋_GB2312" w:hAnsi="仿宋" w:eastAsia="仿宋_GB2312"/>
          <w:sz w:val="32"/>
          <w:szCs w:val="32"/>
        </w:rPr>
      </w:pPr>
      <w:r>
        <w:rPr>
          <w:rFonts w:hint="eastAsia" w:ascii="仿宋_GB2312" w:hAnsi="仿宋" w:eastAsia="仿宋_GB2312"/>
          <w:sz w:val="32"/>
          <w:szCs w:val="32"/>
        </w:rPr>
        <w:t>满城区委组织部机关运行经费安排</w:t>
      </w:r>
      <w:r>
        <w:rPr>
          <w:rFonts w:hint="eastAsia" w:ascii="仿宋_GB2312" w:hAnsi="仿宋" w:eastAsia="仿宋_GB2312"/>
          <w:sz w:val="32"/>
          <w:szCs w:val="32"/>
          <w:lang w:val="en-US" w:eastAsia="zh-CN"/>
        </w:rPr>
        <w:t>27.81</w:t>
      </w:r>
      <w:r>
        <w:rPr>
          <w:rFonts w:hint="eastAsia" w:ascii="仿宋_GB2312" w:hAnsi="仿宋" w:eastAsia="仿宋_GB2312"/>
          <w:sz w:val="32"/>
          <w:szCs w:val="32"/>
        </w:rPr>
        <w:t>万元，其中办公费</w:t>
      </w:r>
      <w:r>
        <w:rPr>
          <w:rFonts w:hint="eastAsia" w:ascii="仿宋_GB2312" w:hAnsi="仿宋" w:eastAsia="仿宋_GB2312"/>
          <w:sz w:val="32"/>
          <w:szCs w:val="32"/>
          <w:lang w:val="en-US" w:eastAsia="zh-CN"/>
        </w:rPr>
        <w:t>1.2</w:t>
      </w:r>
      <w:r>
        <w:rPr>
          <w:rFonts w:hint="eastAsia" w:ascii="仿宋_GB2312" w:hAnsi="仿宋" w:eastAsia="仿宋_GB2312"/>
          <w:sz w:val="32"/>
          <w:szCs w:val="32"/>
        </w:rPr>
        <w:t>万元，邮电费8.</w:t>
      </w:r>
      <w:r>
        <w:rPr>
          <w:rFonts w:hint="eastAsia" w:ascii="仿宋_GB2312" w:hAnsi="仿宋" w:eastAsia="仿宋_GB2312"/>
          <w:sz w:val="32"/>
          <w:szCs w:val="32"/>
          <w:lang w:val="en-US" w:eastAsia="zh-CN"/>
        </w:rPr>
        <w:t>64</w:t>
      </w:r>
      <w:r>
        <w:rPr>
          <w:rFonts w:hint="eastAsia" w:ascii="仿宋_GB2312" w:hAnsi="仿宋" w:eastAsia="仿宋_GB2312"/>
          <w:sz w:val="32"/>
          <w:szCs w:val="32"/>
        </w:rPr>
        <w:t>万元（含公务移动通讯费用补贴</w:t>
      </w:r>
      <w:r>
        <w:rPr>
          <w:rFonts w:hint="eastAsia" w:ascii="仿宋_GB2312" w:hAnsi="仿宋" w:eastAsia="仿宋_GB2312"/>
          <w:sz w:val="32"/>
          <w:szCs w:val="32"/>
          <w:lang w:val="en-US" w:eastAsia="zh-CN"/>
        </w:rPr>
        <w:t>8.1</w:t>
      </w:r>
      <w:r>
        <w:rPr>
          <w:rFonts w:hint="eastAsia" w:ascii="仿宋_GB2312" w:hAnsi="仿宋" w:eastAsia="仿宋_GB2312"/>
          <w:sz w:val="32"/>
          <w:szCs w:val="32"/>
        </w:rPr>
        <w:t>万元），公务接待费0.48万元，公务用车运行维护费5万元，公务交通补贴</w:t>
      </w:r>
      <w:r>
        <w:rPr>
          <w:rFonts w:hint="eastAsia" w:ascii="仿宋_GB2312" w:hAnsi="仿宋" w:eastAsia="仿宋_GB2312"/>
          <w:sz w:val="32"/>
          <w:szCs w:val="32"/>
          <w:lang w:val="en-US" w:eastAsia="zh-CN"/>
        </w:rPr>
        <w:t>12.24</w:t>
      </w:r>
      <w:r>
        <w:rPr>
          <w:rFonts w:hint="eastAsia" w:ascii="仿宋_GB2312" w:hAnsi="仿宋" w:eastAsia="仿宋_GB2312"/>
          <w:sz w:val="32"/>
          <w:szCs w:val="32"/>
        </w:rPr>
        <w:t>万元，退休干部经费0.25万元。</w:t>
      </w:r>
    </w:p>
    <w:p>
      <w:pPr>
        <w:spacing w:line="520" w:lineRule="exact"/>
        <w:jc w:val="center"/>
        <w:outlineLvl w:val="0"/>
        <w:rPr>
          <w:rFonts w:hint="eastAsia" w:ascii="黑体" w:hAnsi="黑体" w:eastAsia="黑体"/>
          <w:sz w:val="32"/>
          <w:szCs w:val="32"/>
        </w:rPr>
      </w:pPr>
    </w:p>
    <w:p>
      <w:pPr>
        <w:spacing w:line="520" w:lineRule="exact"/>
        <w:jc w:val="center"/>
        <w:outlineLvl w:val="0"/>
        <w:rPr>
          <w:rFonts w:hint="eastAsia" w:ascii="黑体" w:hAnsi="黑体" w:eastAsia="黑体"/>
          <w:sz w:val="32"/>
          <w:szCs w:val="32"/>
        </w:rPr>
      </w:pPr>
      <w:r>
        <w:rPr>
          <w:rFonts w:hint="eastAsia" w:ascii="黑体" w:hAnsi="黑体" w:eastAsia="黑体"/>
          <w:sz w:val="32"/>
          <w:szCs w:val="32"/>
        </w:rPr>
        <w:t>第四部分：财政拨款“三公”经费预算情况</w:t>
      </w:r>
    </w:p>
    <w:p>
      <w:pPr>
        <w:spacing w:line="520" w:lineRule="exact"/>
        <w:jc w:val="center"/>
        <w:outlineLvl w:val="0"/>
        <w:rPr>
          <w:rFonts w:hint="eastAsia" w:ascii="黑体" w:hAnsi="黑体" w:eastAsia="黑体"/>
          <w:sz w:val="32"/>
          <w:szCs w:val="32"/>
        </w:rPr>
      </w:pPr>
    </w:p>
    <w:tbl>
      <w:tblPr>
        <w:tblStyle w:val="8"/>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wBefore w:w="0" w:type="dxa"/>
          <w:wAfter w:w="0" w:type="dxa"/>
          <w:trHeight w:val="405" w:hRule="atLeast"/>
        </w:trPr>
        <w:tc>
          <w:tcPr>
            <w:tcW w:w="9855" w:type="dxa"/>
            <w:gridSpan w:val="5"/>
            <w:tcBorders>
              <w:top w:val="nil"/>
              <w:left w:val="nil"/>
              <w:bottom w:val="nil"/>
              <w:right w:val="nil"/>
            </w:tcBorders>
            <w:noWrap w:val="0"/>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wBefore w:w="0" w:type="dxa"/>
          <w:wAfter w:w="0" w:type="dxa"/>
          <w:trHeight w:val="221" w:hRule="atLeast"/>
        </w:trPr>
        <w:tc>
          <w:tcPr>
            <w:tcW w:w="2136"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17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3108" w:type="dxa"/>
            <w:tcBorders>
              <w:top w:val="nil"/>
              <w:left w:val="nil"/>
              <w:bottom w:val="nil"/>
              <w:right w:val="nil"/>
            </w:tcBorders>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wBefore w:w="0" w:type="dxa"/>
          <w:wAfter w:w="0" w:type="dxa"/>
          <w:trHeight w:val="285" w:hRule="atLeast"/>
        </w:trPr>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项目名称</w:t>
            </w:r>
          </w:p>
        </w:tc>
        <w:tc>
          <w:tcPr>
            <w:tcW w:w="17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201</w:t>
            </w:r>
            <w:r>
              <w:rPr>
                <w:rFonts w:hint="eastAsia" w:ascii="仿宋_GB2312" w:hAnsi="宋体" w:eastAsia="仿宋_GB2312" w:cs="宋体"/>
                <w:kern w:val="0"/>
                <w:sz w:val="24"/>
                <w:szCs w:val="24"/>
                <w:lang w:val="en-US" w:eastAsia="zh-CN"/>
              </w:rPr>
              <w:t>8</w:t>
            </w:r>
            <w:r>
              <w:rPr>
                <w:rFonts w:hint="eastAsia" w:ascii="仿宋_GB2312" w:hAnsi="宋体" w:eastAsia="仿宋_GB2312" w:cs="宋体"/>
                <w:kern w:val="0"/>
                <w:sz w:val="24"/>
                <w:szCs w:val="24"/>
              </w:rPr>
              <w:t>年度预算</w:t>
            </w:r>
          </w:p>
        </w:tc>
        <w:tc>
          <w:tcPr>
            <w:tcW w:w="17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201</w:t>
            </w:r>
            <w:r>
              <w:rPr>
                <w:rFonts w:hint="eastAsia" w:ascii="仿宋_GB2312" w:hAnsi="宋体" w:eastAsia="仿宋_GB2312" w:cs="宋体"/>
                <w:kern w:val="0"/>
                <w:sz w:val="24"/>
                <w:szCs w:val="24"/>
                <w:lang w:val="en-US" w:eastAsia="zh-CN"/>
              </w:rPr>
              <w:t>9</w:t>
            </w:r>
            <w:r>
              <w:rPr>
                <w:rFonts w:hint="eastAsia" w:ascii="仿宋_GB2312" w:hAnsi="宋体" w:eastAsia="仿宋_GB2312" w:cs="宋体"/>
                <w:kern w:val="0"/>
                <w:sz w:val="24"/>
                <w:szCs w:val="24"/>
              </w:rPr>
              <w:t>年度预算</w:t>
            </w:r>
          </w:p>
        </w:tc>
        <w:tc>
          <w:tcPr>
            <w:tcW w:w="11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增减金额</w:t>
            </w:r>
          </w:p>
        </w:tc>
        <w:tc>
          <w:tcPr>
            <w:tcW w:w="31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变化原因</w:t>
            </w:r>
          </w:p>
        </w:tc>
      </w:tr>
      <w:tr>
        <w:tblPrEx>
          <w:tblCellMar>
            <w:top w:w="0" w:type="dxa"/>
            <w:left w:w="108" w:type="dxa"/>
            <w:bottom w:w="0" w:type="dxa"/>
            <w:right w:w="108" w:type="dxa"/>
          </w:tblCellMar>
        </w:tblPrEx>
        <w:trPr>
          <w:wBefore w:w="0" w:type="dxa"/>
          <w:wAfter w:w="0" w:type="dxa"/>
          <w:trHeight w:val="285"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3108"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wBefore w:w="0" w:type="dxa"/>
          <w:wAfter w:w="0" w:type="dxa"/>
          <w:trHeight w:val="285"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3108"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wBefore w:w="0" w:type="dxa"/>
          <w:wAfter w:w="0" w:type="dxa"/>
          <w:trHeight w:val="570"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5</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0</w:t>
            </w:r>
          </w:p>
        </w:tc>
        <w:tc>
          <w:tcPr>
            <w:tcW w:w="3108"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wBefore w:w="0" w:type="dxa"/>
          <w:wAfter w:w="0" w:type="dxa"/>
          <w:trHeight w:val="855"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0.48</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0.48</w:t>
            </w: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0</w:t>
            </w:r>
          </w:p>
        </w:tc>
        <w:tc>
          <w:tcPr>
            <w:tcW w:w="3108"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wBefore w:w="0" w:type="dxa"/>
          <w:wAfter w:w="0" w:type="dxa"/>
          <w:trHeight w:val="1140"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5.48</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5.48</w:t>
            </w: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0</w:t>
            </w:r>
          </w:p>
        </w:tc>
        <w:tc>
          <w:tcPr>
            <w:tcW w:w="3108"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bl>
    <w:p>
      <w:pPr>
        <w:outlineLvl w:val="0"/>
        <w:rPr>
          <w:rFonts w:hint="eastAsia" w:ascii="黑体" w:hAnsi="黑体" w:eastAsia="黑体"/>
          <w:b/>
          <w:sz w:val="32"/>
        </w:rPr>
      </w:pPr>
    </w:p>
    <w:p>
      <w:pPr>
        <w:jc w:val="center"/>
        <w:outlineLvl w:val="0"/>
        <w:rPr>
          <w:rFonts w:hint="eastAsia" w:ascii="黑体" w:hAnsi="黑体" w:eastAsia="黑体"/>
          <w:sz w:val="32"/>
          <w:szCs w:val="32"/>
        </w:rPr>
      </w:pPr>
      <w:r>
        <w:rPr>
          <w:rFonts w:hint="eastAsia" w:ascii="黑体" w:hAnsi="黑体" w:eastAsia="黑体"/>
          <w:sz w:val="32"/>
          <w:szCs w:val="32"/>
        </w:rPr>
        <w:t>第五部分：绩效预算信息</w:t>
      </w:r>
    </w:p>
    <w:p>
      <w:pPr>
        <w:jc w:val="center"/>
        <w:outlineLvl w:val="0"/>
        <w:rPr>
          <w:rFonts w:hint="eastAsia" w:ascii="黑体" w:hAnsi="黑体" w:eastAsia="黑体"/>
          <w:sz w:val="32"/>
          <w:szCs w:val="32"/>
        </w:rPr>
      </w:pPr>
    </w:p>
    <w:p>
      <w:pPr>
        <w:spacing w:line="520" w:lineRule="exact"/>
        <w:ind w:firstLine="643" w:firstLineChars="200"/>
        <w:jc w:val="left"/>
        <w:rPr>
          <w:rFonts w:hint="eastAsia" w:ascii="黑体" w:hAnsi="黑体" w:eastAsia="黑体"/>
          <w:b/>
          <w:sz w:val="32"/>
          <w:szCs w:val="32"/>
        </w:rPr>
      </w:pPr>
      <w:r>
        <w:rPr>
          <w:rFonts w:hint="eastAsia" w:ascii="黑体" w:hAnsi="黑体" w:eastAsia="黑体"/>
          <w:b/>
          <w:sz w:val="32"/>
          <w:szCs w:val="32"/>
        </w:rPr>
        <w:t>一、</w:t>
      </w:r>
      <w:r>
        <w:rPr>
          <w:rFonts w:hint="eastAsia" w:ascii="黑体" w:hAnsi="黑体" w:eastAsia="黑体"/>
          <w:sz w:val="32"/>
          <w:szCs w:val="32"/>
        </w:rPr>
        <w:t>总体绩效目标</w:t>
      </w:r>
      <w:r>
        <w:rPr>
          <w:rFonts w:hint="eastAsia" w:ascii="黑体" w:hAnsi="黑体" w:eastAsia="黑体"/>
          <w:b/>
          <w:sz w:val="32"/>
          <w:szCs w:val="32"/>
        </w:rPr>
        <w:t>：</w:t>
      </w:r>
    </w:p>
    <w:p>
      <w:pPr>
        <w:spacing w:line="52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201</w:t>
      </w:r>
      <w:r>
        <w:rPr>
          <w:rFonts w:hint="eastAsia" w:ascii="仿宋_GB2312" w:hAnsi="仿宋" w:eastAsia="仿宋_GB2312"/>
          <w:kern w:val="0"/>
          <w:sz w:val="32"/>
          <w:szCs w:val="32"/>
          <w:lang w:val="en-US" w:eastAsia="zh-CN"/>
        </w:rPr>
        <w:t>9</w:t>
      </w:r>
      <w:r>
        <w:rPr>
          <w:rFonts w:hint="eastAsia" w:ascii="仿宋_GB2312" w:hAnsi="仿宋" w:eastAsia="仿宋_GB2312"/>
          <w:kern w:val="0"/>
          <w:sz w:val="32"/>
          <w:szCs w:val="32"/>
        </w:rPr>
        <w:t>年在区委的正确领导和市委组织部的指导帮助下，我们按照“规范、创新、一流”的总体要求和工作要点，紧紧围绕全区工作大局，重落实、抓典型、创特色、树形象，不断开创组织工作新局面，为全区经济和社会各项事业的快速发展提供了坚强的组织保证。</w:t>
      </w:r>
    </w:p>
    <w:p>
      <w:pPr>
        <w:spacing w:line="52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（一）加快基层组织建设工作。推进农村基层党组织建设，引导农民改善居住环境、生活条件，加强党员发展。</w:t>
      </w:r>
    </w:p>
    <w:p>
      <w:pPr>
        <w:spacing w:line="520" w:lineRule="exact"/>
        <w:ind w:firstLine="560"/>
        <w:rPr>
          <w:rFonts w:hint="eastAsia" w:ascii="仿宋_GB2312" w:hAnsi="仿宋" w:eastAsia="仿宋_GB2312" w:cs="仿宋_GB2312"/>
          <w:sz w:val="32"/>
          <w:szCs w:val="32"/>
        </w:rPr>
      </w:pPr>
      <w:r>
        <w:rPr>
          <w:rFonts w:hint="eastAsia" w:ascii="仿宋_GB2312" w:hAnsi="仿宋" w:eastAsia="仿宋_GB2312"/>
          <w:kern w:val="0"/>
          <w:sz w:val="32"/>
          <w:szCs w:val="32"/>
        </w:rPr>
        <w:t>（二）做好乡镇和区直部门领导班子和科级干部的选配工作，负责后备干部的培养工作，</w:t>
      </w:r>
      <w:r>
        <w:rPr>
          <w:rFonts w:hint="eastAsia" w:ascii="仿宋_GB2312" w:hAnsi="仿宋" w:eastAsia="仿宋_GB2312" w:cs="仿宋_GB2312"/>
          <w:sz w:val="32"/>
          <w:szCs w:val="32"/>
        </w:rPr>
        <w:t>研究探索干部人事制度改革，制定全区组织、干部、人事工作的重要政策和制度。</w:t>
      </w:r>
    </w:p>
    <w:p>
      <w:pPr>
        <w:spacing w:line="520" w:lineRule="exact"/>
        <w:ind w:firstLine="560"/>
        <w:rPr>
          <w:rFonts w:hint="eastAsia" w:ascii="仿宋_GB2312" w:hAnsi="仿宋" w:eastAsia="仿宋_GB2312"/>
          <w:kern w:val="0"/>
          <w:sz w:val="32"/>
          <w:szCs w:val="32"/>
        </w:rPr>
      </w:pPr>
      <w:r>
        <w:rPr>
          <w:rFonts w:hint="eastAsia" w:ascii="仿宋_GB2312" w:hAnsi="仿宋" w:eastAsia="仿宋_GB2312"/>
          <w:kern w:val="0"/>
          <w:sz w:val="32"/>
          <w:szCs w:val="32"/>
        </w:rPr>
        <w:t>（三）负责全区科级干部的年度考核、奖惩工作。</w:t>
      </w:r>
    </w:p>
    <w:p>
      <w:pPr>
        <w:spacing w:line="520" w:lineRule="exact"/>
        <w:ind w:firstLine="560"/>
        <w:rPr>
          <w:rFonts w:hint="eastAsia" w:ascii="仿宋_GB2312" w:hAnsi="仿宋" w:eastAsia="仿宋_GB2312"/>
          <w:kern w:val="0"/>
          <w:sz w:val="32"/>
          <w:szCs w:val="32"/>
        </w:rPr>
      </w:pPr>
      <w:r>
        <w:rPr>
          <w:rFonts w:hint="eastAsia" w:ascii="仿宋_GB2312" w:hAnsi="仿宋" w:eastAsia="仿宋_GB2312"/>
          <w:kern w:val="0"/>
          <w:sz w:val="32"/>
          <w:szCs w:val="32"/>
        </w:rPr>
        <w:t>（四）负责全区干部、党员的教育工作，通过多种形式的教育，培养人才，发现人才，引进人才，为全区的经济发展服务。</w:t>
      </w:r>
    </w:p>
    <w:p>
      <w:pPr>
        <w:jc w:val="center"/>
        <w:outlineLvl w:val="0"/>
        <w:rPr>
          <w:rFonts w:ascii="宋体" w:hAnsi="宋体"/>
        </w:rPr>
      </w:pPr>
      <w:r>
        <w:rPr>
          <w:rFonts w:ascii="宋体" w:hAnsi="宋体"/>
        </w:rPr>
        <w:t xml:space="preserve"> </w:t>
      </w:r>
    </w:p>
    <w:p>
      <w:pPr>
        <w:spacing w:line="520" w:lineRule="exact"/>
        <w:ind w:firstLine="643" w:firstLineChars="200"/>
        <w:jc w:val="left"/>
        <w:rPr>
          <w:rFonts w:hint="eastAsia" w:ascii="黑体" w:hAnsi="黑体" w:eastAsia="黑体"/>
          <w:b/>
          <w:sz w:val="32"/>
          <w:szCs w:val="32"/>
        </w:rPr>
      </w:pPr>
    </w:p>
    <w:p>
      <w:pPr>
        <w:jc w:val="center"/>
        <w:outlineLvl w:val="0"/>
        <w:rPr>
          <w:rFonts w:hint="eastAsia" w:ascii="方正小标宋_GBK" w:eastAsia="方正小标宋_GBK"/>
          <w:sz w:val="32"/>
        </w:rPr>
      </w:pPr>
      <w:bookmarkStart w:id="0" w:name="_Toc477961205"/>
      <w:r>
        <w:rPr>
          <w:rFonts w:hint="eastAsia" w:ascii="方正小标宋_GBK" w:eastAsia="方正小标宋_GBK"/>
          <w:sz w:val="32"/>
        </w:rPr>
        <w:t>部门职责-工作活动绩效目标</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203</w:t>
            </w:r>
            <w:r>
              <w:rPr>
                <w:rFonts w:hint="eastAsia" w:ascii="方正小标宋_GBK" w:eastAsia="方正小标宋_GBK"/>
                <w:sz w:val="24"/>
              </w:rPr>
              <w:t>中共保定市满城区委组织部</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党员和党组织建设</w:t>
            </w:r>
          </w:p>
        </w:tc>
        <w:tc>
          <w:tcPr>
            <w:tcW w:w="127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10094900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负责全区党组织建设；负责区委基层组织建设</w:t>
            </w:r>
            <w:r>
              <w:rPr>
                <w:rFonts w:hint="eastAsia" w:ascii="方正书宋_GBK" w:eastAsia="方正书宋_GBK"/>
                <w:lang w:eastAsia="zh-CN"/>
              </w:rPr>
              <w:t>联席</w:t>
            </w:r>
            <w:r>
              <w:rPr>
                <w:rFonts w:hint="eastAsia" w:ascii="方正书宋_GBK" w:eastAsia="方正书宋_GBK"/>
              </w:rPr>
              <w:t>会议党的牵头抓总工作；研究和提出党内生活制度建设的意见；协调、规划和指导全区党员教育工作；主管党员的管理和发展工作。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加强基层领导班子建设；加强非公经济组织和社会组织党建工作；加强全区大学生村官队伍建设；健全全区党的组织制度、党内生活制度建设；加强民主集中制建设和民主生活会宏观指导；乡镇党代会、人代会；做好代表补选、罢免等事宜。</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党组织建设及党员教育管理</w:t>
            </w:r>
          </w:p>
        </w:tc>
        <w:tc>
          <w:tcPr>
            <w:tcW w:w="1276" w:type="dxa"/>
            <w:vMerge w:val="restart"/>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10094900</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负责全区党组织建设；负责区委非公经济和区委基层组织建设</w:t>
            </w:r>
            <w:r>
              <w:rPr>
                <w:rFonts w:hint="eastAsia" w:ascii="方正书宋_GBK" w:eastAsia="方正书宋_GBK"/>
                <w:lang w:eastAsia="zh-CN"/>
              </w:rPr>
              <w:t>联席</w:t>
            </w:r>
            <w:r>
              <w:rPr>
                <w:rFonts w:hint="eastAsia" w:ascii="方正书宋_GBK" w:eastAsia="方正书宋_GBK"/>
              </w:rPr>
              <w:t>会议党的牵头抓总工作；研究和提出党内生活制度建设的意见；协调、规划和指导全区党员教育工作。</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加强党组织建设和党员管理</w:t>
            </w:r>
            <w:r>
              <w:rPr>
                <w:rFonts w:ascii="方正书宋_GBK" w:eastAsia="方正书宋_GBK"/>
              </w:rPr>
              <w:t>,</w:t>
            </w:r>
            <w:r>
              <w:rPr>
                <w:rFonts w:hint="eastAsia" w:ascii="方正书宋_GBK" w:eastAsia="方正书宋_GBK"/>
              </w:rPr>
              <w:t>不断提高执政能力和领导水平</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农村党组织换届工作完成率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非公经济组织和社会组织党的组织和工作覆盖率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党员现代远程教育课时量完成情况（部</w:t>
            </w:r>
            <w:r>
              <w:rPr>
                <w:rFonts w:ascii="方正书宋_GBK" w:eastAsia="方正书宋_GBK"/>
              </w:rPr>
              <w:t>/</w:t>
            </w:r>
            <w:r>
              <w:rPr>
                <w:rFonts w:hint="eastAsia" w:ascii="方正书宋_GBK" w:eastAsia="方正书宋_GBK"/>
              </w:rPr>
              <w:t>集）</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大学生村官到岗率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干部管理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做好换届工作，选优配强各级领导班子；负责区委管理干部及全区干部队伍管理、干部培养选拔、干部调配、挂职、交流和安置；对区委管理领导班子和领导干部的考核工作，以及全区干部考核工作的督导检查；指导领导班子的思想作风建设；负责对全区组织部门干部监督工作的综合、协调。</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落实国家工资政策和涉及领导干部收入分配的相关政策，准确高效办理区委管理干部的工资及退休费审批；培养锻炼干部，提高干部整体素质；为各级领导班子储配人才；进一步增强我县干部教育培训工作的统筹性、针对性、有效性，不断提高干部素质和业务能力。</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省市及区委管理干部管理</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配合省市组织部做好干部任职考察；做好乡镇领导班子换届工作；负责区委管理干部的考察和办理任免、工资、待遇、退（离）休审批手续；参与研究全区干部工资政策和县管干部离退休待遇政策；落实省市管理干部工资、审批县管干部工资及退休费。</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落实好省市、县管干部相关待遇政策；研究制定换届政策和文件，组织全区换届工作会议，认真组织换届考察工作，提出乡镇班子换届人事安排方案，指导乡镇进行换届选举。</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省市、县管干部规范管理率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乡镇领导班子组织换届率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省市、县管干部个人待遇政策落实率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干部队伍管理</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负责组织对全区干部考核工作的指导和督导检查</w:t>
            </w:r>
            <w:r>
              <w:rPr>
                <w:rFonts w:ascii="方正书宋_GBK" w:eastAsia="方正书宋_GBK"/>
              </w:rPr>
              <w:t>,</w:t>
            </w:r>
            <w:r>
              <w:rPr>
                <w:rFonts w:hint="eastAsia" w:ascii="方正书宋_GBK" w:eastAsia="方正书宋_GBK"/>
              </w:rPr>
              <w:t>组织实施区委管理领导班子和领导干部的年度综合考核评价工作；负责对全区组织部门干部监督工作的综合、协调和宏观指导；承办部分干部的调配、交流及安置事宜；承办选调优秀应届大学毕业生到基层工作。</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完成区管领导班子和领导干部年度综合考核评价工作，加强干部调研。</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对《干部任用条例》及有关党内法规贯彻执行情况进行监督检查工作的完成率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县管领导班子和领导干部年度综合考核评价工作完成率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干部培养选拔</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组织落实培养选拔后备干部、妇女干部、少数民族干部、党外干部和年轻干部工作。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组织落实培养选拔后备干部、妇女干部、少数民族干部工作。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干部选拔工作完成率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干部教育培训</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主管全区的干部教育培训工作。承担区委干部教育工作领导小组办公室的职责任务；研究和探索适合我县情况的干部培训制度。</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建立规范的干部教育培训体系。</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干部教育培训计划完成情况</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全区人才工作及队伍建设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负责全区人才工作牵头抓总职能的落实，对全区人才工作和人才队伍建设进行指导、协调和督促检查；负责全区有关专项人才支持计划组织实施工作；负责收集、掌握、反映全区人才工作动态。</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做好全局性人才工作事项的统筹谋划；承担区委人才工作领导小组有关会议筹备、文件起草、协调联络服务等工作；围绕人才理论和全区人才工作进展中的实际问题开展调查研究，提出加强和改进人才工作的意见和建议。</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区委人才工作要点工作完成率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全区人才工作及队伍建设</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负责全区人才工作牵头抓总职能的落实，对全区人才工作和人才队伍建设进行指导、协调和督促检查；负责全区有关专项人才支持计划组织实施工作；负责收集、掌握、反映全区人才工作动态。</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做好全局性人才工作事项的统筹谋划；承担区委人才工作领导小组有关会议筹备、文件起草、协调联络服务等工作；围绕人才理论和全区人才工作进展中的实际问题开展调查研究，提出加强和改进人才工作的意见和建议。</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重点人才工程年度目标任务完成率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区委人才工作要点工作完成率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组织事务管理</w:t>
            </w:r>
          </w:p>
        </w:tc>
        <w:tc>
          <w:tcPr>
            <w:tcW w:w="127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11000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负责做好部机关机要、文秘、信访、会议、固定资产等工作的计划安排和管理；负责机关自身建设；负责老干部综合服务和保障工作；负责组织史征编工作；组织系统信息化建设。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做好部机关机要、文秘、信访、会议、固定资产等工作的计划安排和管理；干部、人事政策科学合理；做好老干部综合服务和保障工作；完成组织史征编工作；信息系统运行无障碍。</w:t>
            </w:r>
          </w:p>
        </w:tc>
        <w:tc>
          <w:tcPr>
            <w:tcW w:w="1417"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按时拨付</w:t>
            </w:r>
          </w:p>
        </w:tc>
        <w:tc>
          <w:tcPr>
            <w:tcW w:w="737"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综合事务管理</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组织史资料征编；组织、干部工作综合研究，相关政策法规起草、制定、审核；信息、信访工作。</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组织史资料征编；组织、干部工作综合研究，相关政策法规起草、制定、审核；信息、信访工作。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大组工网出现故障次数</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 xml:space="preserve"> 1</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各项综合事务工作完成率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&lt;90%</w:t>
            </w:r>
          </w:p>
        </w:tc>
      </w:tr>
    </w:tbl>
    <w:p>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pPr>
        <w:jc w:val="center"/>
        <w:rPr>
          <w:rFonts w:hint="eastAsia" w:ascii="黑体" w:hAnsi="黑体" w:eastAsia="黑体"/>
          <w:sz w:val="32"/>
          <w:szCs w:val="32"/>
        </w:rPr>
      </w:pPr>
      <w:r>
        <w:rPr>
          <w:rFonts w:hint="eastAsia" w:ascii="黑体" w:hAnsi="黑体" w:eastAsia="黑体"/>
          <w:sz w:val="32"/>
          <w:szCs w:val="32"/>
        </w:rPr>
        <w:t>第六部分：政府采购预算情况</w:t>
      </w:r>
    </w:p>
    <w:p>
      <w:pPr>
        <w:jc w:val="center"/>
        <w:rPr>
          <w:rFonts w:hint="eastAsia" w:ascii="黑体" w:hAnsi="黑体" w:eastAsia="黑体"/>
          <w:sz w:val="32"/>
          <w:szCs w:val="32"/>
        </w:rPr>
      </w:pP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本部门201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年度无政府采购预算。</w:t>
      </w: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第七部分：国有资产信息情况说明</w:t>
      </w:r>
    </w:p>
    <w:p>
      <w:pPr>
        <w:rPr>
          <w:rFonts w:hint="eastAsia" w:ascii="宋体" w:hAnsi="宋体"/>
          <w:sz w:val="32"/>
          <w:szCs w:val="32"/>
        </w:rPr>
      </w:pPr>
      <w:r>
        <w:rPr>
          <w:rFonts w:hint="eastAsia" w:ascii="宋体" w:hAnsi="宋体"/>
          <w:sz w:val="32"/>
          <w:szCs w:val="32"/>
        </w:rPr>
        <w:t xml:space="preserve">  </w:t>
      </w:r>
    </w:p>
    <w:p>
      <w:pPr>
        <w:spacing w:line="520" w:lineRule="exact"/>
        <w:ind w:firstLine="640" w:firstLineChars="200"/>
        <w:rPr>
          <w:rFonts w:hint="eastAsia" w:ascii="黑体" w:hAnsi="黑体" w:eastAsia="仿宋_GB2312"/>
          <w:sz w:val="32"/>
          <w:szCs w:val="32"/>
          <w:lang w:eastAsia="zh-CN"/>
        </w:rPr>
      </w:pPr>
      <w:r>
        <w:rPr>
          <w:rFonts w:hint="eastAsia" w:ascii="仿宋_GB2312" w:hAnsi="仿宋" w:eastAsia="仿宋_GB2312"/>
          <w:sz w:val="32"/>
          <w:szCs w:val="32"/>
        </w:rPr>
        <w:t>中共保定市满城区委组织部201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年新设帐户，201</w:t>
      </w:r>
      <w:r>
        <w:rPr>
          <w:rFonts w:hint="eastAsia" w:ascii="仿宋_GB2312" w:hAnsi="仿宋" w:eastAsia="仿宋_GB2312"/>
          <w:sz w:val="32"/>
          <w:szCs w:val="32"/>
          <w:lang w:val="en-US" w:eastAsia="zh-CN"/>
        </w:rPr>
        <w:t>8</w:t>
      </w:r>
      <w:r>
        <w:rPr>
          <w:rFonts w:hint="eastAsia" w:ascii="仿宋_GB2312" w:hAnsi="仿宋" w:eastAsia="仿宋_GB2312"/>
          <w:sz w:val="32"/>
          <w:szCs w:val="32"/>
        </w:rPr>
        <w:t>年12月31日固定资产总额为</w:t>
      </w:r>
      <w:r>
        <w:rPr>
          <w:rFonts w:hint="eastAsia" w:ascii="仿宋_GB2312" w:hAnsi="仿宋" w:eastAsia="仿宋_GB2312"/>
          <w:sz w:val="32"/>
          <w:szCs w:val="32"/>
          <w:lang w:val="en-US" w:eastAsia="zh-CN"/>
        </w:rPr>
        <w:t>37.56</w:t>
      </w:r>
      <w:r>
        <w:rPr>
          <w:rFonts w:hint="eastAsia" w:ascii="仿宋_GB2312" w:hAnsi="仿宋" w:eastAsia="仿宋_GB2312"/>
          <w:sz w:val="32"/>
          <w:szCs w:val="32"/>
        </w:rPr>
        <w:t>万元。2019年无拟购置固定资产</w:t>
      </w:r>
      <w:r>
        <w:rPr>
          <w:rFonts w:hint="eastAsia" w:ascii="仿宋_GB2312" w:hAnsi="仿宋" w:eastAsia="仿宋_GB2312"/>
          <w:sz w:val="32"/>
          <w:szCs w:val="32"/>
          <w:lang w:eastAsia="zh-CN"/>
        </w:rPr>
        <w:t>。</w:t>
      </w:r>
    </w:p>
    <w:tbl>
      <w:tblPr>
        <w:tblStyle w:val="8"/>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wBefore w:w="0" w:type="dxa"/>
          <w:wAfter w:w="0" w:type="dxa"/>
          <w:trHeight w:val="465" w:hRule="atLeast"/>
        </w:trPr>
        <w:tc>
          <w:tcPr>
            <w:tcW w:w="8804" w:type="dxa"/>
            <w:gridSpan w:val="3"/>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32"/>
                <w:szCs w:val="32"/>
              </w:rPr>
            </w:pPr>
            <w:r>
              <w:rPr>
                <w:rFonts w:hint="eastAsia" w:ascii="宋体" w:hAnsi="宋体" w:cs="宋体"/>
                <w:bCs/>
                <w:color w:val="000000"/>
                <w:kern w:val="0"/>
                <w:sz w:val="32"/>
                <w:szCs w:val="32"/>
              </w:rPr>
              <w:t xml:space="preserve">                           截止时间：201</w:t>
            </w:r>
            <w:r>
              <w:rPr>
                <w:rFonts w:hint="eastAsia" w:ascii="宋体" w:hAnsi="宋体" w:cs="宋体"/>
                <w:bCs/>
                <w:color w:val="000000"/>
                <w:kern w:val="0"/>
                <w:sz w:val="32"/>
                <w:szCs w:val="32"/>
                <w:lang w:val="en-US" w:eastAsia="zh-CN"/>
              </w:rPr>
              <w:t>8</w:t>
            </w:r>
            <w:r>
              <w:rPr>
                <w:rFonts w:hint="eastAsia" w:ascii="宋体" w:hAnsi="宋体" w:cs="宋体"/>
                <w:bCs/>
                <w:color w:val="000000"/>
                <w:kern w:val="0"/>
                <w:sz w:val="32"/>
                <w:szCs w:val="32"/>
              </w:rPr>
              <w:t>年12月31日</w:t>
            </w:r>
          </w:p>
        </w:tc>
      </w:tr>
      <w:tr>
        <w:tblPrEx>
          <w:tblCellMar>
            <w:top w:w="0" w:type="dxa"/>
            <w:left w:w="108" w:type="dxa"/>
            <w:bottom w:w="0" w:type="dxa"/>
            <w:right w:w="108" w:type="dxa"/>
          </w:tblCellMar>
        </w:tblPrEx>
        <w:trPr>
          <w:wBefore w:w="0" w:type="dxa"/>
          <w:wAfter w:w="0" w:type="dxa"/>
          <w:trHeight w:val="750"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　　目</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价值（单位：万元）</w:t>
            </w:r>
          </w:p>
        </w:tc>
      </w:tr>
      <w:tr>
        <w:tblPrEx>
          <w:tblCellMar>
            <w:top w:w="0" w:type="dxa"/>
            <w:left w:w="108" w:type="dxa"/>
            <w:bottom w:w="0" w:type="dxa"/>
            <w:right w:w="108" w:type="dxa"/>
          </w:tblCellMar>
        </w:tblPrEx>
        <w:trPr>
          <w:wBefore w:w="0" w:type="dxa"/>
          <w:wAfter w:w="0" w:type="dxa"/>
          <w:trHeight w:val="495"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固定资产总额</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4"/>
                <w:szCs w:val="24"/>
                <w:lang w:val="en-US" w:eastAsia="zh-CN"/>
              </w:rPr>
            </w:pPr>
            <w:r>
              <w:rPr>
                <w:rFonts w:hint="eastAsia" w:ascii="宋体" w:hAnsi="宋体" w:cs="宋体"/>
                <w:b/>
                <w:color w:val="000000"/>
                <w:kern w:val="0"/>
                <w:sz w:val="24"/>
                <w:szCs w:val="24"/>
                <w:lang w:val="en-US" w:eastAsia="zh-CN"/>
              </w:rPr>
              <w:t>3</w:t>
            </w:r>
            <w:r>
              <w:rPr>
                <w:rFonts w:hint="eastAsia" w:ascii="宋体" w:hAnsi="宋体" w:cs="宋体"/>
                <w:b/>
                <w:color w:val="000000"/>
                <w:kern w:val="0"/>
                <w:sz w:val="24"/>
                <w:szCs w:val="24"/>
                <w:lang w:val="en-US" w:eastAsia="zh-CN"/>
              </w:rPr>
              <w:t>7.56</w:t>
            </w:r>
          </w:p>
        </w:tc>
      </w:tr>
      <w:tr>
        <w:tblPrEx>
          <w:tblCellMar>
            <w:top w:w="0" w:type="dxa"/>
            <w:left w:w="108" w:type="dxa"/>
            <w:bottom w:w="0" w:type="dxa"/>
            <w:right w:w="108" w:type="dxa"/>
          </w:tblCellMar>
        </w:tblPrEx>
        <w:trPr>
          <w:wBefore w:w="0" w:type="dxa"/>
          <w:wAfter w:w="0" w:type="dxa"/>
          <w:trHeight w:val="495" w:hRule="atLeast"/>
        </w:trPr>
        <w:tc>
          <w:tcPr>
            <w:tcW w:w="381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1、车辆（台、辆）</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340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16</w:t>
            </w:r>
          </w:p>
        </w:tc>
      </w:tr>
      <w:tr>
        <w:tblPrEx>
          <w:tblCellMar>
            <w:top w:w="0" w:type="dxa"/>
            <w:left w:w="108" w:type="dxa"/>
            <w:bottom w:w="0" w:type="dxa"/>
            <w:right w:w="108" w:type="dxa"/>
          </w:tblCellMar>
        </w:tblPrEx>
        <w:trPr>
          <w:wBefore w:w="0" w:type="dxa"/>
          <w:wAfter w:w="0" w:type="dxa"/>
          <w:trHeight w:val="432" w:hRule="atLeast"/>
        </w:trPr>
        <w:tc>
          <w:tcPr>
            <w:tcW w:w="381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2、其他固定资产</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21.56</w:t>
            </w:r>
          </w:p>
        </w:tc>
      </w:tr>
    </w:tbl>
    <w:p>
      <w:pPr>
        <w:rPr>
          <w:rFonts w:hint="eastAsia" w:ascii="仿宋_GB2312" w:hAnsi="仿宋" w:eastAsia="仿宋_GB2312"/>
          <w:sz w:val="32"/>
          <w:szCs w:val="32"/>
        </w:rPr>
      </w:pPr>
      <w:r>
        <w:rPr>
          <w:rFonts w:ascii="宋体" w:hAnsi="宋体"/>
          <w:sz w:val="32"/>
          <w:szCs w:val="32"/>
        </w:rPr>
        <w:br w:type="textWrapping" w:clear="all"/>
      </w:r>
    </w:p>
    <w:p>
      <w:pPr>
        <w:spacing w:line="500" w:lineRule="exact"/>
        <w:jc w:val="center"/>
        <w:outlineLvl w:val="0"/>
        <w:rPr>
          <w:rFonts w:ascii="黑体" w:hAnsi="黑体" w:eastAsia="黑体"/>
          <w:sz w:val="32"/>
          <w:szCs w:val="32"/>
        </w:rPr>
      </w:pPr>
      <w:r>
        <w:rPr>
          <w:rFonts w:hint="eastAsia" w:ascii="黑体" w:hAnsi="黑体" w:eastAsia="黑体"/>
          <w:sz w:val="32"/>
          <w:szCs w:val="32"/>
        </w:rPr>
        <w:t>第八部分：名词解释</w:t>
      </w:r>
    </w:p>
    <w:p>
      <w:pPr>
        <w:spacing w:line="500" w:lineRule="exact"/>
        <w:jc w:val="center"/>
        <w:outlineLvl w:val="0"/>
        <w:rPr>
          <w:rFonts w:hint="eastAsia" w:ascii="仿宋" w:hAnsi="仿宋" w:eastAsia="仿宋"/>
          <w:b/>
          <w:sz w:val="32"/>
          <w:szCs w:val="32"/>
        </w:rPr>
      </w:pP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1、财政拨款收入：</w:t>
      </w:r>
      <w:r>
        <w:rPr>
          <w:rFonts w:hint="eastAsia" w:ascii="仿宋_GB2312" w:hAnsi="仿宋" w:eastAsia="仿宋_GB2312"/>
          <w:sz w:val="32"/>
          <w:szCs w:val="32"/>
        </w:rPr>
        <w:t>指区级财政当年拨付的资金。</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2、其他收入：</w:t>
      </w:r>
      <w:r>
        <w:rPr>
          <w:rFonts w:hint="eastAsia" w:ascii="仿宋_GB2312" w:hAnsi="仿宋" w:eastAsia="仿宋_GB2312"/>
          <w:sz w:val="32"/>
          <w:szCs w:val="32"/>
        </w:rPr>
        <w:t>指除上述“财政拨款收入”、“事业收入”等以外的收入。</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3、基本支出：</w:t>
      </w:r>
      <w:r>
        <w:rPr>
          <w:rFonts w:hint="eastAsia" w:ascii="仿宋_GB2312" w:hAnsi="仿宋" w:eastAsia="仿宋_GB2312"/>
          <w:sz w:val="32"/>
          <w:szCs w:val="32"/>
        </w:rPr>
        <w:t>指为保障机构正常运转、完成日常工作任务而发生的人员支出和公用支出。</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4、项目支出：</w:t>
      </w:r>
      <w:r>
        <w:rPr>
          <w:rFonts w:hint="eastAsia" w:ascii="仿宋_GB2312" w:hAnsi="仿宋" w:eastAsia="仿宋_GB2312"/>
          <w:sz w:val="32"/>
          <w:szCs w:val="32"/>
        </w:rPr>
        <w:t>指在基本支出之外为完成特定行政任务和事业发展目标所发生的支出。</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5、“三公”经费：</w:t>
      </w:r>
      <w:r>
        <w:rPr>
          <w:rFonts w:hint="eastAsia" w:ascii="仿宋_GB2312" w:hAnsi="仿宋" w:eastAsia="仿宋_GB2312"/>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hint="eastAsia" w:ascii="仿宋_GB2312" w:hAnsi="仿宋" w:eastAsia="仿宋_GB2312"/>
          <w:sz w:val="32"/>
          <w:szCs w:val="32"/>
        </w:rPr>
      </w:pPr>
      <w:r>
        <w:rPr>
          <w:rFonts w:hint="eastAsia" w:ascii="仿宋_GB2312" w:hAnsi="仿宋" w:eastAsia="仿宋_GB2312"/>
          <w:b/>
          <w:sz w:val="32"/>
          <w:szCs w:val="32"/>
        </w:rPr>
        <w:t>6、机关运行费：</w:t>
      </w:r>
      <w:r>
        <w:rPr>
          <w:rFonts w:hint="eastAsia" w:ascii="仿宋_GB2312" w:hAnsi="仿宋"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hint="eastAsia" w:ascii="仿宋_GB2312" w:hAnsi="仿宋" w:eastAsia="仿宋_GB2312"/>
          <w:sz w:val="32"/>
          <w:szCs w:val="32"/>
        </w:rPr>
      </w:pPr>
      <w:r>
        <w:rPr>
          <w:rFonts w:hint="eastAsia" w:ascii="仿宋_GB2312" w:hAnsi="仿宋" w:eastAsia="仿宋_GB2312"/>
          <w:b/>
          <w:sz w:val="32"/>
          <w:szCs w:val="32"/>
        </w:rPr>
        <w:t>7、公务费：</w:t>
      </w:r>
      <w:r>
        <w:rPr>
          <w:rFonts w:hint="eastAsia" w:ascii="仿宋_GB2312" w:hAnsi="仿宋" w:eastAsia="仿宋_GB2312"/>
          <w:sz w:val="32"/>
          <w:szCs w:val="32"/>
        </w:rPr>
        <w:t>包括办公费、水电费、邮电费、取暖费、交通费、一般会议费和物业管理费之和。</w:t>
      </w:r>
    </w:p>
    <w:p>
      <w:pPr>
        <w:spacing w:line="500" w:lineRule="exact"/>
        <w:ind w:firstLine="627" w:firstLineChars="196"/>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r>
        <w:rPr>
          <w:rFonts w:hint="eastAsia" w:ascii="黑体" w:hAnsi="黑体" w:eastAsia="黑体"/>
          <w:sz w:val="32"/>
          <w:szCs w:val="32"/>
        </w:rPr>
        <w:t>第九部分：其他需说明的事项</w:t>
      </w:r>
    </w:p>
    <w:p>
      <w:pPr>
        <w:spacing w:line="500" w:lineRule="exact"/>
        <w:ind w:firstLine="1264" w:firstLineChars="395"/>
        <w:jc w:val="left"/>
        <w:outlineLvl w:val="0"/>
        <w:rPr>
          <w:rFonts w:hint="eastAsia" w:ascii="仿宋" w:hAnsi="仿宋" w:eastAsia="仿宋"/>
          <w:sz w:val="32"/>
          <w:szCs w:val="32"/>
        </w:rPr>
      </w:pPr>
    </w:p>
    <w:p>
      <w:pPr>
        <w:spacing w:line="500" w:lineRule="exact"/>
        <w:ind w:firstLine="640" w:firstLineChars="200"/>
        <w:jc w:val="left"/>
        <w:outlineLvl w:val="0"/>
        <w:rPr>
          <w:rFonts w:hint="eastAsia" w:ascii="仿宋_GB2312" w:hAnsi="黑体" w:eastAsia="仿宋_GB2312"/>
          <w:sz w:val="32"/>
          <w:szCs w:val="32"/>
        </w:rPr>
      </w:pPr>
      <w:r>
        <w:rPr>
          <w:rFonts w:hint="eastAsia" w:ascii="仿宋_GB2312" w:hAnsi="仿宋" w:eastAsia="仿宋_GB2312"/>
          <w:sz w:val="32"/>
          <w:szCs w:val="32"/>
        </w:rPr>
        <w:t>无其他需说明的事项。</w:t>
      </w:r>
    </w:p>
    <w:p>
      <w:pPr>
        <w:ind w:firstLine="800" w:firstLineChars="250"/>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w:t>
      </w:r>
    </w:p>
    <w:sectPr>
      <w:pgSz w:w="11907" w:h="16839"/>
      <w:pgMar w:top="1474" w:right="1134" w:bottom="147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script"/>
    <w:pitch w:val="default"/>
    <w:sig w:usb0="00000001" w:usb1="080E0000" w:usb2="00000010" w:usb3="00000000" w:csb0="00040000" w:csb1="00000000"/>
  </w:font>
  <w:font w:name="方正小标宋_GBK">
    <w:altName w:val="微软雅黑"/>
    <w:panose1 w:val="00000000000000000000"/>
    <w:charset w:val="86"/>
    <w:family w:val="script"/>
    <w:pitch w:val="default"/>
    <w:sig w:usb0="00000001" w:usb1="080E0000" w:usb2="00000010" w:usb3="00000000" w:csb0="00040000" w:csb1="00000000"/>
  </w:font>
  <w:font w:name="方正书宋_GBK">
    <w:altName w:val="微软雅黑"/>
    <w:panose1 w:val="00000000000000000000"/>
    <w:charset w:val="86"/>
    <w:family w:val="script"/>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A0"/>
    <w:rsid w:val="00000211"/>
    <w:rsid w:val="00012B0F"/>
    <w:rsid w:val="00027501"/>
    <w:rsid w:val="00041562"/>
    <w:rsid w:val="00055D38"/>
    <w:rsid w:val="00060E04"/>
    <w:rsid w:val="0007278A"/>
    <w:rsid w:val="000B34B9"/>
    <w:rsid w:val="000C1F05"/>
    <w:rsid w:val="000D7B39"/>
    <w:rsid w:val="000E0ED8"/>
    <w:rsid w:val="000E5258"/>
    <w:rsid w:val="000E70BD"/>
    <w:rsid w:val="000F2552"/>
    <w:rsid w:val="000F517B"/>
    <w:rsid w:val="00101A80"/>
    <w:rsid w:val="00103B47"/>
    <w:rsid w:val="00107BFB"/>
    <w:rsid w:val="001157C4"/>
    <w:rsid w:val="0013407A"/>
    <w:rsid w:val="00153E57"/>
    <w:rsid w:val="0015667A"/>
    <w:rsid w:val="00165822"/>
    <w:rsid w:val="0017169E"/>
    <w:rsid w:val="001859C6"/>
    <w:rsid w:val="00197010"/>
    <w:rsid w:val="001B23DF"/>
    <w:rsid w:val="001C2686"/>
    <w:rsid w:val="001E42EC"/>
    <w:rsid w:val="002042DF"/>
    <w:rsid w:val="002064A6"/>
    <w:rsid w:val="00245F9B"/>
    <w:rsid w:val="00277861"/>
    <w:rsid w:val="00280335"/>
    <w:rsid w:val="00280E47"/>
    <w:rsid w:val="002B5880"/>
    <w:rsid w:val="002C6748"/>
    <w:rsid w:val="002D4820"/>
    <w:rsid w:val="002D4851"/>
    <w:rsid w:val="002E7948"/>
    <w:rsid w:val="00326CE0"/>
    <w:rsid w:val="00332EED"/>
    <w:rsid w:val="0034678A"/>
    <w:rsid w:val="00364B26"/>
    <w:rsid w:val="0037153C"/>
    <w:rsid w:val="0037794C"/>
    <w:rsid w:val="003923FF"/>
    <w:rsid w:val="003B1792"/>
    <w:rsid w:val="003D524A"/>
    <w:rsid w:val="004152E7"/>
    <w:rsid w:val="0041797A"/>
    <w:rsid w:val="004226CB"/>
    <w:rsid w:val="00432126"/>
    <w:rsid w:val="00450606"/>
    <w:rsid w:val="00453B31"/>
    <w:rsid w:val="00462BFF"/>
    <w:rsid w:val="00474A00"/>
    <w:rsid w:val="00475055"/>
    <w:rsid w:val="004755DD"/>
    <w:rsid w:val="00485D64"/>
    <w:rsid w:val="0049258C"/>
    <w:rsid w:val="00493109"/>
    <w:rsid w:val="004B65CB"/>
    <w:rsid w:val="004D0FA7"/>
    <w:rsid w:val="004D7BFB"/>
    <w:rsid w:val="004D7FBB"/>
    <w:rsid w:val="004F0372"/>
    <w:rsid w:val="004F7499"/>
    <w:rsid w:val="00506EF7"/>
    <w:rsid w:val="005078A5"/>
    <w:rsid w:val="005217EF"/>
    <w:rsid w:val="005244FE"/>
    <w:rsid w:val="00546E02"/>
    <w:rsid w:val="005477A5"/>
    <w:rsid w:val="005620BB"/>
    <w:rsid w:val="00570168"/>
    <w:rsid w:val="005821CD"/>
    <w:rsid w:val="00583A3F"/>
    <w:rsid w:val="005875EB"/>
    <w:rsid w:val="00594ED3"/>
    <w:rsid w:val="005B36CF"/>
    <w:rsid w:val="005C321B"/>
    <w:rsid w:val="005C668C"/>
    <w:rsid w:val="00620BF9"/>
    <w:rsid w:val="006238F8"/>
    <w:rsid w:val="006267D4"/>
    <w:rsid w:val="0063487B"/>
    <w:rsid w:val="006366FA"/>
    <w:rsid w:val="0063740A"/>
    <w:rsid w:val="00664D70"/>
    <w:rsid w:val="006835FA"/>
    <w:rsid w:val="006C3105"/>
    <w:rsid w:val="006D20BD"/>
    <w:rsid w:val="006D6061"/>
    <w:rsid w:val="00700AF5"/>
    <w:rsid w:val="007304E6"/>
    <w:rsid w:val="00733E67"/>
    <w:rsid w:val="00742AF8"/>
    <w:rsid w:val="00747EA9"/>
    <w:rsid w:val="00761AA7"/>
    <w:rsid w:val="00761B0E"/>
    <w:rsid w:val="007C3325"/>
    <w:rsid w:val="007D0633"/>
    <w:rsid w:val="007D06DD"/>
    <w:rsid w:val="007E09DA"/>
    <w:rsid w:val="007E3316"/>
    <w:rsid w:val="007E3323"/>
    <w:rsid w:val="007F50D2"/>
    <w:rsid w:val="00816DC4"/>
    <w:rsid w:val="00837790"/>
    <w:rsid w:val="008472F5"/>
    <w:rsid w:val="00855707"/>
    <w:rsid w:val="00877B58"/>
    <w:rsid w:val="00881D86"/>
    <w:rsid w:val="00883EA2"/>
    <w:rsid w:val="008875A9"/>
    <w:rsid w:val="008D5125"/>
    <w:rsid w:val="008E42D3"/>
    <w:rsid w:val="008F54EE"/>
    <w:rsid w:val="00911344"/>
    <w:rsid w:val="0093004D"/>
    <w:rsid w:val="00936ED9"/>
    <w:rsid w:val="009454AA"/>
    <w:rsid w:val="00952279"/>
    <w:rsid w:val="009546B2"/>
    <w:rsid w:val="00966566"/>
    <w:rsid w:val="00977DA6"/>
    <w:rsid w:val="00986A49"/>
    <w:rsid w:val="009910E0"/>
    <w:rsid w:val="009A2781"/>
    <w:rsid w:val="009B38ED"/>
    <w:rsid w:val="009C0521"/>
    <w:rsid w:val="009C699D"/>
    <w:rsid w:val="009D6ACA"/>
    <w:rsid w:val="009E16AC"/>
    <w:rsid w:val="009E5FAA"/>
    <w:rsid w:val="009F179E"/>
    <w:rsid w:val="009F4E7B"/>
    <w:rsid w:val="00A03B9F"/>
    <w:rsid w:val="00A06E3B"/>
    <w:rsid w:val="00A66840"/>
    <w:rsid w:val="00A7420E"/>
    <w:rsid w:val="00A81EEB"/>
    <w:rsid w:val="00A94AC4"/>
    <w:rsid w:val="00AD2902"/>
    <w:rsid w:val="00B16276"/>
    <w:rsid w:val="00B320A0"/>
    <w:rsid w:val="00B44AFA"/>
    <w:rsid w:val="00B45B2D"/>
    <w:rsid w:val="00B46537"/>
    <w:rsid w:val="00B7328C"/>
    <w:rsid w:val="00B745D4"/>
    <w:rsid w:val="00B84A64"/>
    <w:rsid w:val="00B8632B"/>
    <w:rsid w:val="00BA079F"/>
    <w:rsid w:val="00BA4AE4"/>
    <w:rsid w:val="00BD48FA"/>
    <w:rsid w:val="00BD641C"/>
    <w:rsid w:val="00BD77F4"/>
    <w:rsid w:val="00BF5162"/>
    <w:rsid w:val="00BF61B8"/>
    <w:rsid w:val="00C02023"/>
    <w:rsid w:val="00C17DE3"/>
    <w:rsid w:val="00C3689C"/>
    <w:rsid w:val="00C43053"/>
    <w:rsid w:val="00C46F7D"/>
    <w:rsid w:val="00C51C06"/>
    <w:rsid w:val="00C67481"/>
    <w:rsid w:val="00C803F0"/>
    <w:rsid w:val="00C86F43"/>
    <w:rsid w:val="00CA742F"/>
    <w:rsid w:val="00CB60A0"/>
    <w:rsid w:val="00CC6EAD"/>
    <w:rsid w:val="00CE1D8A"/>
    <w:rsid w:val="00CF12F5"/>
    <w:rsid w:val="00CF1C55"/>
    <w:rsid w:val="00D048A8"/>
    <w:rsid w:val="00D155C8"/>
    <w:rsid w:val="00D364CE"/>
    <w:rsid w:val="00D41703"/>
    <w:rsid w:val="00D500CD"/>
    <w:rsid w:val="00D520E9"/>
    <w:rsid w:val="00D55C67"/>
    <w:rsid w:val="00D64A8A"/>
    <w:rsid w:val="00D662D1"/>
    <w:rsid w:val="00D82A1A"/>
    <w:rsid w:val="00D92117"/>
    <w:rsid w:val="00DC36BC"/>
    <w:rsid w:val="00DD36BA"/>
    <w:rsid w:val="00DF08F9"/>
    <w:rsid w:val="00E214DE"/>
    <w:rsid w:val="00E263CE"/>
    <w:rsid w:val="00E54661"/>
    <w:rsid w:val="00E5699D"/>
    <w:rsid w:val="00E56CA4"/>
    <w:rsid w:val="00E6451C"/>
    <w:rsid w:val="00EB4F74"/>
    <w:rsid w:val="00ED2511"/>
    <w:rsid w:val="00ED3A41"/>
    <w:rsid w:val="00ED78F4"/>
    <w:rsid w:val="00F02138"/>
    <w:rsid w:val="00F529D8"/>
    <w:rsid w:val="00F65F33"/>
    <w:rsid w:val="00F66C9F"/>
    <w:rsid w:val="00F74519"/>
    <w:rsid w:val="00F841A4"/>
    <w:rsid w:val="00F92312"/>
    <w:rsid w:val="00FB60E0"/>
    <w:rsid w:val="00FE6C6A"/>
    <w:rsid w:val="019B7AB0"/>
    <w:rsid w:val="021A73C9"/>
    <w:rsid w:val="026631F1"/>
    <w:rsid w:val="05947500"/>
    <w:rsid w:val="0D9F66C7"/>
    <w:rsid w:val="12007996"/>
    <w:rsid w:val="155D40F1"/>
    <w:rsid w:val="172F0598"/>
    <w:rsid w:val="1E880F48"/>
    <w:rsid w:val="218E0E46"/>
    <w:rsid w:val="2AF048D0"/>
    <w:rsid w:val="2F7B0A67"/>
    <w:rsid w:val="2F9865A4"/>
    <w:rsid w:val="30A437BD"/>
    <w:rsid w:val="31741372"/>
    <w:rsid w:val="36C971DD"/>
    <w:rsid w:val="3C7F3257"/>
    <w:rsid w:val="3D95164F"/>
    <w:rsid w:val="44096C90"/>
    <w:rsid w:val="48445F4E"/>
    <w:rsid w:val="4B3D4280"/>
    <w:rsid w:val="50E91A63"/>
    <w:rsid w:val="588C3A17"/>
    <w:rsid w:val="608F4223"/>
    <w:rsid w:val="61D13930"/>
    <w:rsid w:val="64B706DB"/>
    <w:rsid w:val="65C14CB7"/>
    <w:rsid w:val="65E300E9"/>
    <w:rsid w:val="66014893"/>
    <w:rsid w:val="661B05C2"/>
    <w:rsid w:val="69D76633"/>
    <w:rsid w:val="6CAD183A"/>
    <w:rsid w:val="6E252CDF"/>
    <w:rsid w:val="71C83973"/>
    <w:rsid w:val="731F3142"/>
    <w:rsid w:val="73FB14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Indent"/>
    <w:basedOn w:val="1"/>
    <w:link w:val="10"/>
    <w:uiPriority w:val="0"/>
    <w:pPr>
      <w:spacing w:line="420" w:lineRule="exact"/>
      <w:ind w:firstLine="630"/>
    </w:pPr>
    <w:rPr>
      <w:rFonts w:ascii="Times New Roman" w:hAnsi="Times New Roman" w:eastAsia="仿宋_GB2312"/>
      <w:sz w:val="32"/>
      <w:szCs w:val="24"/>
    </w:r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kern w:val="0"/>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toc 1"/>
    <w:basedOn w:val="1"/>
    <w:next w:val="1"/>
    <w:unhideWhenUsed/>
    <w:uiPriority w:val="39"/>
  </w:style>
  <w:style w:type="paragraph" w:styleId="7">
    <w:name w:val="toc 2"/>
    <w:basedOn w:val="1"/>
    <w:next w:val="1"/>
    <w:unhideWhenUsed/>
    <w:uiPriority w:val="39"/>
    <w:pPr>
      <w:ind w:left="420" w:leftChars="200"/>
    </w:pPr>
  </w:style>
  <w:style w:type="character" w:customStyle="1" w:styleId="10">
    <w:name w:val="正文文本缩进 Char"/>
    <w:link w:val="2"/>
    <w:uiPriority w:val="0"/>
    <w:rPr>
      <w:rFonts w:ascii="Times New Roman" w:hAnsi="Times New Roman" w:eastAsia="仿宋_GB2312"/>
      <w:kern w:val="2"/>
      <w:sz w:val="32"/>
      <w:szCs w:val="24"/>
    </w:rPr>
  </w:style>
  <w:style w:type="character" w:customStyle="1" w:styleId="11">
    <w:name w:val="批注框文本 Char"/>
    <w:basedOn w:val="9"/>
    <w:link w:val="3"/>
    <w:semiHidden/>
    <w:uiPriority w:val="99"/>
    <w:rPr>
      <w:kern w:val="2"/>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customStyle="1" w:styleId="14">
    <w:name w:val="[Normal]"/>
    <w:uiPriority w:val="99"/>
    <w:pPr>
      <w:widowControl w:val="0"/>
      <w:autoSpaceDE w:val="0"/>
      <w:autoSpaceDN w:val="0"/>
      <w:adjustRightInd w:val="0"/>
    </w:pPr>
    <w:rPr>
      <w:rFonts w:ascii="宋体" w:hAnsi="Times New Roman" w:cs="宋体"/>
      <w:sz w:val="24"/>
      <w:szCs w:val="24"/>
      <w:lang w:val="en-US" w:eastAsia="zh-CN" w:bidi="ar-SA"/>
    </w:rPr>
  </w:style>
  <w:style w:type="paragraph" w:customStyle="1" w:styleId="15">
    <w:name w:val="列出段落"/>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825</Words>
  <Characters>4708</Characters>
  <Lines>39</Lines>
  <Paragraphs>11</Paragraphs>
  <TotalTime>7</TotalTime>
  <ScaleCrop>false</ScaleCrop>
  <LinksUpToDate>false</LinksUpToDate>
  <CharactersWithSpaces>5522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2016-12-01T07:28:00Z</dcterms:created>
  <dc:creator>suix</dc:creator>
  <cp:lastModifiedBy>Administrator</cp:lastModifiedBy>
  <cp:lastPrinted>2017-06-21T08:26:00Z</cp:lastPrinted>
  <dcterms:modified xsi:type="dcterms:W3CDTF">2023-11-10T06:33:44Z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205CED244BB244C6976D4EBA5343DC3B</vt:lpwstr>
  </property>
</Properties>
</file>