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6438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w:r>
      <w:r>
        <w:pict>
          <v:shape id="椭圆 8" o:spid="_x0000_s1027" o:spt="3" type="#_x0000_t3" style="position:absolute;left:0pt;margin-left:53.5pt;margin-top:232.45pt;height:121.95pt;width:121.95pt;z-index:251661312;v-text-anchor:middle;mso-width-relative:page;mso-height-relative:page;" stroked="f" coordsize="21600,21600">
            <v:path/>
            <v:fill focussize="0,0"/>
            <v:stroke on="f" weight="1pt" joinstyle="miter"/>
            <v:imagedata o:title=""/>
            <o:lock v:ext="edit"/>
          </v:shape>
        </w:pict>
      </w:r>
      <w:r>
        <w:pict>
          <v:rect id="矩形 14" o:spid="_x0000_s1028" o:spt="1" style="position:absolute;left:0pt;margin-left:33.6pt;margin-top:256.75pt;height:69.6pt;width:160.65pt;z-index:251666432;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29" o:spt="3" type="#_x0000_t3" style="position:absolute;left:0pt;margin-left:62.2pt;margin-top:242.75pt;height:103.45pt;width:103.45pt;z-index:251665408;v-text-anchor:middle;mso-width-relative:page;mso-height-relative:page;" fillcolor="#1F2959" filled="t" stroked="f" coordsize="21600,21600">
            <v:path/>
            <v:fill on="t" focussize="0,0"/>
            <v:stroke on="f" weight="1pt" joinstyle="miter"/>
            <v:imagedata o:title=""/>
            <o:lock v:ext="edit"/>
          </v:shape>
        </w:pict>
      </w:r>
      <w:r>
        <w:pict>
          <v:group id="_x0000_s1030" o:spid="_x0000_s1030" o:spt="203" style="position:absolute;left:0pt;margin-left:1.25pt;margin-top:821.7pt;height:21.45pt;width:595.25pt;z-index:251662336;mso-width-relative:page;mso-height-relative:page;" coordorigin="1483,16692" coordsize="11905,429203">
            <o:lock v:ext="edit"/>
            <v:rect id="矩形 6" o:spid="_x0000_s1031" o:spt="1" style="position:absolute;left:1483;top:16692;height:428;width:1125;v-text-anchor:middle;" fillcolor="#FDBC11" filled="t" stroked="f" coordsize="21600,21600">
              <v:path/>
              <v:fill on="t" focussize="0,0"/>
              <v:stroke on="f" weight="1pt"/>
              <v:imagedata o:title=""/>
              <o:lock v:ext="edit"/>
            </v:rect>
            <v:rect id="矩形 7" o:spid="_x0000_s1032" o:spt="1" style="position:absolute;left:2608;top:16693;height:428;width:10780;v-text-anchor:middle;" fillcolor="#1F2959" filled="t" stroked="f" coordsize="21600,21600">
              <v:path/>
              <v:fill on="t" focussize="0,0"/>
              <v:stroke on="f" weight="1pt"/>
              <v:imagedata o:title=""/>
              <o:lock v:ext="edit"/>
            </v:rect>
          </v:group>
        </w:pict>
      </w:r>
      <w:r>
        <w:pict>
          <v:group id="_x0000_s1033" o:spid="_x0000_s1033" o:spt="203" style="position:absolute;left:0pt;margin-left:-2.5pt;margin-top:-3.35pt;height:69.6pt;width:600.25pt;z-index:-251657216;mso-width-relative:page;mso-height-relative:page;" coordorigin="13622,-66719" coordsize="12005,1392046">
            <o:lock v:ext="edit"/>
            <v:rect id="矩形 5" o:spid="_x0000_s1034" o:spt="1" style="position:absolute;left:13622;top:283;height:6170;width:12005;v-text-anchor:middle;" fillcolor="#FDBC11" filled="t" stroked="f" coordsize="21600,21600">
              <v:path/>
              <v:fill on="t" focussize="0,0"/>
              <v:stroke on="f" weight="1pt"/>
              <v:imagedata o:title=""/>
              <o:lock v:ext="edit"/>
            </v:rect>
            <v:shape id="_x0000_s1035" o:spid="_x0000_s1035" o:spt="202" type="#_x0000_t202" style="position:absolute;left:17229;top:-66719;height:1392046;width:8083;" filled="f" stroked="f" coordsize="21600,21600">
              <v:path/>
              <v:fill on="f" focussize="0,0"/>
              <v:stroke on="f" joinstyle="miter"/>
              <v:imagedata o:title=""/>
              <o:lock v:ext="edit"/>
              <v:textbox style="mso-fit-shape-to-text:t;">
                <w:txbxContent>
                  <w:p>
                    <w:pPr>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36" o:spt="1" style="position:absolute;left:0pt;margin-left:184.75pt;margin-top:286.6pt;height:31.25pt;width:339.65pt;mso-wrap-style:none;z-index:251663360;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保定市满城区总工会</w:t>
      </w:r>
    </w:p>
    <w:p>
      <w:pPr>
        <w:snapToGrid w:val="0"/>
        <w:jc w:val="center"/>
        <w:rPr>
          <w:rFonts w:ascii="楷体_GB2312" w:hAns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37" o:spid="_x0000_s1037" o:spt="202" type="#_x0000_t202" style="position:absolute;left:0pt;margin-left:-85.7pt;margin-top:80.7pt;height:263.1pt;width:613.65pt;z-index:251666432;v-text-anchor:middle;mso-width-relative:page;mso-height-relative:page;" fillcolor="#FFD966" filled="t" stroked="t" coordsize="21600,21600">
            <v:path/>
            <v:fill type="pattern" on="t" focussize="0,0" r:id="rId14"/>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根据《保定市满城区总工会职能配置、内设机构和人员编制方案》（</w:t>
      </w:r>
      <w:r>
        <w:rPr>
          <w:rFonts w:hint="eastAsia" w:ascii="仿宋_GB2312" w:hAnsi="仿宋" w:eastAsia="仿宋_GB2312" w:cs="仿宋_GB2312"/>
          <w:sz w:val="32"/>
          <w:szCs w:val="32"/>
        </w:rPr>
        <w:t>满政办</w:t>
      </w:r>
      <w:r>
        <w:rPr>
          <w:rFonts w:ascii="仿宋_GB2312" w:hAnsi="仿宋" w:eastAsia="仿宋_GB2312" w:cs="仿宋_GB2312"/>
          <w:sz w:val="32"/>
          <w:szCs w:val="32"/>
        </w:rPr>
        <w:t>[2002]84</w:t>
      </w:r>
      <w:r>
        <w:rPr>
          <w:rFonts w:hint="eastAsia" w:ascii="仿宋_GB2312" w:hAnsi="仿宋" w:eastAsia="仿宋_GB2312" w:cs="仿宋_GB2312"/>
          <w:sz w:val="32"/>
          <w:szCs w:val="32"/>
        </w:rPr>
        <w:t>号</w:t>
      </w:r>
      <w:r>
        <w:rPr>
          <w:rFonts w:hint="eastAsia" w:ascii="仿宋_GB2312" w:hAnsi="宋体" w:eastAsia="仿宋_GB2312"/>
          <w:sz w:val="32"/>
          <w:szCs w:val="32"/>
        </w:rPr>
        <w:t>）规定，保定市满城区总工会的主要职责是：</w:t>
      </w:r>
    </w:p>
    <w:p>
      <w:pPr>
        <w:spacing w:line="520" w:lineRule="exact"/>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（一）贯彻执行党的路线、方针和政策，根据区委、区政府、保定市总工会的中心工作和党的工运方针，研究制定每个时期工会工作的方针和任务，指导全区各级工会工作</w:t>
      </w:r>
      <w:r>
        <w:rPr>
          <w:rFonts w:ascii="仿宋_GB2312" w:hAnsi="宋体" w:eastAsia="仿宋_GB2312"/>
          <w:sz w:val="32"/>
          <w:szCs w:val="32"/>
        </w:rPr>
        <w:t>;</w:t>
      </w:r>
    </w:p>
    <w:p>
      <w:pPr>
        <w:spacing w:line="520" w:lineRule="exact"/>
        <w:ind w:firstLine="660"/>
        <w:rPr>
          <w:rFonts w:ascii="仿宋_GB2312" w:hAnsi="宋体" w:eastAsia="仿宋_GB2312"/>
          <w:sz w:val="32"/>
          <w:szCs w:val="32"/>
        </w:rPr>
      </w:pPr>
      <w:r>
        <w:rPr>
          <w:rFonts w:hint="eastAsia" w:ascii="仿宋_GB2312" w:hAnsi="宋体" w:eastAsia="仿宋_GB2312"/>
          <w:sz w:val="32"/>
          <w:szCs w:val="32"/>
        </w:rPr>
        <w:t>（二）负责工运理论政策的调研，组织对工会工作中重大问题的调查研究。向区委、区政府反映职工群众的情绪、呼声和要求，就有关涉及职工群众利益的改革进行调查研究，提出建议或方案。</w:t>
      </w:r>
    </w:p>
    <w:p>
      <w:pPr>
        <w:spacing w:line="520" w:lineRule="exact"/>
        <w:ind w:firstLine="660"/>
        <w:rPr>
          <w:rFonts w:ascii="仿宋_GB2312" w:hAnsi="宋体" w:eastAsia="仿宋_GB2312"/>
          <w:sz w:val="32"/>
          <w:szCs w:val="32"/>
        </w:rPr>
      </w:pPr>
      <w:r>
        <w:rPr>
          <w:rFonts w:hint="eastAsia" w:ascii="仿宋_GB2312" w:hAnsi="宋体" w:eastAsia="仿宋_GB2312"/>
          <w:sz w:val="32"/>
          <w:szCs w:val="32"/>
        </w:rPr>
        <w:t>（三）依照法律和工会章程，组织和指导各级工会认真履行工会的职能。贯彻执行区工会代表大会决议，开展工会的各项业务工作。根据区产业工会和基层工会的意见和要求，解决需要由区总工会与有关党政方面协商解决的问题</w:t>
      </w:r>
      <w:r>
        <w:rPr>
          <w:rFonts w:ascii="仿宋_GB2312" w:hAnsi="宋体" w:eastAsia="仿宋_GB2312"/>
          <w:sz w:val="32"/>
          <w:szCs w:val="32"/>
        </w:rPr>
        <w:t>;</w:t>
      </w:r>
    </w:p>
    <w:p>
      <w:pPr>
        <w:spacing w:line="520" w:lineRule="exact"/>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（四）负责全区工会的组织建设和制度建设，与区委有关部委协商推荐区产业工会和直属基层工会的主要领导人选。研究制定各级工会干部的管理制度和培训教育规划，并组织实施</w:t>
      </w:r>
      <w:r>
        <w:rPr>
          <w:rFonts w:ascii="仿宋_GB2312" w:hAnsi="宋体" w:eastAsia="仿宋_GB2312"/>
          <w:sz w:val="32"/>
          <w:szCs w:val="32"/>
        </w:rPr>
        <w:t>;</w:t>
      </w:r>
    </w:p>
    <w:p>
      <w:pPr>
        <w:spacing w:line="520" w:lineRule="exact"/>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（五）协助区政府做好区级劳动模范的推荐工作，负责全国“五一劳动奖章</w:t>
      </w:r>
      <w:r>
        <w:rPr>
          <w:rFonts w:hint="eastAsia" w:ascii="仿宋_GB2312" w:hAnsi="宋体" w:eastAsia="仿宋_GB2312"/>
          <w:sz w:val="32"/>
          <w:szCs w:val="32"/>
          <w:lang w:eastAsia="zh-CN"/>
        </w:rPr>
        <w:t>”</w:t>
      </w:r>
      <w:r>
        <w:rPr>
          <w:rFonts w:hint="eastAsia" w:ascii="仿宋_GB2312" w:hAnsi="宋体" w:eastAsia="仿宋_GB2312"/>
          <w:sz w:val="32"/>
          <w:szCs w:val="32"/>
        </w:rPr>
        <w:t>（状）的推荐和首都劳动奖章（状）的评选表彰”工作，负责全区劳动模范的各项管理工作</w:t>
      </w:r>
      <w:r>
        <w:rPr>
          <w:rFonts w:ascii="仿宋_GB2312" w:hAnsi="宋体" w:eastAsia="仿宋_GB2312"/>
          <w:sz w:val="32"/>
          <w:szCs w:val="32"/>
        </w:rPr>
        <w:t>;</w:t>
      </w:r>
    </w:p>
    <w:p>
      <w:pPr>
        <w:keepNext/>
        <w:keepLines/>
        <w:spacing w:line="580" w:lineRule="exact"/>
        <w:ind w:firstLine="640" w:firstLineChars="200"/>
        <w:jc w:val="left"/>
        <w:outlineLvl w:val="0"/>
        <w:rPr>
          <w:rFonts w:ascii="仿宋_GB2312" w:eastAsia="仿宋_GB2312" w:cs="ArialUnicodeMS"/>
          <w:kern w:val="0"/>
          <w:sz w:val="32"/>
          <w:szCs w:val="32"/>
        </w:rPr>
      </w:pPr>
      <w:r>
        <w:rPr>
          <w:rFonts w:ascii="仿宋_GB2312" w:hAnsi="宋体" w:eastAsia="仿宋_GB2312"/>
          <w:sz w:val="32"/>
          <w:szCs w:val="32"/>
        </w:rPr>
        <w:t xml:space="preserve">    </w:t>
      </w:r>
      <w:r>
        <w:rPr>
          <w:rFonts w:hint="eastAsia" w:ascii="仿宋_GB2312" w:hAnsi="宋体" w:eastAsia="仿宋_GB2312"/>
          <w:sz w:val="32"/>
          <w:szCs w:val="32"/>
        </w:rPr>
        <w:t>（六）负责全区工会经费的收支核算，工会专项资金的筹措、使用、管理、审查和审计工作，负责全区工会事业的指导协调工作，做好工运理论研究。负责全区工会积极分子和职工的疗休养工作</w:t>
      </w:r>
      <w:r>
        <w:rPr>
          <w:rFonts w:ascii="仿宋_GB2312" w:hAnsi="宋体" w:eastAsia="仿宋_GB2312"/>
          <w:sz w:val="32"/>
          <w:szCs w:val="32"/>
        </w:rPr>
        <w:t>;</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保定市满城区总工会</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2</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3</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8" w:type="first"/>
          <w:footerReference r:id="rId10" w:type="first"/>
          <w:headerReference r:id="rId7" w:type="default"/>
          <w:footerReference r:id="rId9"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38" o:spid="_x0000_s1038" o:spt="202" type="#_x0000_t202" style="position:absolute;left:0pt;margin-left:-85.7pt;margin-top:238.15pt;height:173.25pt;width:613.65pt;z-index:251667456;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39" o:spid="_x0000_s1039" o:spt="202" type="#_x0000_t202" style="position:absolute;left:0pt;margin-left:-90.8pt;margin-top:4.35pt;height:263.1pt;width:613.65pt;z-index:251671552;v-text-anchor:middle;mso-width-relative:page;mso-height-relative:page;" fillcolor="#FFD966" filled="t" stroked="t" coordsize="21600,21600">
            <v:path/>
            <v:fill type="pattern" on="t" focussize="0,0" r:id="rId14"/>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w:t>
      </w:r>
      <w:r>
        <w:rPr>
          <w:rFonts w:ascii="仿宋_GB2312" w:hAnsi="Times New Roman" w:eastAsia="仿宋_GB2312" w:cs="DengXian-Regular"/>
          <w:sz w:val="32"/>
          <w:szCs w:val="32"/>
        </w:rPr>
        <w:t>69.78</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年度决算相比，收入减少</w:t>
      </w:r>
      <w:r>
        <w:rPr>
          <w:rFonts w:ascii="仿宋_GB2312" w:hAnsi="Times New Roman" w:eastAsia="仿宋_GB2312" w:cs="DengXian-Regular"/>
          <w:sz w:val="32"/>
          <w:szCs w:val="32"/>
        </w:rPr>
        <w:t>43.39</w:t>
      </w:r>
      <w:r>
        <w:rPr>
          <w:rFonts w:hint="eastAsia" w:ascii="仿宋_GB2312" w:hAnsi="Times New Roman" w:eastAsia="仿宋_GB2312" w:cs="DengXian-Regular"/>
          <w:sz w:val="32"/>
          <w:szCs w:val="32"/>
        </w:rPr>
        <w:t>万元，下降</w:t>
      </w:r>
      <w:r>
        <w:rPr>
          <w:rFonts w:ascii="仿宋_GB2312" w:hAnsi="Times New Roman" w:eastAsia="仿宋_GB2312" w:cs="DengXian-Regular"/>
          <w:sz w:val="32"/>
          <w:szCs w:val="32"/>
        </w:rPr>
        <w:t>38.34%</w:t>
      </w:r>
      <w:r>
        <w:rPr>
          <w:rFonts w:hint="eastAsia" w:ascii="仿宋_GB2312" w:hAnsi="Times New Roman" w:eastAsia="仿宋_GB2312" w:cs="DengXian-Regular"/>
          <w:sz w:val="32"/>
          <w:szCs w:val="32"/>
        </w:rPr>
        <w:t>，主要原因是</w:t>
      </w:r>
      <w:r>
        <w:rPr>
          <w:rFonts w:hint="eastAsia" w:ascii="仿宋_GB2312" w:hAnsi="仿宋_GB2312" w:eastAsia="仿宋_GB2312" w:cs="仿宋_GB2312"/>
          <w:sz w:val="32"/>
          <w:szCs w:val="32"/>
        </w:rPr>
        <w:t>财政补助工会经费减少</w:t>
      </w:r>
      <w:r>
        <w:rPr>
          <w:rFonts w:hint="eastAsia" w:ascii="仿宋_GB2312" w:hAnsi="Times New Roman" w:eastAsia="仿宋_GB2312" w:cs="DengXian-Regular"/>
          <w:sz w:val="32"/>
          <w:szCs w:val="32"/>
        </w:rPr>
        <w:t>。支出总计（含结转和结余）</w:t>
      </w:r>
      <w:r>
        <w:rPr>
          <w:rFonts w:ascii="仿宋_GB2312" w:hAnsi="Times New Roman" w:eastAsia="仿宋_GB2312" w:cs="DengXian-Regular"/>
          <w:sz w:val="32"/>
          <w:szCs w:val="32"/>
        </w:rPr>
        <w:t>69.78</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年度决算相比，支出减少</w:t>
      </w:r>
      <w:r>
        <w:rPr>
          <w:rFonts w:ascii="仿宋_GB2312" w:hAnsi="Times New Roman" w:eastAsia="仿宋_GB2312" w:cs="DengXian-Regular"/>
          <w:sz w:val="32"/>
          <w:szCs w:val="32"/>
        </w:rPr>
        <w:t>43.39</w:t>
      </w:r>
      <w:r>
        <w:rPr>
          <w:rFonts w:hint="eastAsia" w:ascii="仿宋_GB2312" w:hAnsi="Times New Roman" w:eastAsia="仿宋_GB2312" w:cs="DengXian-Regular"/>
          <w:sz w:val="32"/>
          <w:szCs w:val="32"/>
        </w:rPr>
        <w:t>万元，下降</w:t>
      </w:r>
      <w:r>
        <w:rPr>
          <w:rFonts w:ascii="仿宋_GB2312" w:hAnsi="Times New Roman" w:eastAsia="仿宋_GB2312" w:cs="DengXian-Regular"/>
          <w:sz w:val="32"/>
          <w:szCs w:val="32"/>
        </w:rPr>
        <w:t>38.34%</w:t>
      </w:r>
      <w:r>
        <w:rPr>
          <w:rFonts w:hint="eastAsia" w:ascii="仿宋_GB2312" w:hAnsi="Times New Roman" w:eastAsia="仿宋_GB2312" w:cs="DengXian-Regular"/>
          <w:sz w:val="32"/>
          <w:szCs w:val="32"/>
        </w:rPr>
        <w:t>，主要原因是</w:t>
      </w:r>
      <w:r>
        <w:rPr>
          <w:rFonts w:hint="eastAsia" w:ascii="仿宋_GB2312" w:hAnsi="仿宋_GB2312" w:eastAsia="仿宋_GB2312" w:cs="仿宋_GB2312"/>
          <w:sz w:val="32"/>
          <w:szCs w:val="32"/>
        </w:rPr>
        <w:t>财政补助工会经费减少</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ascii="仿宋_GB2312" w:hAnsi="Times New Roman" w:eastAsia="仿宋_GB2312" w:cs="DengXian-Regular"/>
          <w:sz w:val="32"/>
          <w:szCs w:val="32"/>
        </w:rPr>
        <w:t>69.78</w:t>
      </w:r>
      <w:r>
        <w:rPr>
          <w:rFonts w:hint="eastAsia" w:ascii="仿宋_GB2312" w:hAnsi="Times New Roman" w:eastAsia="仿宋_GB2312" w:cs="DengXian-Regular"/>
          <w:sz w:val="32"/>
          <w:szCs w:val="32"/>
        </w:rPr>
        <w:t>万元，其中：财政拨款收入</w:t>
      </w:r>
      <w:r>
        <w:rPr>
          <w:rFonts w:ascii="仿宋_GB2312" w:hAnsi="Times New Roman" w:eastAsia="仿宋_GB2312" w:cs="DengXian-Regular"/>
          <w:sz w:val="32"/>
          <w:szCs w:val="32"/>
        </w:rPr>
        <w:t>69.78</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100%</w:t>
      </w:r>
      <w:r>
        <w:rPr>
          <w:rFonts w:hint="eastAsia" w:ascii="仿宋_GB2312" w:hAnsi="Times New Roman" w:eastAsia="仿宋_GB2312" w:cs="DengXian-Regular"/>
          <w:sz w:val="32"/>
          <w:szCs w:val="32"/>
        </w:rPr>
        <w:t>。</w:t>
      </w:r>
      <w:r>
        <w:pict>
          <v:group id="_x0000_s1040" o:spid="_x0000_s1040" o:spt="203" style="position:absolute;left:0pt;margin-left:71.65pt;margin-top:19.55pt;height:217.5pt;width:308.75pt;z-index:251669504;mso-width-relative:page;mso-height-relative:page;" coordorigin="6817,180284" coordsize="5156,3464203">
            <o:lock v:ext="edit"/>
            <v:shape id="图片 1" o:spid="_x0000_s1041" o:spt="75" type="#_x0000_t75" style="position:absolute;left:6817;top:180284;height:2988;width:5156;" filled="f" o:preferrelative="t" stroked="f" coordsize="21600,21600">
              <v:path/>
              <v:fill on="f" focussize="0,0"/>
              <v:stroke on="f" joinstyle="miter"/>
              <v:imagedata r:id="rId15" cropleft="2131f" croptop="1490f" cropright="1218f" cropbottom="5217f" o:title=""/>
              <o:lock v:ext="edit" aspectratio="t"/>
            </v:shape>
            <v:shape id="文本框 32" o:spid="_x0000_s1042" o:spt="202" type="#_x0000_t202" style="position:absolute;left:7580;top:183134;height:615;width:3630;"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v:textbox>
            </v:shape>
          </v:group>
        </w:pic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ascii="仿宋_GB2312" w:hAnsi="Times New Roman" w:eastAsia="仿宋_GB2312" w:cs="DengXian-Regular"/>
          <w:sz w:val="32"/>
          <w:szCs w:val="32"/>
        </w:rPr>
        <w:t>69.78</w:t>
      </w:r>
      <w:r>
        <w:rPr>
          <w:rFonts w:hint="eastAsia" w:ascii="仿宋_GB2312" w:hAnsi="Times New Roman" w:eastAsia="仿宋_GB2312" w:cs="DengXian-Regular"/>
          <w:sz w:val="32"/>
          <w:szCs w:val="32"/>
        </w:rPr>
        <w:t>万元，其中：基本支出</w:t>
      </w:r>
      <w:r>
        <w:rPr>
          <w:rFonts w:ascii="仿宋_GB2312" w:hAnsi="Times New Roman" w:eastAsia="仿宋_GB2312" w:cs="DengXian-Regular"/>
          <w:sz w:val="32"/>
          <w:szCs w:val="32"/>
        </w:rPr>
        <w:t>69.78</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100%</w:t>
      </w:r>
      <w:r>
        <w:rPr>
          <w:rFonts w:hint="eastAsia" w:ascii="仿宋_GB2312" w:hAnsi="Times New Roman" w:eastAsia="仿宋_GB2312" w:cs="DengXian-Regular"/>
          <w:sz w:val="32"/>
          <w:szCs w:val="32"/>
        </w:rPr>
        <w:t>；项目支出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x%</w:t>
      </w:r>
      <w:r>
        <w:rPr>
          <w:rFonts w:hint="eastAsia" w:ascii="仿宋_GB2312" w:hAnsi="Times New Roman" w:eastAsia="仿宋_GB2312" w:cs="DengXian-Regular"/>
          <w:sz w:val="32"/>
          <w:szCs w:val="32"/>
        </w:rPr>
        <w:t>；经营支出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w:t>
      </w:r>
      <w:r>
        <w:pict>
          <v:group id="_x0000_s1043" o:spid="_x0000_s1043" o:spt="203" style="position:absolute;left:0pt;margin-left:58.35pt;margin-top:-21.2pt;height:192.85pt;width:287.95pt;z-index:-251648000;mso-width-relative:page;mso-height-relative:page;" coordorigin="7032,190738" coordsize="4600,3345203">
            <o:lock v:ext="edit"/>
            <v:shape id="图片 3" o:spid="_x0000_s1044" o:spt="75" type="#_x0000_t75" style="position:absolute;left:7032;top:190738;height:2665;width:4600;" filled="f" o:preferrelative="t" stroked="f" coordsize="21600,21600">
              <v:path/>
              <v:fill on="f" focussize="0,0"/>
              <v:stroke on="f" joinstyle="miter"/>
              <v:imagedata r:id="rId15" cropleft="2131f" croptop="1490f" cropright="1218f" cropbottom="5217f" o:title=""/>
              <o:lock v:ext="edit" aspectratio="t"/>
            </v:shape>
            <v:shape id="_x0000_s1045" o:spid="_x0000_s1045" o:spt="202" type="#_x0000_t202" style="position:absolute;left:7289;top:193423;height:660;width:4169;"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w:t>
      </w:r>
      <w:r>
        <w:rPr>
          <w:rFonts w:ascii="仿宋_GB2312" w:hAnsi="Times New Roman" w:eastAsia="仿宋_GB2312" w:cs="DengXian-Regular"/>
          <w:sz w:val="32"/>
          <w:szCs w:val="32"/>
        </w:rPr>
        <w:t>69.78</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年度增减少</w:t>
      </w:r>
      <w:r>
        <w:rPr>
          <w:rFonts w:ascii="仿宋_GB2312" w:hAnsi="Times New Roman" w:eastAsia="仿宋_GB2312" w:cs="DengXian-Regular"/>
          <w:sz w:val="32"/>
          <w:szCs w:val="32"/>
        </w:rPr>
        <w:t>43.39</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38.34%</w:t>
      </w:r>
      <w:r>
        <w:rPr>
          <w:rFonts w:hint="eastAsia" w:ascii="仿宋_GB2312" w:hAnsi="Times New Roman" w:eastAsia="仿宋_GB2312" w:cs="DengXian-Regular"/>
          <w:sz w:val="32"/>
          <w:szCs w:val="32"/>
        </w:rPr>
        <w:t>，主要是</w:t>
      </w:r>
      <w:r>
        <w:rPr>
          <w:rFonts w:hint="eastAsia" w:ascii="仿宋_GB2312" w:hAnsi="仿宋_GB2312" w:eastAsia="仿宋_GB2312" w:cs="仿宋_GB2312"/>
          <w:sz w:val="32"/>
          <w:szCs w:val="32"/>
        </w:rPr>
        <w:t>财政补助工会经费减少</w:t>
      </w:r>
      <w:r>
        <w:rPr>
          <w:rFonts w:hint="eastAsia" w:ascii="仿宋_GB2312" w:hAnsi="Times New Roman" w:eastAsia="仿宋_GB2312" w:cs="DengXian-Regular"/>
          <w:sz w:val="32"/>
          <w:szCs w:val="32"/>
        </w:rPr>
        <w:t>；本年支出</w:t>
      </w:r>
      <w:r>
        <w:rPr>
          <w:rFonts w:ascii="仿宋_GB2312" w:hAnsi="Times New Roman" w:eastAsia="仿宋_GB2312" w:cs="DengXian-Regular"/>
          <w:sz w:val="32"/>
          <w:szCs w:val="32"/>
        </w:rPr>
        <w:t>69.78</w:t>
      </w:r>
      <w:r>
        <w:rPr>
          <w:rFonts w:hint="eastAsia" w:ascii="仿宋_GB2312" w:hAnsi="Times New Roman" w:eastAsia="仿宋_GB2312" w:cs="DengXian-Regular"/>
          <w:sz w:val="32"/>
          <w:szCs w:val="32"/>
        </w:rPr>
        <w:t>万元，减少</w:t>
      </w:r>
      <w:r>
        <w:rPr>
          <w:rFonts w:ascii="仿宋_GB2312" w:hAnsi="Times New Roman" w:eastAsia="仿宋_GB2312" w:cs="DengXian-Regular"/>
          <w:sz w:val="32"/>
          <w:szCs w:val="32"/>
        </w:rPr>
        <w:t>43.39</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38.34%</w:t>
      </w:r>
      <w:r>
        <w:rPr>
          <w:rFonts w:hint="eastAsia" w:ascii="仿宋_GB2312" w:hAnsi="Times New Roman" w:eastAsia="仿宋_GB2312" w:cs="DengXian-Regular"/>
          <w:sz w:val="32"/>
          <w:szCs w:val="32"/>
        </w:rPr>
        <w:t>，主要是</w:t>
      </w:r>
      <w:r>
        <w:rPr>
          <w:rFonts w:hint="eastAsia" w:ascii="仿宋_GB2312" w:hAnsi="仿宋_GB2312" w:eastAsia="仿宋_GB2312" w:cs="仿宋_GB2312"/>
          <w:sz w:val="32"/>
          <w:szCs w:val="32"/>
        </w:rPr>
        <w:t>财政补助工会经费减少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w:t>
      </w:r>
      <w:r>
        <w:rPr>
          <w:rFonts w:ascii="仿宋_GB2312" w:hAnsi="Times New Roman" w:eastAsia="仿宋_GB2312" w:cs="DengXian-Regular"/>
          <w:sz w:val="32"/>
          <w:szCs w:val="32"/>
        </w:rPr>
        <w:t>69.58</w:t>
      </w:r>
      <w:r>
        <w:rPr>
          <w:rFonts w:hint="eastAsia" w:ascii="仿宋_GB2312" w:hAnsi="Times New Roman" w:eastAsia="仿宋_GB2312" w:cs="DengXian-Regular"/>
          <w:sz w:val="32"/>
          <w:szCs w:val="32"/>
        </w:rPr>
        <w:t>万元，完成年初预算的</w:t>
      </w:r>
      <w:r>
        <w:rPr>
          <w:rFonts w:ascii="仿宋_GB2312" w:hAnsi="Times New Roman" w:eastAsia="仿宋_GB2312" w:cs="DengXian-Regular"/>
          <w:sz w:val="32"/>
          <w:szCs w:val="32"/>
        </w:rPr>
        <w:t>100.29%,</w:t>
      </w:r>
      <w:r>
        <w:rPr>
          <w:rFonts w:hint="eastAsia" w:ascii="仿宋_GB2312" w:hAnsi="Times New Roman" w:eastAsia="仿宋_GB2312" w:cs="DengXian-Regular"/>
          <w:sz w:val="32"/>
          <w:szCs w:val="32"/>
        </w:rPr>
        <w:t>比年初预算增加</w:t>
      </w:r>
      <w:r>
        <w:rPr>
          <w:rFonts w:ascii="仿宋_GB2312" w:hAnsi="Times New Roman" w:eastAsia="仿宋_GB2312" w:cs="DengXian-Regular"/>
          <w:sz w:val="32"/>
          <w:szCs w:val="32"/>
        </w:rPr>
        <w:t>0.2</w:t>
      </w:r>
      <w:r>
        <w:rPr>
          <w:rFonts w:hint="eastAsia" w:ascii="仿宋_GB2312" w:hAnsi="Times New Roman" w:eastAsia="仿宋_GB2312" w:cs="DengXian-Regular"/>
          <w:sz w:val="32"/>
          <w:szCs w:val="32"/>
        </w:rPr>
        <w:t>万元，决算数大于预算数主要原因是养老保险调基数补缴；本年支出</w:t>
      </w:r>
      <w:r>
        <w:rPr>
          <w:rFonts w:ascii="仿宋_GB2312" w:hAnsi="Times New Roman" w:eastAsia="仿宋_GB2312" w:cs="DengXian-Regular"/>
          <w:sz w:val="32"/>
          <w:szCs w:val="32"/>
        </w:rPr>
        <w:t>69.78</w:t>
      </w:r>
      <w:r>
        <w:rPr>
          <w:rFonts w:hint="eastAsia" w:ascii="仿宋_GB2312" w:hAnsi="Times New Roman" w:eastAsia="仿宋_GB2312" w:cs="DengXian-Regular"/>
          <w:sz w:val="32"/>
          <w:szCs w:val="32"/>
        </w:rPr>
        <w:t>万元，完成年初预算的</w:t>
      </w:r>
      <w:r>
        <w:rPr>
          <w:rFonts w:ascii="仿宋_GB2312" w:hAnsi="Times New Roman" w:eastAsia="仿宋_GB2312" w:cs="DengXian-Regular"/>
          <w:sz w:val="32"/>
          <w:szCs w:val="32"/>
        </w:rPr>
        <w:t>100.29%,</w:t>
      </w:r>
      <w:r>
        <w:rPr>
          <w:rFonts w:hint="eastAsia" w:ascii="仿宋_GB2312" w:hAnsi="Times New Roman" w:eastAsia="仿宋_GB2312" w:cs="DengXian-Regular"/>
          <w:sz w:val="32"/>
          <w:szCs w:val="32"/>
        </w:rPr>
        <w:t>比年初预算增加</w:t>
      </w:r>
      <w:r>
        <w:rPr>
          <w:rFonts w:ascii="仿宋_GB2312" w:hAnsi="Times New Roman" w:eastAsia="仿宋_GB2312" w:cs="DengXian-Regular"/>
          <w:sz w:val="32"/>
          <w:szCs w:val="32"/>
        </w:rPr>
        <w:t>0.2</w:t>
      </w:r>
      <w:r>
        <w:rPr>
          <w:rFonts w:hint="eastAsia" w:ascii="仿宋_GB2312" w:hAnsi="Times New Roman" w:eastAsia="仿宋_GB2312" w:cs="DengXian-Regular"/>
          <w:sz w:val="32"/>
          <w:szCs w:val="32"/>
        </w:rPr>
        <w:t>万元，决算数大于预算数主要原因是主要是养老保险调基数补缴。</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ascii="仿宋_GB2312" w:hAnsi="Times New Roman" w:eastAsia="仿宋_GB2312" w:cs="DengXian-Regular"/>
          <w:sz w:val="32"/>
          <w:szCs w:val="32"/>
        </w:rPr>
        <w:t>69.78</w:t>
      </w:r>
      <w:r>
        <w:rPr>
          <w:rFonts w:hint="eastAsia" w:ascii="仿宋_GB2312" w:hAnsi="Times New Roman" w:eastAsia="仿宋_GB2312" w:cs="DengXian-Regular"/>
          <w:sz w:val="32"/>
          <w:szCs w:val="32"/>
        </w:rPr>
        <w:t>万元，主要用于以下方面：一般公共服务支出</w:t>
      </w:r>
      <w:r>
        <w:rPr>
          <w:rFonts w:ascii="仿宋_GB2312" w:hAnsi="Times New Roman" w:eastAsia="仿宋_GB2312" w:cs="DengXian-Regular"/>
          <w:sz w:val="32"/>
          <w:szCs w:val="32"/>
        </w:rPr>
        <w:t>55.44</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79.45%</w:t>
      </w:r>
      <w:r>
        <w:rPr>
          <w:rFonts w:hint="eastAsia" w:ascii="仿宋_GB2312" w:hAnsi="Times New Roman" w:eastAsia="仿宋_GB2312" w:cs="DengXian-Regular"/>
          <w:sz w:val="32"/>
          <w:szCs w:val="32"/>
        </w:rPr>
        <w:t>，；社会保障和就业支出</w:t>
      </w:r>
      <w:r>
        <w:rPr>
          <w:rFonts w:ascii="仿宋_GB2312" w:hAnsi="Times New Roman" w:eastAsia="仿宋_GB2312" w:cs="DengXian-Regular"/>
          <w:sz w:val="32"/>
          <w:szCs w:val="32"/>
        </w:rPr>
        <w:t xml:space="preserve"> 10.71</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15.35%</w:t>
      </w:r>
      <w:r>
        <w:rPr>
          <w:rFonts w:hint="eastAsia" w:ascii="仿宋_GB2312" w:hAnsi="Times New Roman" w:eastAsia="仿宋_GB2312" w:cs="DengXian-Regular"/>
          <w:sz w:val="32"/>
          <w:szCs w:val="32"/>
        </w:rPr>
        <w:t>；住房保障支出</w:t>
      </w:r>
      <w:r>
        <w:rPr>
          <w:rFonts w:ascii="仿宋_GB2312" w:hAnsi="Times New Roman" w:eastAsia="仿宋_GB2312" w:cs="DengXian-Regular"/>
          <w:sz w:val="32"/>
          <w:szCs w:val="32"/>
        </w:rPr>
        <w:t>2.22</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 xml:space="preserve"> 3.18%;</w:t>
      </w:r>
      <w:r>
        <w:rPr>
          <w:rFonts w:hint="eastAsia" w:ascii="仿宋_GB2312" w:hAnsi="Times New Roman" w:eastAsia="仿宋_GB2312" w:cs="DengXian-Regular"/>
          <w:sz w:val="32"/>
          <w:szCs w:val="32"/>
        </w:rPr>
        <w:t>卫生健康支出</w:t>
      </w:r>
      <w:r>
        <w:rPr>
          <w:rFonts w:ascii="仿宋_GB2312" w:hAnsi="Times New Roman" w:eastAsia="仿宋_GB2312" w:cs="DengXian-Regular"/>
          <w:sz w:val="32"/>
          <w:szCs w:val="32"/>
        </w:rPr>
        <w:t>1.41</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2.02%</w:t>
      </w:r>
      <w:r>
        <w:rPr>
          <w:rFonts w:hint="eastAsia" w:ascii="仿宋_GB2312" w:hAnsi="Times New Roman" w:eastAsia="仿宋_GB2312" w:cs="DengXian-Regular"/>
          <w:sz w:val="32"/>
          <w:szCs w:val="32"/>
        </w:rPr>
        <w:t>。</w:t>
      </w:r>
      <w:r>
        <w:pict>
          <v:group id="_x0000_s1046" o:spid="_x0000_s1046" o:spt="203" style="position:absolute;left:0pt;margin-left:77.25pt;margin-top:16.6pt;height:173.95pt;width:281.6pt;z-index:-251645952;mso-width-relative:page;mso-height-relative:page;" coordorigin="6921,180284" coordsize="5065,3465203">
            <o:lock v:ext="edit"/>
            <v:shape id="图片 1" o:spid="_x0000_s1047" o:spt="75" type="#_x0000_t75" style="position:absolute;left:7157;top:180284;height:2988;width:4586;" filled="f" o:preferrelative="t" stroked="f" coordsize="21600,21600">
              <v:path/>
              <v:fill on="f" focussize="0,0"/>
              <v:stroke on="f" joinstyle="miter"/>
              <v:imagedata r:id="rId15" cropleft="2131f" croptop="1490f" cropright="1218f" cropbottom="5217f" o:title=""/>
              <o:lock v:ext="edit" aspectratio="t"/>
            </v:shape>
            <v:shape id="文本框 32" o:spid="_x0000_s1048" o:spt="202" type="#_x0000_t202" style="position:absolute;left:6921;top:183134;height:615;width:5065;"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w:t>
      </w:r>
      <w:r>
        <w:rPr>
          <w:rFonts w:ascii="仿宋_GB2312" w:hAnsi="Times New Roman" w:eastAsia="仿宋_GB2312" w:cs="DengXian-Regular"/>
          <w:sz w:val="32"/>
          <w:szCs w:val="32"/>
        </w:rPr>
        <w:t>69.78</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 xml:space="preserve"> 56.32</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hAnsi="Times New Roman" w:eastAsia="仿宋_GB2312" w:cs="DengXian-Regular"/>
          <w:sz w:val="32"/>
          <w:szCs w:val="32"/>
        </w:rPr>
        <w:t xml:space="preserve"> 13.46</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ascii="仿宋_GB2312" w:hAnsi="Times New Roman" w:eastAsia="仿宋_GB2312" w:cs="DengXian-Regular"/>
          <w:sz w:val="32"/>
          <w:szCs w:val="32"/>
        </w:rPr>
        <w:t>3.74</w:t>
      </w:r>
      <w:r>
        <w:rPr>
          <w:rFonts w:hint="eastAsia" w:ascii="仿宋_GB2312" w:hAnsi="Times New Roman" w:eastAsia="仿宋_GB2312" w:cs="DengXian-Regular"/>
          <w:sz w:val="32"/>
          <w:szCs w:val="32"/>
        </w:rPr>
        <w:t>万元，完成预算的</w:t>
      </w:r>
      <w:r>
        <w:rPr>
          <w:rFonts w:ascii="仿宋_GB2312" w:hAnsi="Times New Roman" w:eastAsia="仿宋_GB2312" w:cs="DengXian-Regular"/>
          <w:sz w:val="32"/>
          <w:szCs w:val="32"/>
        </w:rPr>
        <w:t>74.8%,</w:t>
      </w:r>
      <w:r>
        <w:rPr>
          <w:rFonts w:hint="eastAsia" w:ascii="仿宋_GB2312" w:hAnsi="Times New Roman" w:eastAsia="仿宋_GB2312" w:cs="DengXian-Regular"/>
          <w:sz w:val="32"/>
          <w:szCs w:val="32"/>
        </w:rPr>
        <w:t>较预算减少</w:t>
      </w:r>
      <w:r>
        <w:rPr>
          <w:rFonts w:ascii="仿宋_GB2312" w:hAnsi="Times New Roman" w:eastAsia="仿宋_GB2312" w:cs="DengXian-Regular"/>
          <w:sz w:val="32"/>
          <w:szCs w:val="32"/>
        </w:rPr>
        <w:t>1.26</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25.2%</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主要是认真贯彻落实中央八项规定精神和厉行节约要求，从严控制“三公”经费开支，全年实际支出比预算有所节约</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ascii="仿宋_GB2312" w:hAnsi="Times New Roman" w:eastAsia="仿宋_GB2312" w:cs="DengXian-Regular"/>
          <w:sz w:val="32"/>
          <w:szCs w:val="32"/>
        </w:rPr>
        <w:t>1.02</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21.43%</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主要是认真贯彻落实中央八项规定精神和厉行节约要求，从严控制“三公”经费开支，全年实际支出比预算有所节约</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（一）本部门</w:t>
      </w:r>
      <w:r>
        <w:rPr>
          <w:rFonts w:ascii="楷体_GB2312" w:hAnsi="Times New Roman" w:eastAsia="楷体_GB2312" w:cs="DengXian-Bold"/>
          <w:b/>
          <w:bCs/>
          <w:sz w:val="32"/>
          <w:szCs w:val="32"/>
        </w:rPr>
        <w:t>2019</w:t>
      </w:r>
      <w:r>
        <w:rPr>
          <w:rFonts w:hint="eastAsia" w:ascii="楷体_GB2312" w:hAnsi="Times New Roman" w:eastAsia="楷体_GB2312" w:cs="DengXian-Bold"/>
          <w:b/>
          <w:bCs/>
          <w:sz w:val="32"/>
          <w:szCs w:val="32"/>
        </w:rPr>
        <w:t>年未发生因公出国（境）经费支出。</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ascii="楷体_GB2312" w:hAnsi="Times New Roman" w:eastAsia="楷体_GB2312" w:cs="DengXian-Bold"/>
          <w:b/>
          <w:bCs/>
          <w:sz w:val="32"/>
          <w:szCs w:val="32"/>
        </w:rPr>
        <w:t>3.74</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w:t>
      </w:r>
      <w:r>
        <w:rPr>
          <w:rFonts w:ascii="仿宋_GB2312" w:hAnsi="Times New Roman" w:eastAsia="仿宋_GB2312" w:cs="DengXian-Regular"/>
          <w:sz w:val="32"/>
          <w:szCs w:val="32"/>
        </w:rPr>
        <w:t>1.26</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25.2%,</w:t>
      </w:r>
      <w:r>
        <w:rPr>
          <w:rFonts w:hint="eastAsia" w:ascii="仿宋_GB2312" w:eastAsia="仿宋_GB2312" w:cs="DengXian-Regular"/>
          <w:sz w:val="32"/>
          <w:szCs w:val="32"/>
        </w:rPr>
        <w:t>主要是认真贯彻落实中央八项规定精神和厉行节约要求，从严控制“三公”经费开支，全年实际支出比预算有所节约</w:t>
      </w:r>
      <w:r>
        <w:rPr>
          <w:rFonts w:hint="eastAsia" w:ascii="仿宋_GB2312" w:hAnsi="Times New Roman" w:eastAsia="仿宋_GB2312" w:cs="DengXian-Regular"/>
          <w:sz w:val="32"/>
          <w:szCs w:val="32"/>
        </w:rPr>
        <w:t>；较上年减少</w:t>
      </w:r>
      <w:r>
        <w:rPr>
          <w:rFonts w:ascii="仿宋_GB2312" w:hAnsi="Times New Roman" w:eastAsia="仿宋_GB2312" w:cs="DengXian-Regular"/>
          <w:sz w:val="32"/>
          <w:szCs w:val="32"/>
        </w:rPr>
        <w:t>1.26</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21.43%,</w:t>
      </w:r>
      <w:r>
        <w:rPr>
          <w:rFonts w:hint="eastAsia" w:ascii="仿宋_GB2312" w:eastAsia="仿宋_GB2312" w:cs="DengXian-Regular"/>
          <w:sz w:val="32"/>
          <w:szCs w:val="32"/>
        </w:rPr>
        <w:t>主要是认真贯彻落实中央八项规定精神和厉行节约要求，从严控制“三公”经费开支，全年实际支出比预算有所节约</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color w:val="000000"/>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年度未发生公务用车购置。</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ascii="仿宋_GB2312" w:hAnsi="Times New Roman" w:eastAsia="仿宋_GB2312" w:cs="DengXian-Regular"/>
          <w:sz w:val="32"/>
          <w:szCs w:val="32"/>
        </w:rPr>
        <w:t>2</w:t>
      </w:r>
      <w:r>
        <w:rPr>
          <w:rFonts w:hint="eastAsia" w:ascii="仿宋_GB2312" w:hAnsi="Times New Roman" w:eastAsia="仿宋_GB2312" w:cs="DengXian-Regular"/>
          <w:sz w:val="32"/>
          <w:szCs w:val="32"/>
        </w:rPr>
        <w:t>辆。公车运行维护费支出较预算减少</w:t>
      </w:r>
      <w:r>
        <w:rPr>
          <w:rFonts w:ascii="仿宋_GB2312" w:hAnsi="Times New Roman" w:eastAsia="仿宋_GB2312" w:cs="DengXian-Regular"/>
          <w:sz w:val="32"/>
          <w:szCs w:val="32"/>
        </w:rPr>
        <w:t>1.26</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25.2%,</w:t>
      </w:r>
      <w:r>
        <w:rPr>
          <w:rFonts w:hint="eastAsia" w:ascii="仿宋_GB2312" w:eastAsia="仿宋_GB2312" w:cs="DengXian-Regular"/>
          <w:sz w:val="32"/>
          <w:szCs w:val="32"/>
        </w:rPr>
        <w:t>主要是认真贯彻落实中央八项规定精神和厉行节约要求，从严控制“三公”经费开支，全年实际支出比预算有所节约</w:t>
      </w:r>
      <w:r>
        <w:rPr>
          <w:rFonts w:hint="eastAsia" w:ascii="仿宋_GB2312" w:hAnsi="Times New Roman" w:eastAsia="仿宋_GB2312" w:cs="DengXian-Regular"/>
          <w:sz w:val="32"/>
          <w:szCs w:val="32"/>
        </w:rPr>
        <w:t>；较上年减少</w:t>
      </w:r>
      <w:r>
        <w:rPr>
          <w:rFonts w:ascii="仿宋_GB2312" w:hAnsi="Times New Roman" w:eastAsia="仿宋_GB2312" w:cs="DengXian-Regular"/>
          <w:sz w:val="32"/>
          <w:szCs w:val="32"/>
        </w:rPr>
        <w:t>1.02</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21.43%</w:t>
      </w:r>
      <w:r>
        <w:rPr>
          <w:rFonts w:hint="eastAsia" w:ascii="仿宋_GB2312" w:hAnsi="Times New Roman" w:eastAsia="仿宋_GB2312" w:cs="DengXian-Regular"/>
          <w:sz w:val="32"/>
          <w:szCs w:val="32"/>
        </w:rPr>
        <w:t>，</w:t>
      </w:r>
      <w:bookmarkStart w:id="0" w:name="_GoBack"/>
      <w:bookmarkEnd w:id="0"/>
      <w:r>
        <w:rPr>
          <w:rFonts w:hint="eastAsia" w:ascii="仿宋_GB2312" w:eastAsia="仿宋_GB2312" w:cs="DengXian-Regular"/>
          <w:sz w:val="32"/>
          <w:szCs w:val="32"/>
        </w:rPr>
        <w:t>主要是认真贯彻落实中央八项规定精神和厉行节约要求，从严控制“三公”经费开支，全年实际支出比预算有所节约</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（三）本部门</w:t>
      </w:r>
      <w:r>
        <w:rPr>
          <w:rFonts w:ascii="楷体_GB2312" w:hAnsi="Times New Roman" w:eastAsia="楷体_GB2312" w:cs="DengXian-Bold"/>
          <w:b/>
          <w:bCs/>
          <w:sz w:val="32"/>
          <w:szCs w:val="32"/>
        </w:rPr>
        <w:t>2019</w:t>
      </w:r>
      <w:r>
        <w:rPr>
          <w:rFonts w:hint="eastAsia" w:ascii="楷体_GB2312" w:hAnsi="Times New Roman" w:eastAsia="楷体_GB2312" w:cs="DengXian-Bold"/>
          <w:b/>
          <w:bCs/>
          <w:sz w:val="32"/>
          <w:szCs w:val="32"/>
        </w:rPr>
        <w:t>年未发生公务接待经费支出。</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年度无一般公共预算项目支出。</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年度无一般公共预算项目支出。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ascii="仿宋_GB2312" w:hAnsi="Times New Roman" w:eastAsia="仿宋_GB2312" w:cs="DengXian-Regular"/>
          <w:sz w:val="32"/>
          <w:szCs w:val="32"/>
        </w:rPr>
        <w:t>69.78</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ascii="仿宋_GB2312" w:hAnsi="Times New Roman" w:eastAsia="仿宋_GB2312" w:cs="DengXian-Regular"/>
          <w:sz w:val="32"/>
          <w:szCs w:val="32"/>
        </w:rPr>
        <w:t>43.39</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38.34%</w:t>
      </w:r>
      <w:r>
        <w:rPr>
          <w:rFonts w:hint="eastAsia" w:ascii="仿宋_GB2312" w:hAnsi="Times New Roman" w:eastAsia="仿宋_GB2312" w:cs="DengXian-Regular"/>
          <w:sz w:val="32"/>
          <w:szCs w:val="32"/>
        </w:rPr>
        <w:t>。主要原因是财政拨工会经费减少。</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w:t>
      </w:r>
      <w:r>
        <w:rPr>
          <w:rFonts w:ascii="仿宋_GB2312" w:eastAsia="仿宋_GB2312" w:cs="DengXian-Regular"/>
          <w:sz w:val="32"/>
          <w:szCs w:val="32"/>
        </w:rPr>
        <w:t>69.78</w:t>
      </w:r>
      <w:r>
        <w:rPr>
          <w:rFonts w:hint="eastAsia" w:ascii="仿宋_GB2312" w:eastAsia="仿宋_GB2312" w:cs="DengXian-Regular"/>
          <w:sz w:val="32"/>
          <w:szCs w:val="32"/>
        </w:rPr>
        <w:t>万元，比年初预算数增加</w:t>
      </w:r>
      <w:r>
        <w:rPr>
          <w:rFonts w:ascii="仿宋_GB2312" w:eastAsia="仿宋_GB2312" w:cs="DengXian-Regular"/>
          <w:sz w:val="32"/>
          <w:szCs w:val="32"/>
        </w:rPr>
        <w:t>0.2</w:t>
      </w:r>
      <w:r>
        <w:rPr>
          <w:rFonts w:hint="eastAsia" w:ascii="仿宋_GB2312" w:eastAsia="仿宋_GB2312" w:cs="DengXian-Regular"/>
          <w:sz w:val="32"/>
          <w:szCs w:val="32"/>
        </w:rPr>
        <w:t>万元，增长</w:t>
      </w:r>
      <w:r>
        <w:rPr>
          <w:rFonts w:ascii="仿宋_GB2312" w:eastAsia="仿宋_GB2312" w:cs="DengXian-Regular"/>
          <w:sz w:val="32"/>
          <w:szCs w:val="32"/>
        </w:rPr>
        <w:t>0.29%</w:t>
      </w:r>
      <w:r>
        <w:rPr>
          <w:rFonts w:hint="eastAsia" w:ascii="仿宋_GB2312" w:eastAsia="仿宋_GB2312" w:cs="DengXian-Regular"/>
          <w:sz w:val="32"/>
          <w:szCs w:val="32"/>
        </w:rPr>
        <w:t>。主要原因是养老保险调基数补缴。</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年度无政府采购支出。</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w:t>
      </w:r>
      <w:r>
        <w:rPr>
          <w:rFonts w:ascii="仿宋_GB2312" w:hAnsi="Times New Roman" w:eastAsia="仿宋_GB2312" w:cs="DengXian-Regular"/>
          <w:sz w:val="32"/>
          <w:szCs w:val="32"/>
        </w:rPr>
        <w:t>2</w:t>
      </w:r>
      <w:r>
        <w:rPr>
          <w:rFonts w:hint="eastAsia" w:ascii="仿宋_GB2312" w:hAnsi="Times New Roman" w:eastAsia="仿宋_GB2312" w:cs="DengXian-Regular"/>
          <w:sz w:val="32"/>
          <w:szCs w:val="32"/>
        </w:rPr>
        <w:t>辆，与上年相同。其中，主要领导干部用车</w:t>
      </w:r>
      <w:r>
        <w:rPr>
          <w:rFonts w:ascii="仿宋_GB2312" w:hAnsi="Times New Roman" w:eastAsia="仿宋_GB2312" w:cs="DengXian-Regular"/>
          <w:sz w:val="32"/>
          <w:szCs w:val="32"/>
        </w:rPr>
        <w:t>1</w:t>
      </w:r>
      <w:r>
        <w:rPr>
          <w:rFonts w:hint="eastAsia" w:ascii="仿宋_GB2312" w:hAnsi="Times New Roman" w:eastAsia="仿宋_GB2312" w:cs="DengXian-Regular"/>
          <w:sz w:val="32"/>
          <w:szCs w:val="32"/>
        </w:rPr>
        <w:t>辆，其他用车</w:t>
      </w:r>
      <w:r>
        <w:rPr>
          <w:rFonts w:ascii="仿宋_GB2312" w:hAnsi="Times New Roman" w:eastAsia="仿宋_GB2312" w:cs="DengXian-Regular"/>
          <w:sz w:val="32"/>
          <w:szCs w:val="32"/>
        </w:rPr>
        <w:t>1</w:t>
      </w:r>
      <w:r>
        <w:rPr>
          <w:rFonts w:hint="eastAsia" w:ascii="仿宋_GB2312" w:hAnsi="Times New Roman" w:eastAsia="仿宋_GB2312" w:cs="DengXian-Regular"/>
          <w:sz w:val="32"/>
          <w:szCs w:val="32"/>
        </w:rPr>
        <w:t>辆。</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单位无价值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万元以上通用设备，无价值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ascii="仿宋_GB2312" w:hAnsi="Times New Roman" w:eastAsia="仿宋_GB2312" w:cs="DengXian-Regular"/>
          <w:sz w:val="32"/>
          <w:szCs w:val="32"/>
        </w:rPr>
        <w:t>xxx</w:t>
      </w:r>
      <w:r>
        <w:rPr>
          <w:rFonts w:hint="eastAsia" w:ascii="仿宋_GB2312" w:hAnsi="Times New Roman" w:eastAsia="仿宋_GB2312" w:cs="DengXian-Regular"/>
          <w:sz w:val="32"/>
          <w:szCs w:val="32"/>
        </w:rPr>
        <w:t>无收支及结转结余情况，故</w:t>
      </w:r>
      <w:r>
        <w:rPr>
          <w:rFonts w:ascii="仿宋_GB2312" w:hAnsi="Times New Roman" w:eastAsia="仿宋_GB2312" w:cs="DengXian-Regular"/>
          <w:sz w:val="32"/>
          <w:szCs w:val="32"/>
        </w:rPr>
        <w:t>xxx</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sz w:val="72"/>
        </w:rPr>
      </w:pPr>
      <w:r>
        <w:pict>
          <v:shape id="_x0000_s1049" o:spid="_x0000_s1049" o:spt="202" type="#_x0000_t202" style="position:absolute;left:0pt;margin-left:-80.45pt;margin-top:34.8pt;height:263.1pt;width:613.65pt;z-index:251672576;v-text-anchor:middle;mso-width-relative:page;mso-height-relative:page;" fillcolor="#FFD966" filled="t" stroked="t" coordsize="21600,21600">
            <v:path/>
            <v:fill type="pattern" on="t" focussize="0,0" r:id="rId14"/>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11" w:type="first"/>
          <w:pgSz w:w="11906" w:h="16838"/>
          <w:pgMar w:top="2041" w:right="1531" w:bottom="2041" w:left="1531" w:header="851" w:footer="992" w:gutter="0"/>
          <w:pgNumType w:fmt="numberInDash"/>
          <w:cols w:space="0" w:num="1"/>
          <w:titlePg/>
          <w:docGrid w:type="lines" w:linePitch="312" w:charSpace="0"/>
        </w:sectPr>
      </w:pPr>
    </w:p>
    <w:p>
      <w:pPr>
        <w:spacing w:after="160" w:line="480" w:lineRule="auto"/>
        <w:rPr>
          <w:rFonts w:ascii="仿宋_GB2312" w:hAnsi="宋体" w:eastAsia="仿宋_GB2312" w:cs="MS-UIGothic,Bold"/>
          <w:bCs/>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2"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50" o:spid="_x0000_s1050" o:spt="202" type="#_x0000_t202" style="position:absolute;left:0pt;margin-left:-82.05pt;margin-top:135.85pt;height:263.1pt;width:613.65pt;z-index:-251656192;v-text-anchor:middle;mso-width-relative:page;mso-height-relative:page;" fillcolor="#FFD966" filled="t" stroked="t" coordsize="21600,21600">
            <v:path/>
            <v:fill type="pattern" on="t" focussize="0,0" r:id="rId14"/>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部门：保定市满城区总工会</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69.78</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55.44</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10.71</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1.41</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2.22</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69</w:t>
            </w:r>
            <w:r>
              <w:rPr>
                <w:rFonts w:hint="eastAsia" w:ascii="宋体" w:hAnsi="宋体" w:eastAsia="宋体" w:cs="宋体"/>
                <w:color w:val="000000"/>
                <w:kern w:val="0"/>
                <w:sz w:val="22"/>
              </w:rPr>
              <w:t>．</w:t>
            </w:r>
            <w:r>
              <w:rPr>
                <w:rFonts w:ascii="宋体" w:hAnsi="宋体" w:eastAsia="宋体" w:cs="宋体"/>
                <w:color w:val="000000"/>
                <w:kern w:val="0"/>
                <w:sz w:val="22"/>
              </w:rPr>
              <w:t>78</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69.78</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69.78</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69.78</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9681" w:type="dxa"/>
        <w:jc w:val="center"/>
        <w:tblLayout w:type="autofit"/>
        <w:tblCellMar>
          <w:top w:w="0" w:type="dxa"/>
          <w:left w:w="0" w:type="dxa"/>
          <w:bottom w:w="0" w:type="dxa"/>
          <w:right w:w="0" w:type="dxa"/>
        </w:tblCellMar>
      </w:tblPr>
      <w:tblGrid>
        <w:gridCol w:w="874"/>
        <w:gridCol w:w="50"/>
        <w:gridCol w:w="50"/>
        <w:gridCol w:w="4120"/>
        <w:gridCol w:w="1075"/>
        <w:gridCol w:w="1043"/>
        <w:gridCol w:w="477"/>
        <w:gridCol w:w="477"/>
        <w:gridCol w:w="504"/>
        <w:gridCol w:w="504"/>
        <w:gridCol w:w="507"/>
      </w:tblGrid>
      <w:tr>
        <w:tblPrEx>
          <w:tblCellMar>
            <w:top w:w="0" w:type="dxa"/>
            <w:left w:w="0" w:type="dxa"/>
            <w:bottom w:w="0" w:type="dxa"/>
            <w:right w:w="0" w:type="dxa"/>
          </w:tblCellMar>
        </w:tblPrEx>
        <w:trPr>
          <w:trHeight w:val="670" w:hRule="atLeast"/>
          <w:jc w:val="center"/>
        </w:trPr>
        <w:tc>
          <w:tcPr>
            <w:tcW w:w="9681"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保定市满城区总工会</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6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1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43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43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47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47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47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02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3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3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02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3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3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02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3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3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7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6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91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47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47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47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69.78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69.78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55.44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55.44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20129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群众团体事务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55.44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55.44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2012901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52.02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52.02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2012902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一般行政管理事务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归口管理的行政单位离退休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机关事业单位基本养老保险费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4.76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4.76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2080506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2079"/>
        <w:gridCol w:w="720"/>
        <w:gridCol w:w="882"/>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7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2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8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7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保定市满城区总工会</w:t>
            </w:r>
          </w:p>
        </w:tc>
        <w:tc>
          <w:tcPr>
            <w:tcW w:w="72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8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318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2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88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07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2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7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7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318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2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8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318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69.78</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69.78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一般公共服务支出</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55.44</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55.44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20129</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群众团体事务</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55.44</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55.44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2012901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行政运行</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52.02</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52.02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2012902</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一般行政管理事务</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3.43</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208</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社会保障和就业支出</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10.71</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10.71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20805</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行政事业单位离退休</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10.71</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10.71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2080501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归口管理的行政单位离退休</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4.55</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2080505</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机关事业单位基本养老保险费支出</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4.76</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4.76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2080506</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机关事业单位职业年金缴费支出</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1.39</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210</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卫生健康支出</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2101101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行政单位医疗</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221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住房保障支出</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2.22</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2.22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22102</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住房改革支出</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2.22</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2.22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2210201</w:t>
            </w:r>
          </w:p>
        </w:tc>
        <w:tc>
          <w:tcPr>
            <w:tcW w:w="20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住房公积金</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2.22</w:t>
            </w:r>
          </w:p>
        </w:tc>
        <w:tc>
          <w:tcPr>
            <w:tcW w:w="8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2.22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9658" w:type="dxa"/>
        <w:jc w:val="center"/>
        <w:tblLayout w:type="fixed"/>
        <w:tblCellMar>
          <w:top w:w="0" w:type="dxa"/>
          <w:left w:w="0" w:type="dxa"/>
          <w:bottom w:w="0" w:type="dxa"/>
          <w:right w:w="0" w:type="dxa"/>
        </w:tblCellMar>
      </w:tblPr>
      <w:tblGrid>
        <w:gridCol w:w="2922"/>
        <w:gridCol w:w="425"/>
        <w:gridCol w:w="662"/>
        <w:gridCol w:w="2946"/>
        <w:gridCol w:w="538"/>
        <w:gridCol w:w="720"/>
        <w:gridCol w:w="720"/>
        <w:gridCol w:w="587"/>
        <w:gridCol w:w="138"/>
      </w:tblGrid>
      <w:tr>
        <w:tblPrEx>
          <w:tblCellMar>
            <w:top w:w="0" w:type="dxa"/>
            <w:left w:w="0" w:type="dxa"/>
            <w:bottom w:w="0" w:type="dxa"/>
            <w:right w:w="0" w:type="dxa"/>
          </w:tblCellMar>
        </w:tblPrEx>
        <w:trPr>
          <w:gridAfter w:val="1"/>
          <w:wAfter w:w="138" w:type="dxa"/>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gridAfter w:val="1"/>
          <w:wAfter w:w="138" w:type="dxa"/>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27"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gridAfter w:val="1"/>
          <w:wAfter w:w="138" w:type="dxa"/>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部门：保定市满城区总工会</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27"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gridAfter w:val="1"/>
          <w:wAfter w:w="138" w:type="dxa"/>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511"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6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3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2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72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2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2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69.78</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55.44</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55.44</w:t>
            </w: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10.71</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10.71</w:t>
            </w: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w:t>
            </w: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2.22</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2.22</w:t>
            </w: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69.78</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69.78</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69.78</w:t>
            </w: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69.78</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69.78</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69.78</w:t>
            </w:r>
          </w:p>
        </w:tc>
        <w:tc>
          <w:tcPr>
            <w:tcW w:w="7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38" w:type="dxa"/>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9990" w:type="dxa"/>
        <w:jc w:val="center"/>
        <w:tblLayout w:type="autofit"/>
        <w:tblCellMar>
          <w:top w:w="0" w:type="dxa"/>
          <w:left w:w="0" w:type="dxa"/>
          <w:bottom w:w="0" w:type="dxa"/>
          <w:right w:w="0" w:type="dxa"/>
        </w:tblCellMar>
      </w:tblPr>
      <w:tblGrid>
        <w:gridCol w:w="718"/>
        <w:gridCol w:w="41"/>
        <w:gridCol w:w="41"/>
        <w:gridCol w:w="3180"/>
        <w:gridCol w:w="2211"/>
        <w:gridCol w:w="2211"/>
        <w:gridCol w:w="1687"/>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保定市满城区总工会</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86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91"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2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2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28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9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2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9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2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69.78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69.78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55.44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55.44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20129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群众团体事务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55.44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55.44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2012901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52.02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52.02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2012902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一般行政管理事务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归口管理的行政单位离退休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机关事业单位基本养老保险费支出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4.76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4.76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2080506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保定市满城区总工会</w:t>
            </w: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36.3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9.09</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14.01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0.36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9.57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2.93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4.76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1.39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1.86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0.3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1.41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0.72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2.22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2.44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4.37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3.16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15.87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3.74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2.12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60.69</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ascii="宋体" w:hAnsi="宋体" w:eastAsia="宋体" w:cs="宋体"/>
                <w:color w:val="000000"/>
                <w:sz w:val="20"/>
                <w:szCs w:val="20"/>
              </w:rPr>
              <w:t>9.09</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1830"/>
        <w:gridCol w:w="1565"/>
        <w:gridCol w:w="1421"/>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保定市满城区总工会</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3.74</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3.74</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3.74</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630"/>
        <w:gridCol w:w="36"/>
        <w:gridCol w:w="36"/>
        <w:gridCol w:w="1830"/>
        <w:gridCol w:w="1163"/>
        <w:gridCol w:w="1163"/>
        <w:gridCol w:w="1163"/>
        <w:gridCol w:w="1163"/>
        <w:gridCol w:w="1163"/>
        <w:gridCol w:w="1163"/>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保定市满城区总工会</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51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注：</w:t>
      </w:r>
      <w:r>
        <w:rPr>
          <w:rFonts w:hint="eastAsia" w:ascii="宋体" w:hAnsi="宋体" w:cs="宋体"/>
          <w:color w:val="000000"/>
          <w:kern w:val="0"/>
          <w:szCs w:val="21"/>
        </w:rPr>
        <w:t>本部门</w:t>
      </w:r>
      <w:r>
        <w:rPr>
          <w:rFonts w:ascii="宋体" w:hAnsi="宋体" w:cs="宋体"/>
          <w:color w:val="000000"/>
          <w:kern w:val="0"/>
          <w:szCs w:val="21"/>
        </w:rPr>
        <w:t>2019</w:t>
      </w:r>
      <w:r>
        <w:rPr>
          <w:rFonts w:hint="eastAsia" w:ascii="宋体" w:hAnsi="宋体" w:cs="宋体"/>
          <w:color w:val="000000"/>
          <w:kern w:val="0"/>
          <w:szCs w:val="21"/>
        </w:rPr>
        <w:t>年度无相关收入支出情况，按要求空表列示。</w:t>
      </w:r>
      <w:r>
        <w:br w:type="page"/>
      </w:r>
    </w:p>
    <w:tbl>
      <w:tblPr>
        <w:tblStyle w:val="6"/>
        <w:tblW w:w="9915" w:type="dxa"/>
        <w:jc w:val="center"/>
        <w:tblLayout w:type="autofit"/>
        <w:tblCellMar>
          <w:top w:w="0" w:type="dxa"/>
          <w:left w:w="0" w:type="dxa"/>
          <w:bottom w:w="0" w:type="dxa"/>
          <w:right w:w="0" w:type="dxa"/>
        </w:tblCellMar>
      </w:tblPr>
      <w:tblGrid>
        <w:gridCol w:w="1176"/>
        <w:gridCol w:w="67"/>
        <w:gridCol w:w="67"/>
        <w:gridCol w:w="4328"/>
        <w:gridCol w:w="878"/>
        <w:gridCol w:w="1699"/>
        <w:gridCol w:w="170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保定市满城区总工会</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注：</w:t>
      </w:r>
      <w:r>
        <w:rPr>
          <w:rFonts w:hint="eastAsia" w:ascii="宋体" w:hAnsi="宋体" w:cs="宋体"/>
          <w:color w:val="000000"/>
          <w:kern w:val="0"/>
          <w:szCs w:val="21"/>
        </w:rPr>
        <w:t>本部门</w:t>
      </w:r>
      <w:r>
        <w:rPr>
          <w:rFonts w:ascii="宋体" w:hAnsi="宋体" w:cs="宋体"/>
          <w:color w:val="000000"/>
          <w:kern w:val="0"/>
          <w:szCs w:val="21"/>
        </w:rPr>
        <w:t>2019</w:t>
      </w:r>
      <w:r>
        <w:rPr>
          <w:rFonts w:hint="eastAsia" w:ascii="宋体" w:hAnsi="宋体" w:cs="宋体"/>
          <w:color w:val="000000"/>
          <w:kern w:val="0"/>
          <w:szCs w:val="21"/>
        </w:rPr>
        <w:t>年度无相关收入支出情况，按要求空表列示。</w: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VhN2JlMjc0ZjlhYzI2MzMxNDU3ODFhNjE2NDA3YjEifQ=="/>
  </w:docVars>
  <w:rsids>
    <w:rsidRoot w:val="6AAF1C96"/>
    <w:rsid w:val="000471C1"/>
    <w:rsid w:val="00061122"/>
    <w:rsid w:val="0007063E"/>
    <w:rsid w:val="00071ADD"/>
    <w:rsid w:val="00073392"/>
    <w:rsid w:val="00073F4E"/>
    <w:rsid w:val="00086C89"/>
    <w:rsid w:val="000A39FB"/>
    <w:rsid w:val="00117746"/>
    <w:rsid w:val="0013231D"/>
    <w:rsid w:val="00163F95"/>
    <w:rsid w:val="00180A9A"/>
    <w:rsid w:val="001829C0"/>
    <w:rsid w:val="00184809"/>
    <w:rsid w:val="00192112"/>
    <w:rsid w:val="001B0127"/>
    <w:rsid w:val="001C12D5"/>
    <w:rsid w:val="001C69F7"/>
    <w:rsid w:val="001D16D6"/>
    <w:rsid w:val="001E45D3"/>
    <w:rsid w:val="002174D3"/>
    <w:rsid w:val="002650EC"/>
    <w:rsid w:val="002A6C46"/>
    <w:rsid w:val="002C19B5"/>
    <w:rsid w:val="002F7759"/>
    <w:rsid w:val="00353ABD"/>
    <w:rsid w:val="00371224"/>
    <w:rsid w:val="00387CA1"/>
    <w:rsid w:val="003A4EE8"/>
    <w:rsid w:val="003F4DFB"/>
    <w:rsid w:val="00442CC2"/>
    <w:rsid w:val="00446244"/>
    <w:rsid w:val="00473C20"/>
    <w:rsid w:val="004957C0"/>
    <w:rsid w:val="004C0B51"/>
    <w:rsid w:val="004C5ED2"/>
    <w:rsid w:val="004D0355"/>
    <w:rsid w:val="004D61CB"/>
    <w:rsid w:val="004F0369"/>
    <w:rsid w:val="004F35D2"/>
    <w:rsid w:val="005011D6"/>
    <w:rsid w:val="00503F2E"/>
    <w:rsid w:val="00552226"/>
    <w:rsid w:val="00566120"/>
    <w:rsid w:val="00582E6D"/>
    <w:rsid w:val="00587210"/>
    <w:rsid w:val="005954D5"/>
    <w:rsid w:val="005A53FA"/>
    <w:rsid w:val="005D1293"/>
    <w:rsid w:val="005D787E"/>
    <w:rsid w:val="00612028"/>
    <w:rsid w:val="00644D5F"/>
    <w:rsid w:val="006727AD"/>
    <w:rsid w:val="00691425"/>
    <w:rsid w:val="006A516E"/>
    <w:rsid w:val="006B0830"/>
    <w:rsid w:val="006B63D1"/>
    <w:rsid w:val="007037CD"/>
    <w:rsid w:val="00716E2B"/>
    <w:rsid w:val="0072015C"/>
    <w:rsid w:val="007275F1"/>
    <w:rsid w:val="00770F18"/>
    <w:rsid w:val="00773B74"/>
    <w:rsid w:val="0078290C"/>
    <w:rsid w:val="007C06CA"/>
    <w:rsid w:val="008163FB"/>
    <w:rsid w:val="00816EEF"/>
    <w:rsid w:val="0082605B"/>
    <w:rsid w:val="00850B35"/>
    <w:rsid w:val="00851132"/>
    <w:rsid w:val="00855C36"/>
    <w:rsid w:val="00857DBE"/>
    <w:rsid w:val="008701BC"/>
    <w:rsid w:val="00883D92"/>
    <w:rsid w:val="008A5362"/>
    <w:rsid w:val="008F21F1"/>
    <w:rsid w:val="008F221B"/>
    <w:rsid w:val="008F5A2D"/>
    <w:rsid w:val="00921602"/>
    <w:rsid w:val="00923329"/>
    <w:rsid w:val="00937A74"/>
    <w:rsid w:val="00957EA1"/>
    <w:rsid w:val="00966E5B"/>
    <w:rsid w:val="0098194A"/>
    <w:rsid w:val="009B4EF0"/>
    <w:rsid w:val="009D271F"/>
    <w:rsid w:val="009E56F3"/>
    <w:rsid w:val="00A27DE6"/>
    <w:rsid w:val="00A3497F"/>
    <w:rsid w:val="00A4337A"/>
    <w:rsid w:val="00A929C2"/>
    <w:rsid w:val="00AD097F"/>
    <w:rsid w:val="00AF6F13"/>
    <w:rsid w:val="00B844F4"/>
    <w:rsid w:val="00BA06A1"/>
    <w:rsid w:val="00BA770A"/>
    <w:rsid w:val="00BC04ED"/>
    <w:rsid w:val="00BC3118"/>
    <w:rsid w:val="00BE5C0C"/>
    <w:rsid w:val="00BF4D15"/>
    <w:rsid w:val="00C054DE"/>
    <w:rsid w:val="00C679A9"/>
    <w:rsid w:val="00C7541C"/>
    <w:rsid w:val="00CC0FAA"/>
    <w:rsid w:val="00CD0736"/>
    <w:rsid w:val="00D1570F"/>
    <w:rsid w:val="00D32830"/>
    <w:rsid w:val="00D65432"/>
    <w:rsid w:val="00D70AB5"/>
    <w:rsid w:val="00D74310"/>
    <w:rsid w:val="00DB7153"/>
    <w:rsid w:val="00DB7F05"/>
    <w:rsid w:val="00E028C3"/>
    <w:rsid w:val="00E1405D"/>
    <w:rsid w:val="00E14F77"/>
    <w:rsid w:val="00E22B53"/>
    <w:rsid w:val="00E3076B"/>
    <w:rsid w:val="00E36978"/>
    <w:rsid w:val="00E82A1E"/>
    <w:rsid w:val="00EC06F4"/>
    <w:rsid w:val="00EE49BC"/>
    <w:rsid w:val="00EE4E36"/>
    <w:rsid w:val="00F028C0"/>
    <w:rsid w:val="00F665F4"/>
    <w:rsid w:val="00FB1D00"/>
    <w:rsid w:val="00FB7B52"/>
    <w:rsid w:val="00FD225F"/>
    <w:rsid w:val="00FE4EB7"/>
    <w:rsid w:val="19786442"/>
    <w:rsid w:val="23206F06"/>
    <w:rsid w:val="31C2036A"/>
    <w:rsid w:val="320D02A5"/>
    <w:rsid w:val="348E566F"/>
    <w:rsid w:val="3A226944"/>
    <w:rsid w:val="3AEE6A48"/>
    <w:rsid w:val="3C1620AA"/>
    <w:rsid w:val="3D8F080F"/>
    <w:rsid w:val="44CE1FA4"/>
    <w:rsid w:val="487F73ED"/>
    <w:rsid w:val="4A347EAE"/>
    <w:rsid w:val="52600405"/>
    <w:rsid w:val="528200EE"/>
    <w:rsid w:val="529B4319"/>
    <w:rsid w:val="57773DD6"/>
    <w:rsid w:val="578B79AB"/>
    <w:rsid w:val="5CCD3FD5"/>
    <w:rsid w:val="61FA5F9D"/>
    <w:rsid w:val="64CD6910"/>
    <w:rsid w:val="6789158D"/>
    <w:rsid w:val="67D81BA4"/>
    <w:rsid w:val="6AAF1C96"/>
    <w:rsid w:val="75681757"/>
    <w:rsid w:val="75A346A8"/>
    <w:rsid w:val="79B9382C"/>
    <w:rsid w:val="7B043B76"/>
    <w:rsid w:val="7C041A6A"/>
    <w:rsid w:val="7C9579C2"/>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Heading 1 Char"/>
    <w:basedOn w:val="8"/>
    <w:link w:val="2"/>
    <w:qFormat/>
    <w:locked/>
    <w:uiPriority w:val="99"/>
    <w:rPr>
      <w:rFonts w:ascii="等线" w:hAnsi="等线" w:eastAsia="等线" w:cs="Times New Roman"/>
      <w:b/>
      <w:bCs/>
      <w:kern w:val="44"/>
      <w:sz w:val="44"/>
      <w:szCs w:val="44"/>
    </w:rPr>
  </w:style>
  <w:style w:type="character" w:customStyle="1" w:styleId="10">
    <w:name w:val="Body Text Char"/>
    <w:basedOn w:val="8"/>
    <w:link w:val="3"/>
    <w:semiHidden/>
    <w:qFormat/>
    <w:locked/>
    <w:uiPriority w:val="99"/>
    <w:rPr>
      <w:rFonts w:ascii="等线" w:hAnsi="等线" w:eastAsia="等线" w:cs="Times New Roman"/>
    </w:rPr>
  </w:style>
  <w:style w:type="character" w:customStyle="1" w:styleId="11">
    <w:name w:val="Footer Char"/>
    <w:basedOn w:val="8"/>
    <w:link w:val="4"/>
    <w:qFormat/>
    <w:locked/>
    <w:uiPriority w:val="99"/>
    <w:rPr>
      <w:rFonts w:cs="Times New Roman"/>
      <w:sz w:val="18"/>
      <w:szCs w:val="18"/>
    </w:rPr>
  </w:style>
  <w:style w:type="character" w:customStyle="1" w:styleId="12">
    <w:name w:val="Header Char"/>
    <w:basedOn w:val="8"/>
    <w:link w:val="5"/>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NULL"/><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1"/>
    <customShpInfo spid="_x0000_s1032"/>
    <customShpInfo spid="_x0000_s1030"/>
    <customShpInfo spid="_x0000_s1034"/>
    <customShpInfo spid="_x0000_s1035"/>
    <customShpInfo spid="_x0000_s1033"/>
    <customShpInfo spid="_x0000_s1036"/>
    <customShpInfo spid="_x0000_s1037"/>
    <customShpInfo spid="_x0000_s1038"/>
    <customShpInfo spid="_x0000_s1039"/>
    <customShpInfo spid="_x0000_s1041"/>
    <customShpInfo spid="_x0000_s1042"/>
    <customShpInfo spid="_x0000_s1040"/>
    <customShpInfo spid="_x0000_s1044"/>
    <customShpInfo spid="_x0000_s1045"/>
    <customShpInfo spid="_x0000_s1043"/>
    <customShpInfo spid="_x0000_s1047"/>
    <customShpInfo spid="_x0000_s1048"/>
    <customShpInfo spid="_x0000_s1046"/>
    <customShpInfo spid="_x0000_s1049"/>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MS</Company>
  <Pages>26</Pages>
  <Words>6987</Words>
  <Characters>8428</Characters>
  <Lines>0</Lines>
  <Paragraphs>0</Paragraphs>
  <TotalTime>245</TotalTime>
  <ScaleCrop>false</ScaleCrop>
  <LinksUpToDate>false</LinksUpToDate>
  <CharactersWithSpaces>8716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lenovo</cp:lastModifiedBy>
  <cp:lastPrinted>2020-07-30T02:37:00Z</cp:lastPrinted>
  <dcterms:modified xsi:type="dcterms:W3CDTF">2023-11-17T03:05:20Z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D58A1ECB14B748039053BBB1515BCE95_12</vt:lpwstr>
  </property>
</Properties>
</file>