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460" w:lineRule="exact"/>
        <w:jc w:val="center"/>
        <w:rPr>
          <w:rFonts w:hint="eastAsia" w:ascii="宋体" w:hAnsi="宋体" w:eastAsia="宋体" w:cs="宋体"/>
          <w:b/>
          <w:color w:val="000000"/>
          <w:kern w:val="0"/>
          <w:sz w:val="44"/>
          <w:szCs w:val="44"/>
          <w:lang w:val="en-US" w:eastAsia="zh-CN"/>
        </w:rPr>
      </w:pPr>
      <w:r>
        <w:rPr>
          <w:rFonts w:hint="eastAsia" w:ascii="宋体" w:hAnsi="宋体" w:cs="宋体"/>
          <w:b/>
          <w:color w:val="000000"/>
          <w:kern w:val="0"/>
          <w:sz w:val="44"/>
          <w:szCs w:val="44"/>
        </w:rPr>
        <w:t>保定市满城区人民代表大会常务委员会</w:t>
      </w:r>
    </w:p>
    <w:p>
      <w:pPr>
        <w:widowControl/>
        <w:snapToGrid w:val="0"/>
        <w:spacing w:before="100" w:beforeAutospacing="1" w:after="100" w:afterAutospacing="1" w:line="46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2021年</w:t>
      </w:r>
      <w:r>
        <w:rPr>
          <w:rFonts w:hint="eastAsia" w:ascii="宋体" w:hAnsi="宋体" w:cs="宋体"/>
          <w:b/>
          <w:color w:val="000000"/>
          <w:kern w:val="0"/>
          <w:sz w:val="44"/>
          <w:szCs w:val="44"/>
          <w:lang w:eastAsia="zh-CN"/>
        </w:rPr>
        <w:t>本级</w:t>
      </w:r>
      <w:r>
        <w:rPr>
          <w:rFonts w:hint="eastAsia" w:ascii="宋体" w:hAnsi="宋体" w:cs="宋体"/>
          <w:b/>
          <w:color w:val="000000"/>
          <w:kern w:val="0"/>
          <w:sz w:val="44"/>
          <w:szCs w:val="44"/>
        </w:rPr>
        <w:t>预算信息公开</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中华人民共和国预算法</w:t>
      </w:r>
      <w:r>
        <w:rPr>
          <w:rFonts w:hint="eastAsia" w:ascii="宋体" w:hAnsi="宋体" w:cs="仿宋_GB2312"/>
          <w:sz w:val="32"/>
          <w:szCs w:val="32"/>
        </w:rPr>
        <w:t>》、《地方预决算公开操作规程》和《河北省省级预算公开办法》规定，现将保定市满城区人民代表大会常务委员会2021年</w:t>
      </w:r>
      <w:r>
        <w:rPr>
          <w:rFonts w:hint="eastAsia" w:ascii="宋体" w:hAnsi="宋体" w:cs="仿宋_GB2312"/>
          <w:sz w:val="32"/>
          <w:szCs w:val="32"/>
          <w:lang w:eastAsia="zh-CN"/>
        </w:rPr>
        <w:t>本级</w:t>
      </w:r>
      <w:r>
        <w:rPr>
          <w:rFonts w:hint="eastAsia" w:ascii="宋体" w:hAnsi="宋体" w:cs="仿宋_GB2312"/>
          <w:sz w:val="32"/>
          <w:szCs w:val="32"/>
        </w:rPr>
        <w:t>预算公开如下：</w:t>
      </w:r>
    </w:p>
    <w:p>
      <w:pPr>
        <w:spacing w:line="520" w:lineRule="exact"/>
        <w:ind w:firstLine="640" w:firstLineChars="200"/>
        <w:jc w:val="center"/>
        <w:rPr>
          <w:rFonts w:hint="eastAsia" w:ascii="宋体" w:hAnsi="宋体"/>
          <w:sz w:val="32"/>
          <w:szCs w:val="32"/>
        </w:rPr>
      </w:pPr>
    </w:p>
    <w:p>
      <w:pPr>
        <w:spacing w:line="520" w:lineRule="exact"/>
        <w:ind w:firstLine="640" w:firstLineChars="200"/>
        <w:jc w:val="center"/>
        <w:rPr>
          <w:rFonts w:hint="eastAsia" w:ascii="黑体" w:hAnsi="黑体" w:eastAsia="黑体" w:cs="宋体"/>
          <w:color w:val="000000"/>
          <w:kern w:val="0"/>
          <w:sz w:val="30"/>
          <w:szCs w:val="30"/>
        </w:rPr>
      </w:pPr>
      <w:r>
        <w:rPr>
          <w:rFonts w:hint="eastAsia" w:ascii="黑体" w:hAnsi="黑体" w:eastAsia="黑体"/>
          <w:sz w:val="32"/>
          <w:szCs w:val="32"/>
        </w:rPr>
        <w:t>第一部分:单位职责及机构设置情况</w:t>
      </w:r>
    </w:p>
    <w:p>
      <w:pPr>
        <w:pStyle w:val="13"/>
        <w:rPr>
          <w:rFonts w:hint="eastAsia" w:ascii="宋体" w:hAnsi="宋体" w:eastAsia="宋体" w:cs="方正黑体."/>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 xml:space="preserve">一、单位职责 </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保定市满城区人民代表大会常务委员会机关原设科级综合办事机构3个：办公室、法制室、代表工作室，2015年10月增设财经工作室。</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（一）办公室的主要职责：</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1、承担区人民代表大会和常务委员会及其它人大工作会议的筹备、会务工作；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2、负责人大常委会经济监督方面的具体工作，重点是对国民经济计划、财政预算草案、重大经济事项活动方案制定情况的审查和相关决议的落实督办工作。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3、负责联系政府的经济执法部门，搞好工作协调配合。</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4、负责有关文件、领导讲话的起草、审核、文书处理、档案管理、印章管理和保密工作；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5、负责常委会会议、主任会议、党组会议决定事项，重要文件及领导批示的传达和督办；</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6、负责人事任免的有关事宜；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7、负责组织对代表大会、常委会会议及人大工作进行宣传报道和信息工作；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8、承担常委会领导同志日常外事活动的具体事务，负责对外接待；</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9、负责机关的财务、车辆、卫生、机关值班、安全保卫等行政后勤事务及离退休干部的服务工作；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10、负责区人大同全国、省、市人大和外县（市）人大联系事宜；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11、负责机关的党群工作和社会活动事宜；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12、负责</w:t>
      </w:r>
      <w:r>
        <w:rPr>
          <w:rFonts w:hint="eastAsia" w:ascii="宋体" w:hAnsi="宋体" w:cs="仿宋_GB2312"/>
          <w:sz w:val="32"/>
          <w:szCs w:val="32"/>
          <w:lang w:eastAsia="zh-CN"/>
        </w:rPr>
        <w:t>人大常委会机关</w:t>
      </w:r>
      <w:r>
        <w:rPr>
          <w:rFonts w:hint="eastAsia" w:ascii="宋体" w:hAnsi="宋体" w:cs="仿宋_GB2312"/>
          <w:sz w:val="32"/>
          <w:szCs w:val="32"/>
        </w:rPr>
        <w:t>工作的部署、协调、落实工作；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13、承办领导交办的其它事项。</w:t>
      </w:r>
    </w:p>
    <w:p>
      <w:pPr>
        <w:spacing w:line="520" w:lineRule="exact"/>
        <w:ind w:firstLine="320" w:firstLineChars="100"/>
        <w:jc w:val="left"/>
        <w:rPr>
          <w:rFonts w:hint="eastAsia" w:ascii="宋体" w:hAnsi="宋体" w:cs="仿宋_GB2312"/>
          <w:sz w:val="32"/>
          <w:szCs w:val="32"/>
        </w:rPr>
      </w:pPr>
      <w:r>
        <w:rPr>
          <w:rFonts w:hint="eastAsia" w:ascii="宋体" w:hAnsi="宋体" w:cs="仿宋_GB2312"/>
          <w:sz w:val="32"/>
          <w:szCs w:val="32"/>
        </w:rPr>
        <w:t>（二）法制室的主要职责：</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1、根据常委会工作部署，及时调查了解有关国家、省法律、法规的贯彻执行情况；</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2、围绕常委会有关议题，联系政府有关部门，听取汇报、调查研究，起草调查报告，拟定审议意见或决议决定；</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3、对上级人大法律、法规草案，组织有关人员，召开征求意见座谈会，并按时间要求，整理汇总上报；</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4、对一府两院的规章和规范性文件及乡镇人大的决议决定做好备案、审查和处理意见的起草工作；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5、承担常委会的执法检查，视察等活动的组织工作；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6、负责对普法工作进行督促检查；</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7、负责对“一府两院”实施“两错”责任追究制工作进行监督检查；</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8、负责人大常委会与法院、检察院及政府、民政、人事劳动和社会保障等社会事业行政管理部门的工作联系；</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9、负责接待来信来访，向常委会领导报告来信来访中或到基层调查了解到的重要问题和提出的重要建议；</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10、负责对有关法律法规的解释、询问和答复工作；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11、负责</w:t>
      </w:r>
      <w:r>
        <w:rPr>
          <w:rFonts w:hint="eastAsia" w:ascii="宋体" w:hAnsi="宋体" w:cs="仿宋_GB2312"/>
          <w:sz w:val="32"/>
          <w:szCs w:val="32"/>
          <w:lang w:eastAsia="zh-CN"/>
        </w:rPr>
        <w:t>人大常委会机关</w:t>
      </w:r>
      <w:r>
        <w:rPr>
          <w:rFonts w:hint="eastAsia" w:ascii="宋体" w:hAnsi="宋体" w:cs="仿宋_GB2312"/>
          <w:sz w:val="32"/>
          <w:szCs w:val="32"/>
        </w:rPr>
        <w:t>的法律学习指导工作；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12、完成领导交办的其他工作。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（三）代表工作室的主要职责：</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1、负责协助上级人大，搞好本级人大、指导乡镇人大的代表联络工作，收集人大代表议案，批评意见和建议；组织安排代表视察、检查、调查等活动，为代表履行职责提供服务；</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2、做好代表议案批评意见和建议的督办及情况报告的起草工作；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3、总结和宣传代表的先进事迹，推广代表工作的先进经验；</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4、负责办理代表资格审查委员会的有关工作；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5、负责代表的业务培训，为代表履行职责提供法律咨询，做好代表报刊发行工作，为代表学习提供方便；</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6、指导乡镇人大开展工作；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7、负责与政府的农业、科技及文化、教育、卫生等行政执法部门的工作联系。</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8、完成领导交办的其他工作。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（四）财经工作室的主要职责：</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 xml:space="preserve"> 1、根据区人大常委会的决议、决定和主任会议的工作部署进行调查研究，并负责向人大常委会和主任会议提供情况和资料；</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2、 调查研究区政府对有关财经、农经方面的法律、法规的贯彻执行情况，并负责向人大常委会或主任会议提出报告和建议；</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3、调研全区财经、农经方面的重大事项，并负责向人大常委会或主任会议汇报；</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4、督促和协调有关部门做好财经、农经方面的法律、法规的宣传和贯彻实施、承办上级人大常委会交办的有关财经、农经方面的法律、法规修改意见的征求工作；</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5、组织开展有关的视察、执法检查活动，负责起草与财经、农经工作有关的文件、讲话、计划、总结等材料；</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6、负责为人大常委会领导提供有关财经、农经工作方面的信息和情况；</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7、承办人大常委会及主任会议交办的其他事项。</w:t>
      </w:r>
    </w:p>
    <w:p>
      <w:pPr>
        <w:spacing w:line="520" w:lineRule="exact"/>
        <w:ind w:firstLine="640" w:firstLineChars="200"/>
        <w:rPr>
          <w:rFonts w:hint="eastAsia" w:ascii="宋体" w:hAnsi="宋体"/>
          <w:sz w:val="32"/>
          <w:szCs w:val="32"/>
        </w:rPr>
      </w:pPr>
      <w:r>
        <w:rPr>
          <w:rFonts w:hint="eastAsia" w:ascii="宋体" w:hAnsi="宋体"/>
          <w:sz w:val="32"/>
          <w:szCs w:val="32"/>
        </w:rPr>
        <w:t>二、机构设置</w:t>
      </w:r>
    </w:p>
    <w:tbl>
      <w:tblPr>
        <w:tblStyle w:val="7"/>
        <w:tblW w:w="0" w:type="auto"/>
        <w:tblInd w:w="93" w:type="dxa"/>
        <w:tblLayout w:type="fixed"/>
        <w:tblCellMar>
          <w:top w:w="0" w:type="dxa"/>
          <w:left w:w="108" w:type="dxa"/>
          <w:bottom w:w="0" w:type="dxa"/>
          <w:right w:w="108" w:type="dxa"/>
        </w:tblCellMar>
      </w:tblPr>
      <w:tblGrid>
        <w:gridCol w:w="713"/>
        <w:gridCol w:w="3435"/>
        <w:gridCol w:w="1372"/>
        <w:gridCol w:w="1763"/>
        <w:gridCol w:w="2220"/>
      </w:tblGrid>
      <w:tr>
        <w:tblPrEx>
          <w:tblCellMar>
            <w:top w:w="0" w:type="dxa"/>
            <w:left w:w="108" w:type="dxa"/>
            <w:bottom w:w="0" w:type="dxa"/>
            <w:right w:w="108" w:type="dxa"/>
          </w:tblCellMar>
        </w:tblPrEx>
        <w:trPr>
          <w:wBefore w:w="0" w:type="dxa"/>
          <w:wAfter w:w="0" w:type="dxa"/>
          <w:trHeight w:val="810" w:hRule="atLeast"/>
        </w:trPr>
        <w:tc>
          <w:tcPr>
            <w:tcW w:w="9503" w:type="dxa"/>
            <w:gridSpan w:val="5"/>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2"/>
                <w:szCs w:val="32"/>
              </w:rPr>
            </w:pPr>
          </w:p>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单位机构设置情况</w:t>
            </w:r>
          </w:p>
        </w:tc>
      </w:tr>
      <w:tr>
        <w:tblPrEx>
          <w:tblCellMar>
            <w:top w:w="0" w:type="dxa"/>
            <w:left w:w="108" w:type="dxa"/>
            <w:bottom w:w="0" w:type="dxa"/>
            <w:right w:w="108" w:type="dxa"/>
          </w:tblCellMar>
        </w:tblPrEx>
        <w:trPr>
          <w:wBefore w:w="0" w:type="dxa"/>
          <w:wAfter w:w="0" w:type="dxa"/>
          <w:trHeight w:val="720" w:hRule="atLeast"/>
        </w:trPr>
        <w:tc>
          <w:tcPr>
            <w:tcW w:w="71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序号</w:t>
            </w:r>
          </w:p>
        </w:tc>
        <w:tc>
          <w:tcPr>
            <w:tcW w:w="343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单位名称</w:t>
            </w:r>
          </w:p>
        </w:tc>
        <w:tc>
          <w:tcPr>
            <w:tcW w:w="137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单位性质</w:t>
            </w:r>
          </w:p>
        </w:tc>
        <w:tc>
          <w:tcPr>
            <w:tcW w:w="176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单位规格</w:t>
            </w:r>
          </w:p>
        </w:tc>
        <w:tc>
          <w:tcPr>
            <w:tcW w:w="2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经费保障形式</w:t>
            </w:r>
          </w:p>
        </w:tc>
      </w:tr>
      <w:tr>
        <w:tblPrEx>
          <w:tblCellMar>
            <w:top w:w="0" w:type="dxa"/>
            <w:left w:w="108" w:type="dxa"/>
            <w:bottom w:w="0" w:type="dxa"/>
            <w:right w:w="108" w:type="dxa"/>
          </w:tblCellMar>
        </w:tblPrEx>
        <w:trPr>
          <w:wBefore w:w="0" w:type="dxa"/>
          <w:wAfter w:w="0" w:type="dxa"/>
          <w:trHeight w:val="624" w:hRule="atLeast"/>
        </w:trPr>
        <w:tc>
          <w:tcPr>
            <w:tcW w:w="7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2"/>
                <w:szCs w:val="32"/>
              </w:rPr>
            </w:pPr>
          </w:p>
        </w:tc>
        <w:tc>
          <w:tcPr>
            <w:tcW w:w="34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2"/>
                <w:szCs w:val="32"/>
              </w:rPr>
            </w:pPr>
          </w:p>
        </w:tc>
        <w:tc>
          <w:tcPr>
            <w:tcW w:w="137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2"/>
                <w:szCs w:val="32"/>
              </w:rPr>
            </w:pPr>
          </w:p>
        </w:tc>
        <w:tc>
          <w:tcPr>
            <w:tcW w:w="17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2"/>
                <w:szCs w:val="32"/>
              </w:rPr>
            </w:pPr>
          </w:p>
        </w:tc>
        <w:tc>
          <w:tcPr>
            <w:tcW w:w="2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32"/>
                <w:szCs w:val="32"/>
              </w:rPr>
            </w:pPr>
          </w:p>
        </w:tc>
      </w:tr>
      <w:tr>
        <w:tblPrEx>
          <w:tblCellMar>
            <w:top w:w="0" w:type="dxa"/>
            <w:left w:w="108" w:type="dxa"/>
            <w:bottom w:w="0" w:type="dxa"/>
            <w:right w:w="108" w:type="dxa"/>
          </w:tblCellMar>
        </w:tblPrEx>
        <w:trPr>
          <w:wBefore w:w="0" w:type="dxa"/>
          <w:wAfter w:w="0" w:type="dxa"/>
          <w:trHeight w:val="720" w:hRule="atLeast"/>
        </w:trPr>
        <w:tc>
          <w:tcPr>
            <w:tcW w:w="7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1</w:t>
            </w:r>
          </w:p>
        </w:tc>
        <w:tc>
          <w:tcPr>
            <w:tcW w:w="343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保定市满城区人民代表大会常务委员会</w:t>
            </w:r>
          </w:p>
        </w:tc>
        <w:tc>
          <w:tcPr>
            <w:tcW w:w="137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行政</w:t>
            </w:r>
          </w:p>
        </w:tc>
        <w:tc>
          <w:tcPr>
            <w:tcW w:w="1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正处级</w:t>
            </w:r>
          </w:p>
        </w:tc>
        <w:tc>
          <w:tcPr>
            <w:tcW w:w="22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wBefore w:w="0" w:type="dxa"/>
          <w:wAfter w:w="0" w:type="dxa"/>
          <w:trHeight w:val="720" w:hRule="atLeast"/>
        </w:trPr>
        <w:tc>
          <w:tcPr>
            <w:tcW w:w="7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2</w:t>
            </w:r>
          </w:p>
        </w:tc>
        <w:tc>
          <w:tcPr>
            <w:tcW w:w="34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32"/>
                <w:szCs w:val="32"/>
                <w:lang w:eastAsia="zh-CN"/>
              </w:rPr>
            </w:pPr>
            <w:r>
              <w:rPr>
                <w:rFonts w:hint="eastAsia" w:ascii="宋体" w:hAnsi="宋体" w:cs="宋体"/>
                <w:color w:val="000000"/>
                <w:kern w:val="0"/>
                <w:sz w:val="32"/>
                <w:szCs w:val="32"/>
              </w:rPr>
              <w:t>保定市满城区</w:t>
            </w:r>
            <w:r>
              <w:rPr>
                <w:rFonts w:hint="eastAsia" w:ascii="宋体" w:hAnsi="宋体" w:cs="宋体"/>
                <w:color w:val="000000"/>
                <w:kern w:val="0"/>
                <w:sz w:val="32"/>
                <w:szCs w:val="32"/>
                <w:lang w:eastAsia="zh-CN"/>
              </w:rPr>
              <w:t>人大常委会机关</w:t>
            </w:r>
          </w:p>
        </w:tc>
        <w:tc>
          <w:tcPr>
            <w:tcW w:w="137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行政</w:t>
            </w:r>
          </w:p>
        </w:tc>
        <w:tc>
          <w:tcPr>
            <w:tcW w:w="176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正科级</w:t>
            </w:r>
          </w:p>
        </w:tc>
        <w:tc>
          <w:tcPr>
            <w:tcW w:w="22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color w:val="000000"/>
                <w:kern w:val="0"/>
                <w:sz w:val="32"/>
                <w:szCs w:val="32"/>
              </w:rPr>
              <w:t>财政拨款</w:t>
            </w:r>
          </w:p>
        </w:tc>
      </w:tr>
    </w:tbl>
    <w:p>
      <w:pPr>
        <w:autoSpaceDE w:val="0"/>
        <w:autoSpaceDN w:val="0"/>
        <w:adjustRightInd w:val="0"/>
        <w:ind w:firstLine="640"/>
        <w:jc w:val="left"/>
        <w:rPr>
          <w:rFonts w:hint="eastAsia" w:ascii="宋体" w:hAnsi="宋体" w:cs="方正仿宋.é.."/>
          <w:color w:val="000000"/>
          <w:kern w:val="0"/>
          <w:sz w:val="32"/>
          <w:szCs w:val="32"/>
        </w:rPr>
      </w:pPr>
      <w:r>
        <w:rPr>
          <w:rFonts w:hint="eastAsia" w:ascii="宋体" w:hAnsi="宋体" w:cs="方正仿宋."/>
          <w:sz w:val="28"/>
          <w:szCs w:val="28"/>
        </w:rPr>
        <w:t xml:space="preserve"> </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第二部分：单位预算安排的总体情况</w:t>
      </w:r>
    </w:p>
    <w:p>
      <w:pPr>
        <w:spacing w:line="520" w:lineRule="exact"/>
        <w:ind w:firstLine="640" w:firstLineChars="200"/>
        <w:rPr>
          <w:rFonts w:hint="eastAsia" w:ascii="宋体" w:hAnsi="宋体"/>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1、收入说明</w:t>
      </w:r>
    </w:p>
    <w:p>
      <w:pPr>
        <w:spacing w:line="520" w:lineRule="exact"/>
        <w:ind w:firstLine="640" w:firstLineChars="200"/>
        <w:rPr>
          <w:rFonts w:hint="eastAsia" w:ascii="宋体" w:hAnsi="宋体"/>
          <w:sz w:val="32"/>
          <w:szCs w:val="32"/>
        </w:rPr>
      </w:pPr>
      <w:r>
        <w:rPr>
          <w:rFonts w:hint="eastAsia" w:ascii="宋体" w:hAnsi="宋体"/>
          <w:sz w:val="32"/>
          <w:szCs w:val="32"/>
        </w:rPr>
        <w:t>2021年单位收入预算总额为413.83万元。其中：一般公共预算财政拨款收入413.83万元。</w:t>
      </w:r>
    </w:p>
    <w:p>
      <w:pPr>
        <w:spacing w:line="520" w:lineRule="exact"/>
        <w:ind w:firstLine="640" w:firstLineChars="200"/>
        <w:rPr>
          <w:rFonts w:hint="eastAsia" w:ascii="宋体" w:hAnsi="宋体"/>
          <w:sz w:val="32"/>
          <w:szCs w:val="32"/>
        </w:rPr>
      </w:pPr>
      <w:r>
        <w:rPr>
          <w:rFonts w:hint="eastAsia" w:ascii="宋体" w:hAnsi="宋体"/>
          <w:sz w:val="32"/>
          <w:szCs w:val="32"/>
        </w:rPr>
        <w:t>2、支出说明</w:t>
      </w:r>
    </w:p>
    <w:p>
      <w:pPr>
        <w:spacing w:line="520" w:lineRule="exact"/>
        <w:ind w:firstLine="640" w:firstLineChars="200"/>
        <w:rPr>
          <w:rFonts w:hint="eastAsia" w:ascii="宋体" w:hAnsi="宋体"/>
          <w:sz w:val="32"/>
          <w:szCs w:val="32"/>
        </w:rPr>
      </w:pPr>
      <w:r>
        <w:rPr>
          <w:rFonts w:hint="eastAsia" w:ascii="宋体" w:hAnsi="宋体"/>
          <w:sz w:val="32"/>
          <w:szCs w:val="32"/>
        </w:rPr>
        <w:t>2021年单位支出安排预算总额413.83万元。</w:t>
      </w:r>
    </w:p>
    <w:p>
      <w:pPr>
        <w:spacing w:line="520" w:lineRule="exact"/>
        <w:ind w:firstLine="640" w:firstLineChars="200"/>
        <w:rPr>
          <w:rFonts w:hint="eastAsia" w:ascii="宋体" w:hAnsi="宋体"/>
          <w:sz w:val="32"/>
          <w:szCs w:val="32"/>
        </w:rPr>
      </w:pPr>
      <w:r>
        <w:rPr>
          <w:rFonts w:hint="eastAsia" w:ascii="宋体" w:hAnsi="宋体"/>
          <w:sz w:val="32"/>
          <w:szCs w:val="32"/>
        </w:rPr>
        <w:t>基本支出 326.97万元</w:t>
      </w:r>
    </w:p>
    <w:p>
      <w:pPr>
        <w:spacing w:line="520" w:lineRule="exact"/>
        <w:ind w:firstLine="640" w:firstLineChars="200"/>
        <w:rPr>
          <w:rFonts w:hint="eastAsia" w:ascii="宋体" w:hAnsi="宋体"/>
          <w:sz w:val="32"/>
          <w:szCs w:val="32"/>
        </w:rPr>
      </w:pPr>
      <w:r>
        <w:rPr>
          <w:rFonts w:hint="eastAsia" w:ascii="宋体" w:hAnsi="宋体"/>
          <w:sz w:val="32"/>
          <w:szCs w:val="32"/>
        </w:rPr>
        <w:t xml:space="preserve">   其中：人员经费284.28万元</w:t>
      </w:r>
    </w:p>
    <w:p>
      <w:pPr>
        <w:spacing w:line="520" w:lineRule="exact"/>
        <w:ind w:firstLine="640" w:firstLineChars="200"/>
        <w:rPr>
          <w:rFonts w:hint="eastAsia" w:ascii="宋体" w:hAnsi="宋体"/>
          <w:sz w:val="32"/>
          <w:szCs w:val="32"/>
        </w:rPr>
      </w:pPr>
      <w:r>
        <w:rPr>
          <w:rFonts w:hint="eastAsia" w:ascii="宋体" w:hAnsi="宋体"/>
          <w:sz w:val="32"/>
          <w:szCs w:val="32"/>
        </w:rPr>
        <w:t xml:space="preserve">         日常公用经费 42.69万元</w:t>
      </w:r>
    </w:p>
    <w:p>
      <w:pPr>
        <w:spacing w:line="520" w:lineRule="exact"/>
        <w:ind w:firstLine="640" w:firstLineChars="200"/>
        <w:rPr>
          <w:rFonts w:hint="eastAsia" w:ascii="宋体" w:hAnsi="宋体"/>
          <w:sz w:val="32"/>
          <w:szCs w:val="32"/>
        </w:rPr>
      </w:pPr>
      <w:r>
        <w:rPr>
          <w:rFonts w:hint="eastAsia" w:ascii="宋体" w:hAnsi="宋体"/>
          <w:sz w:val="32"/>
          <w:szCs w:val="32"/>
        </w:rPr>
        <w:t>项目支出 86.86万元</w:t>
      </w:r>
    </w:p>
    <w:p>
      <w:pPr>
        <w:tabs>
          <w:tab w:val="left" w:pos="916"/>
        </w:tabs>
        <w:spacing w:line="560" w:lineRule="exact"/>
        <w:ind w:firstLine="640" w:firstLineChars="200"/>
        <w:jc w:val="left"/>
        <w:rPr>
          <w:rFonts w:hint="eastAsia" w:ascii="宋体" w:hAnsi="宋体"/>
          <w:sz w:val="32"/>
          <w:szCs w:val="32"/>
        </w:rPr>
      </w:pPr>
      <w:r>
        <w:rPr>
          <w:rFonts w:hint="eastAsia" w:ascii="宋体" w:hAnsi="宋体"/>
          <w:sz w:val="32"/>
          <w:szCs w:val="32"/>
        </w:rPr>
        <w:t>3、比上年增减情况</w:t>
      </w:r>
    </w:p>
    <w:p>
      <w:pPr>
        <w:tabs>
          <w:tab w:val="left" w:pos="916"/>
        </w:tabs>
        <w:spacing w:line="560" w:lineRule="exact"/>
        <w:ind w:firstLine="640"/>
        <w:jc w:val="left"/>
        <w:rPr>
          <w:rFonts w:hint="eastAsia" w:ascii="宋体" w:hAnsi="宋体"/>
          <w:sz w:val="32"/>
          <w:szCs w:val="32"/>
        </w:rPr>
      </w:pPr>
      <w:r>
        <w:rPr>
          <w:rFonts w:hint="eastAsia" w:ascii="宋体" w:hAnsi="宋体"/>
          <w:sz w:val="32"/>
          <w:szCs w:val="32"/>
        </w:rPr>
        <w:t>本年度预算收支安排413.83万元，较上年增加87.03万元。其中:基本支出增加35.41万元，主要增加人员经费支出。项目支出增加51.62万元，主要增加会议费、《人大志》编辑经费支出。</w:t>
      </w:r>
    </w:p>
    <w:p>
      <w:pPr>
        <w:spacing w:line="520" w:lineRule="exact"/>
        <w:outlineLvl w:val="0"/>
        <w:rPr>
          <w:rFonts w:hint="eastAsia" w:ascii="宋体" w:hAnsi="宋体"/>
          <w:sz w:val="32"/>
          <w:szCs w:val="32"/>
        </w:rPr>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宋体" w:hAnsi="宋体"/>
          <w:sz w:val="32"/>
          <w:szCs w:val="32"/>
        </w:rPr>
      </w:pPr>
    </w:p>
    <w:p>
      <w:pPr>
        <w:spacing w:line="520" w:lineRule="exact"/>
        <w:ind w:firstLine="640" w:firstLineChars="200"/>
        <w:jc w:val="left"/>
        <w:outlineLvl w:val="0"/>
        <w:rPr>
          <w:rFonts w:hint="eastAsia" w:ascii="宋体" w:hAnsi="宋体"/>
          <w:sz w:val="32"/>
          <w:szCs w:val="32"/>
        </w:rPr>
      </w:pPr>
      <w:r>
        <w:rPr>
          <w:rFonts w:hint="eastAsia" w:ascii="宋体" w:hAnsi="宋体"/>
          <w:sz w:val="32"/>
          <w:szCs w:val="32"/>
        </w:rPr>
        <w:t>机关运行经费安排42.69万元，其中办公费3万元，邮电费11.22万元，公务用车运行维护费10.00万元，公务接待费0.84万元，其他支出0.63万元，公务员交通补贴14.75万元，福利费2.25万元。</w:t>
      </w:r>
    </w:p>
    <w:p>
      <w:pPr>
        <w:spacing w:line="520" w:lineRule="exact"/>
        <w:jc w:val="center"/>
        <w:outlineLvl w:val="0"/>
        <w:rPr>
          <w:rFonts w:hint="eastAsia" w:ascii="宋体" w:hAnsi="宋体"/>
          <w:sz w:val="32"/>
          <w:szCs w:val="32"/>
        </w:rPr>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宋体" w:hAnsi="宋体"/>
          <w:sz w:val="32"/>
          <w:szCs w:val="32"/>
        </w:rPr>
      </w:pPr>
    </w:p>
    <w:tbl>
      <w:tblPr>
        <w:tblStyle w:val="7"/>
        <w:tblW w:w="9820" w:type="dxa"/>
        <w:tblInd w:w="0" w:type="dxa"/>
        <w:tblLayout w:type="fixed"/>
        <w:tblCellMar>
          <w:top w:w="0" w:type="dxa"/>
          <w:left w:w="108" w:type="dxa"/>
          <w:bottom w:w="0" w:type="dxa"/>
          <w:right w:w="108" w:type="dxa"/>
        </w:tblCellMar>
      </w:tblPr>
      <w:tblGrid>
        <w:gridCol w:w="2128"/>
        <w:gridCol w:w="1710"/>
        <w:gridCol w:w="1710"/>
        <w:gridCol w:w="1172"/>
        <w:gridCol w:w="3100"/>
      </w:tblGrid>
      <w:tr>
        <w:tblPrEx>
          <w:tblCellMar>
            <w:top w:w="0" w:type="dxa"/>
            <w:left w:w="108" w:type="dxa"/>
            <w:bottom w:w="0" w:type="dxa"/>
            <w:right w:w="108" w:type="dxa"/>
          </w:tblCellMar>
        </w:tblPrEx>
        <w:trPr>
          <w:wBefore w:w="0" w:type="auto"/>
          <w:wAfter w:w="0" w:type="auto"/>
          <w:trHeight w:val="549" w:hRule="atLeast"/>
        </w:trPr>
        <w:tc>
          <w:tcPr>
            <w:tcW w:w="9820" w:type="dxa"/>
            <w:gridSpan w:val="5"/>
            <w:tcBorders>
              <w:top w:val="nil"/>
              <w:left w:val="nil"/>
              <w:bottom w:val="nil"/>
              <w:right w:val="nil"/>
            </w:tcBorders>
            <w:noWrap w:val="0"/>
            <w:vAlign w:val="center"/>
          </w:tcPr>
          <w:p>
            <w:pPr>
              <w:widowControl/>
              <w:spacing w:line="520" w:lineRule="exact"/>
              <w:jc w:val="center"/>
              <w:rPr>
                <w:rFonts w:ascii="宋体" w:hAnsi="宋体" w:cs="宋体"/>
                <w:kern w:val="0"/>
                <w:sz w:val="32"/>
                <w:szCs w:val="32"/>
              </w:rPr>
            </w:pPr>
            <w:r>
              <w:rPr>
                <w:rFonts w:hint="eastAsia" w:ascii="宋体" w:hAnsi="宋体"/>
                <w:sz w:val="32"/>
                <w:szCs w:val="32"/>
              </w:rPr>
              <w:t>“三公”经费预算情况及增减变化原因</w:t>
            </w:r>
          </w:p>
        </w:tc>
      </w:tr>
      <w:tr>
        <w:tblPrEx>
          <w:tblCellMar>
            <w:top w:w="0" w:type="dxa"/>
            <w:left w:w="108" w:type="dxa"/>
            <w:bottom w:w="0" w:type="dxa"/>
            <w:right w:w="108" w:type="dxa"/>
          </w:tblCellMar>
        </w:tblPrEx>
        <w:trPr>
          <w:wBefore w:w="0" w:type="auto"/>
          <w:wAfter w:w="0" w:type="auto"/>
          <w:trHeight w:val="329" w:hRule="atLeast"/>
        </w:trPr>
        <w:tc>
          <w:tcPr>
            <w:tcW w:w="2128" w:type="dxa"/>
            <w:tcBorders>
              <w:top w:val="nil"/>
              <w:left w:val="nil"/>
              <w:bottom w:val="nil"/>
              <w:right w:val="nil"/>
            </w:tcBorders>
            <w:noWrap w:val="0"/>
            <w:vAlign w:val="center"/>
          </w:tcPr>
          <w:p>
            <w:pPr>
              <w:widowControl/>
              <w:jc w:val="left"/>
              <w:rPr>
                <w:rFonts w:hint="eastAsia" w:ascii="宋体" w:hAnsi="宋体" w:cs="仿宋_GB2312"/>
                <w:kern w:val="0"/>
                <w:sz w:val="24"/>
              </w:rPr>
            </w:pPr>
          </w:p>
        </w:tc>
        <w:tc>
          <w:tcPr>
            <w:tcW w:w="1710" w:type="dxa"/>
            <w:tcBorders>
              <w:top w:val="nil"/>
              <w:left w:val="nil"/>
              <w:bottom w:val="nil"/>
              <w:right w:val="nil"/>
            </w:tcBorders>
            <w:noWrap w:val="0"/>
            <w:vAlign w:val="center"/>
          </w:tcPr>
          <w:p>
            <w:pPr>
              <w:widowControl/>
              <w:jc w:val="left"/>
              <w:rPr>
                <w:rFonts w:hint="eastAsia" w:ascii="宋体" w:hAnsi="宋体" w:cs="仿宋_GB2312"/>
                <w:kern w:val="0"/>
                <w:sz w:val="24"/>
              </w:rPr>
            </w:pPr>
          </w:p>
        </w:tc>
        <w:tc>
          <w:tcPr>
            <w:tcW w:w="1710" w:type="dxa"/>
            <w:tcBorders>
              <w:top w:val="nil"/>
              <w:left w:val="nil"/>
              <w:bottom w:val="nil"/>
              <w:right w:val="nil"/>
            </w:tcBorders>
            <w:noWrap w:val="0"/>
            <w:vAlign w:val="center"/>
          </w:tcPr>
          <w:p>
            <w:pPr>
              <w:widowControl/>
              <w:jc w:val="left"/>
              <w:rPr>
                <w:rFonts w:hint="eastAsia" w:ascii="宋体" w:hAnsi="宋体" w:cs="仿宋_GB2312"/>
                <w:kern w:val="0"/>
                <w:sz w:val="24"/>
              </w:rPr>
            </w:pPr>
          </w:p>
        </w:tc>
        <w:tc>
          <w:tcPr>
            <w:tcW w:w="1172" w:type="dxa"/>
            <w:tcBorders>
              <w:top w:val="nil"/>
              <w:left w:val="nil"/>
              <w:bottom w:val="nil"/>
              <w:right w:val="nil"/>
            </w:tcBorders>
            <w:noWrap w:val="0"/>
            <w:vAlign w:val="center"/>
          </w:tcPr>
          <w:p>
            <w:pPr>
              <w:widowControl/>
              <w:jc w:val="left"/>
              <w:rPr>
                <w:rFonts w:hint="eastAsia" w:ascii="宋体" w:hAnsi="宋体" w:cs="仿宋_GB2312"/>
                <w:kern w:val="0"/>
                <w:sz w:val="24"/>
              </w:rPr>
            </w:pPr>
          </w:p>
        </w:tc>
        <w:tc>
          <w:tcPr>
            <w:tcW w:w="3100" w:type="dxa"/>
            <w:tcBorders>
              <w:top w:val="nil"/>
              <w:left w:val="nil"/>
              <w:bottom w:val="nil"/>
              <w:right w:val="nil"/>
            </w:tcBorders>
            <w:noWrap w:val="0"/>
            <w:vAlign w:val="center"/>
          </w:tcPr>
          <w:p>
            <w:pPr>
              <w:widowControl/>
              <w:jc w:val="right"/>
              <w:rPr>
                <w:rFonts w:hint="eastAsia" w:ascii="宋体" w:hAnsi="宋体" w:cs="仿宋_GB2312"/>
                <w:kern w:val="0"/>
                <w:sz w:val="24"/>
              </w:rPr>
            </w:pPr>
            <w:r>
              <w:rPr>
                <w:rFonts w:hint="eastAsia" w:ascii="宋体" w:hAnsi="宋体" w:cs="仿宋_GB2312"/>
                <w:kern w:val="0"/>
                <w:sz w:val="24"/>
              </w:rPr>
              <w:t>单位：万元</w:t>
            </w:r>
          </w:p>
        </w:tc>
      </w:tr>
      <w:tr>
        <w:tblPrEx>
          <w:tblCellMar>
            <w:top w:w="0" w:type="dxa"/>
            <w:left w:w="108" w:type="dxa"/>
            <w:bottom w:w="0" w:type="dxa"/>
            <w:right w:w="108" w:type="dxa"/>
          </w:tblCellMar>
        </w:tblPrEx>
        <w:trPr>
          <w:wBefore w:w="0" w:type="auto"/>
          <w:wAfter w:w="0" w:type="auto"/>
          <w:trHeight w:val="669" w:hRule="atLeast"/>
        </w:trPr>
        <w:tc>
          <w:tcPr>
            <w:tcW w:w="2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项目名称</w:t>
            </w:r>
          </w:p>
        </w:tc>
        <w:tc>
          <w:tcPr>
            <w:tcW w:w="17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2020年度预算</w:t>
            </w:r>
          </w:p>
        </w:tc>
        <w:tc>
          <w:tcPr>
            <w:tcW w:w="17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2021年度预算</w:t>
            </w:r>
          </w:p>
        </w:tc>
        <w:tc>
          <w:tcPr>
            <w:tcW w:w="11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增减金额</w:t>
            </w:r>
          </w:p>
        </w:tc>
        <w:tc>
          <w:tcPr>
            <w:tcW w:w="3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变化原因</w:t>
            </w:r>
          </w:p>
        </w:tc>
      </w:tr>
      <w:tr>
        <w:tblPrEx>
          <w:tblCellMar>
            <w:top w:w="0" w:type="dxa"/>
            <w:left w:w="108" w:type="dxa"/>
            <w:bottom w:w="0" w:type="dxa"/>
            <w:right w:w="108" w:type="dxa"/>
          </w:tblCellMar>
        </w:tblPrEx>
        <w:trPr>
          <w:wBefore w:w="0" w:type="auto"/>
          <w:wAfter w:w="0" w:type="auto"/>
          <w:trHeight w:val="340" w:hRule="atLeast"/>
        </w:trPr>
        <w:tc>
          <w:tcPr>
            <w:tcW w:w="21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因公出国经费</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w:t>
            </w:r>
          </w:p>
        </w:tc>
        <w:tc>
          <w:tcPr>
            <w:tcW w:w="1172"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w:t>
            </w:r>
          </w:p>
        </w:tc>
        <w:tc>
          <w:tcPr>
            <w:tcW w:w="3100" w:type="dxa"/>
            <w:tcBorders>
              <w:top w:val="nil"/>
              <w:left w:val="nil"/>
              <w:bottom w:val="single" w:color="auto" w:sz="4" w:space="0"/>
              <w:right w:val="single" w:color="auto" w:sz="4" w:space="0"/>
            </w:tcBorders>
            <w:noWrap w:val="0"/>
            <w:vAlign w:val="center"/>
          </w:tcPr>
          <w:p>
            <w:pPr>
              <w:widowControl/>
              <w:jc w:val="left"/>
              <w:rPr>
                <w:rFonts w:hint="eastAsia" w:ascii="宋体" w:hAnsi="宋体" w:cs="仿宋_GB2312"/>
                <w:kern w:val="0"/>
                <w:sz w:val="24"/>
              </w:rPr>
            </w:pPr>
            <w:r>
              <w:rPr>
                <w:rFonts w:hint="eastAsia" w:ascii="宋体" w:hAnsi="宋体" w:cs="仿宋_GB2312"/>
                <w:kern w:val="0"/>
                <w:sz w:val="24"/>
              </w:rPr>
              <w:t>无增减变化</w:t>
            </w:r>
          </w:p>
        </w:tc>
      </w:tr>
      <w:tr>
        <w:tblPrEx>
          <w:tblCellMar>
            <w:top w:w="0" w:type="dxa"/>
            <w:left w:w="108" w:type="dxa"/>
            <w:bottom w:w="0" w:type="dxa"/>
            <w:right w:w="108" w:type="dxa"/>
          </w:tblCellMar>
        </w:tblPrEx>
        <w:trPr>
          <w:wBefore w:w="0" w:type="auto"/>
          <w:wAfter w:w="0" w:type="auto"/>
          <w:trHeight w:val="669" w:hRule="atLeast"/>
        </w:trPr>
        <w:tc>
          <w:tcPr>
            <w:tcW w:w="21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公务用车购置经费</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w:t>
            </w:r>
          </w:p>
        </w:tc>
        <w:tc>
          <w:tcPr>
            <w:tcW w:w="1172"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w:t>
            </w:r>
          </w:p>
        </w:tc>
        <w:tc>
          <w:tcPr>
            <w:tcW w:w="3100" w:type="dxa"/>
            <w:tcBorders>
              <w:top w:val="nil"/>
              <w:left w:val="nil"/>
              <w:bottom w:val="single" w:color="auto" w:sz="4" w:space="0"/>
              <w:right w:val="single" w:color="auto" w:sz="4" w:space="0"/>
            </w:tcBorders>
            <w:noWrap w:val="0"/>
            <w:vAlign w:val="center"/>
          </w:tcPr>
          <w:p>
            <w:pPr>
              <w:widowControl/>
              <w:jc w:val="left"/>
              <w:rPr>
                <w:rFonts w:hint="eastAsia" w:ascii="宋体" w:hAnsi="宋体" w:cs="仿宋_GB2312"/>
                <w:kern w:val="0"/>
                <w:sz w:val="24"/>
              </w:rPr>
            </w:pPr>
            <w:r>
              <w:rPr>
                <w:rFonts w:hint="eastAsia" w:ascii="宋体" w:hAnsi="宋体" w:cs="仿宋_GB2312"/>
                <w:kern w:val="0"/>
                <w:sz w:val="24"/>
              </w:rPr>
              <w:t>无增减变化</w:t>
            </w:r>
          </w:p>
        </w:tc>
      </w:tr>
      <w:tr>
        <w:tblPrEx>
          <w:tblCellMar>
            <w:top w:w="0" w:type="dxa"/>
            <w:left w:w="108" w:type="dxa"/>
            <w:bottom w:w="0" w:type="dxa"/>
            <w:right w:w="108" w:type="dxa"/>
          </w:tblCellMar>
        </w:tblPrEx>
        <w:trPr>
          <w:wBefore w:w="0" w:type="auto"/>
          <w:wAfter w:w="0" w:type="auto"/>
          <w:trHeight w:val="669" w:hRule="atLeast"/>
        </w:trPr>
        <w:tc>
          <w:tcPr>
            <w:tcW w:w="21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公务用车运行经费</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12</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10</w:t>
            </w:r>
          </w:p>
        </w:tc>
        <w:tc>
          <w:tcPr>
            <w:tcW w:w="1172"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-2</w:t>
            </w:r>
          </w:p>
        </w:tc>
        <w:tc>
          <w:tcPr>
            <w:tcW w:w="3100" w:type="dxa"/>
            <w:tcBorders>
              <w:top w:val="nil"/>
              <w:left w:val="nil"/>
              <w:bottom w:val="single" w:color="auto" w:sz="4" w:space="0"/>
              <w:right w:val="single" w:color="auto" w:sz="4" w:space="0"/>
            </w:tcBorders>
            <w:noWrap w:val="0"/>
            <w:vAlign w:val="center"/>
          </w:tcPr>
          <w:p>
            <w:pPr>
              <w:widowControl/>
              <w:jc w:val="left"/>
              <w:rPr>
                <w:rFonts w:hint="eastAsia" w:ascii="宋体" w:hAnsi="宋体" w:cs="仿宋_GB2312"/>
                <w:kern w:val="0"/>
                <w:sz w:val="24"/>
              </w:rPr>
            </w:pPr>
            <w:r>
              <w:rPr>
                <w:rFonts w:hint="eastAsia" w:ascii="宋体" w:hAnsi="宋体" w:cs="仿宋_GB2312"/>
                <w:kern w:val="0"/>
                <w:sz w:val="24"/>
              </w:rPr>
              <w:t>降低了预算标准</w:t>
            </w:r>
          </w:p>
        </w:tc>
      </w:tr>
      <w:tr>
        <w:tblPrEx>
          <w:tblCellMar>
            <w:top w:w="0" w:type="dxa"/>
            <w:left w:w="108" w:type="dxa"/>
            <w:bottom w:w="0" w:type="dxa"/>
            <w:right w:w="108" w:type="dxa"/>
          </w:tblCellMar>
        </w:tblPrEx>
        <w:trPr>
          <w:wBefore w:w="0" w:type="auto"/>
          <w:wAfter w:w="0" w:type="auto"/>
          <w:trHeight w:val="669" w:hRule="atLeast"/>
        </w:trPr>
        <w:tc>
          <w:tcPr>
            <w:tcW w:w="21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公务接待费支出</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0.75</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0.84</w:t>
            </w:r>
          </w:p>
        </w:tc>
        <w:tc>
          <w:tcPr>
            <w:tcW w:w="1172" w:type="dxa"/>
            <w:tcBorders>
              <w:top w:val="nil"/>
              <w:left w:val="nil"/>
              <w:bottom w:val="single" w:color="auto" w:sz="4" w:space="0"/>
              <w:right w:val="single" w:color="auto" w:sz="4" w:space="0"/>
            </w:tcBorders>
            <w:noWrap w:val="0"/>
            <w:vAlign w:val="center"/>
          </w:tcPr>
          <w:p>
            <w:pPr>
              <w:widowControl/>
              <w:jc w:val="center"/>
              <w:rPr>
                <w:rFonts w:hint="eastAsia" w:ascii="宋体" w:hAnsi="宋体" w:cs="仿宋_GB2312"/>
                <w:kern w:val="0"/>
                <w:sz w:val="24"/>
              </w:rPr>
            </w:pPr>
            <w:r>
              <w:rPr>
                <w:rFonts w:hint="eastAsia" w:ascii="宋体" w:hAnsi="宋体" w:cs="仿宋_GB2312"/>
                <w:kern w:val="0"/>
                <w:sz w:val="24"/>
              </w:rPr>
              <w:t>+0.09</w:t>
            </w:r>
          </w:p>
        </w:tc>
        <w:tc>
          <w:tcPr>
            <w:tcW w:w="3100" w:type="dxa"/>
            <w:tcBorders>
              <w:top w:val="nil"/>
              <w:left w:val="nil"/>
              <w:bottom w:val="single" w:color="auto" w:sz="4" w:space="0"/>
              <w:right w:val="single" w:color="auto" w:sz="4" w:space="0"/>
            </w:tcBorders>
            <w:noWrap w:val="0"/>
            <w:vAlign w:val="center"/>
          </w:tcPr>
          <w:p>
            <w:pPr>
              <w:widowControl/>
              <w:jc w:val="left"/>
              <w:rPr>
                <w:rFonts w:hint="eastAsia" w:ascii="宋体" w:hAnsi="宋体" w:cs="仿宋_GB2312"/>
                <w:kern w:val="0"/>
                <w:sz w:val="24"/>
              </w:rPr>
            </w:pPr>
            <w:r>
              <w:rPr>
                <w:rFonts w:hint="eastAsia" w:ascii="宋体" w:hAnsi="宋体" w:cs="仿宋_GB2312"/>
                <w:color w:val="000000"/>
                <w:sz w:val="24"/>
                <w:shd w:val="clear" w:color="auto" w:fill="FFFFFF"/>
              </w:rPr>
              <w:t>根据公务接待费定额标准编制预算，增加12%</w:t>
            </w:r>
          </w:p>
        </w:tc>
      </w:tr>
      <w:tr>
        <w:tblPrEx>
          <w:tblCellMar>
            <w:top w:w="0" w:type="dxa"/>
            <w:left w:w="108" w:type="dxa"/>
            <w:bottom w:w="0" w:type="dxa"/>
            <w:right w:w="108" w:type="dxa"/>
          </w:tblCellMar>
        </w:tblPrEx>
        <w:trPr>
          <w:wBefore w:w="0" w:type="auto"/>
          <w:wAfter w:w="0" w:type="auto"/>
          <w:trHeight w:val="350" w:hRule="atLeast"/>
        </w:trPr>
        <w:tc>
          <w:tcPr>
            <w:tcW w:w="21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12.75</w:t>
            </w:r>
          </w:p>
        </w:tc>
        <w:tc>
          <w:tcPr>
            <w:tcW w:w="171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10.84</w:t>
            </w:r>
          </w:p>
        </w:tc>
        <w:tc>
          <w:tcPr>
            <w:tcW w:w="117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-1.91</w:t>
            </w:r>
          </w:p>
        </w:tc>
        <w:tc>
          <w:tcPr>
            <w:tcW w:w="31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rPr>
              <w:t>按比例计提</w:t>
            </w:r>
          </w:p>
        </w:tc>
      </w:tr>
    </w:tbl>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r>
        <w:rPr>
          <w:rFonts w:ascii="宋体" w:hAnsi="宋体"/>
        </w:rPr>
        <w:t xml:space="preserve"> </w:t>
      </w:r>
    </w:p>
    <w:p>
      <w:pPr>
        <w:spacing w:line="520" w:lineRule="exact"/>
        <w:ind w:firstLine="640" w:firstLineChars="200"/>
        <w:rPr>
          <w:rFonts w:ascii="宋体" w:hAnsi="宋体"/>
          <w:sz w:val="32"/>
          <w:szCs w:val="32"/>
        </w:rPr>
      </w:pPr>
      <w:bookmarkStart w:id="0" w:name="_Toc477960422"/>
      <w:r>
        <w:rPr>
          <w:rFonts w:hint="eastAsia" w:ascii="宋体" w:hAnsi="宋体"/>
          <w:sz w:val="32"/>
          <w:szCs w:val="32"/>
        </w:rPr>
        <w:t>一、总体绩效目标</w:t>
      </w:r>
      <w:r>
        <w:fldChar w:fldCharType="begin"/>
      </w:r>
      <w:r>
        <w:rPr>
          <w:rFonts w:ascii="宋体" w:hAnsi="宋体"/>
          <w:sz w:val="32"/>
          <w:szCs w:val="32"/>
        </w:rPr>
        <w:instrText xml:space="preserve"> </w:instrText>
      </w:r>
      <w:r>
        <w:rPr>
          <w:rFonts w:hint="eastAsia" w:ascii="宋体" w:hAnsi="宋体"/>
          <w:sz w:val="32"/>
          <w:szCs w:val="32"/>
        </w:rPr>
        <w:instrText xml:space="preserve">TC </w:instrText>
      </w:r>
      <w:bookmarkStart w:id="1" w:name="_Toc44487580"/>
      <w:r>
        <w:rPr>
          <w:rFonts w:hint="eastAsia" w:ascii="宋体" w:hAnsi="宋体"/>
          <w:sz w:val="32"/>
          <w:szCs w:val="32"/>
        </w:rPr>
        <w:instrText xml:space="preserve">总体绩效目标</w:instrText>
      </w:r>
      <w:bookmarkEnd w:id="1"/>
      <w:r>
        <w:rPr>
          <w:rFonts w:hint="eastAsia" w:ascii="宋体" w:hAnsi="宋体"/>
          <w:sz w:val="32"/>
          <w:szCs w:val="32"/>
        </w:rPr>
        <w:instrText xml:space="preserve"> \f A \l 1</w:instrText>
      </w:r>
      <w:r>
        <w:rPr>
          <w:rFonts w:ascii="宋体" w:hAnsi="宋体"/>
          <w:sz w:val="32"/>
          <w:szCs w:val="32"/>
        </w:rPr>
        <w:instrText xml:space="preserve"> </w:instrText>
      </w:r>
      <w:r>
        <w:rPr>
          <w:rFonts w:ascii="宋体" w:hAnsi="宋体"/>
          <w:sz w:val="32"/>
          <w:szCs w:val="32"/>
        </w:rPr>
        <w:fldChar w:fldCharType="end"/>
      </w:r>
    </w:p>
    <w:p>
      <w:pPr>
        <w:spacing w:line="520" w:lineRule="exact"/>
        <w:ind w:firstLine="640" w:firstLineChars="200"/>
        <w:rPr>
          <w:rFonts w:ascii="宋体" w:hAnsi="宋体"/>
          <w:sz w:val="32"/>
          <w:szCs w:val="32"/>
        </w:rPr>
      </w:pPr>
      <w:r>
        <w:rPr>
          <w:rFonts w:ascii="宋体" w:hAnsi="宋体"/>
          <w:sz w:val="32"/>
          <w:szCs w:val="32"/>
        </w:rPr>
        <w:t>1、坚持和完善人民代表大会制度，努力建设社会主义政治文明。</w:t>
      </w:r>
    </w:p>
    <w:p>
      <w:pPr>
        <w:spacing w:line="520" w:lineRule="exact"/>
        <w:ind w:firstLine="640" w:firstLineChars="200"/>
        <w:rPr>
          <w:rFonts w:ascii="宋体" w:hAnsi="宋体"/>
          <w:sz w:val="32"/>
          <w:szCs w:val="32"/>
        </w:rPr>
      </w:pPr>
      <w:r>
        <w:rPr>
          <w:rFonts w:ascii="宋体" w:hAnsi="宋体"/>
          <w:sz w:val="32"/>
          <w:szCs w:val="32"/>
        </w:rPr>
        <w:t>2、认真贯彻落实监督法，全面加强和规范监督工作。</w:t>
      </w:r>
    </w:p>
    <w:p>
      <w:pPr>
        <w:spacing w:line="520" w:lineRule="exact"/>
        <w:ind w:firstLine="640" w:firstLineChars="200"/>
        <w:rPr>
          <w:rFonts w:ascii="宋体" w:hAnsi="宋体"/>
          <w:sz w:val="32"/>
          <w:szCs w:val="32"/>
        </w:rPr>
      </w:pPr>
      <w:r>
        <w:rPr>
          <w:rFonts w:ascii="宋体" w:hAnsi="宋体"/>
          <w:sz w:val="32"/>
          <w:szCs w:val="32"/>
        </w:rPr>
        <w:t>3、积极做好代表工作，充分发挥代表作用。</w:t>
      </w:r>
    </w:p>
    <w:p>
      <w:pPr>
        <w:spacing w:line="520" w:lineRule="exact"/>
        <w:ind w:firstLine="640" w:firstLineChars="200"/>
        <w:rPr>
          <w:rFonts w:ascii="宋体" w:hAnsi="宋体"/>
          <w:sz w:val="32"/>
          <w:szCs w:val="32"/>
        </w:rPr>
      </w:pPr>
      <w:r>
        <w:rPr>
          <w:rFonts w:ascii="宋体" w:hAnsi="宋体"/>
          <w:sz w:val="32"/>
          <w:szCs w:val="32"/>
        </w:rPr>
        <w:t>4、切实加强自身建设，努力开创人大工作新局面。</w:t>
      </w:r>
    </w:p>
    <w:p>
      <w:pPr>
        <w:spacing w:line="520" w:lineRule="exact"/>
        <w:ind w:firstLine="640" w:firstLineChars="200"/>
        <w:rPr>
          <w:rFonts w:ascii="宋体" w:hAnsi="宋体"/>
          <w:sz w:val="32"/>
          <w:szCs w:val="32"/>
        </w:rPr>
      </w:pPr>
      <w:r>
        <w:rPr>
          <w:rFonts w:hint="eastAsia" w:ascii="宋体" w:hAnsi="宋体"/>
          <w:sz w:val="32"/>
          <w:szCs w:val="32"/>
        </w:rPr>
        <w:t>二、分项绩效目标</w:t>
      </w:r>
      <w:r>
        <w:fldChar w:fldCharType="begin"/>
      </w:r>
      <w:r>
        <w:rPr>
          <w:rFonts w:ascii="宋体" w:hAnsi="宋体"/>
          <w:sz w:val="32"/>
          <w:szCs w:val="32"/>
        </w:rPr>
        <w:instrText xml:space="preserve"> </w:instrText>
      </w:r>
      <w:r>
        <w:rPr>
          <w:rFonts w:hint="eastAsia" w:ascii="宋体" w:hAnsi="宋体"/>
          <w:sz w:val="32"/>
          <w:szCs w:val="32"/>
        </w:rPr>
        <w:instrText xml:space="preserve">TC </w:instrText>
      </w:r>
      <w:bookmarkStart w:id="2" w:name="_Toc44487581"/>
      <w:r>
        <w:rPr>
          <w:rFonts w:hint="eastAsia" w:ascii="宋体" w:hAnsi="宋体"/>
          <w:sz w:val="32"/>
          <w:szCs w:val="32"/>
        </w:rPr>
        <w:instrText xml:space="preserve">分项绩效目标</w:instrText>
      </w:r>
      <w:bookmarkEnd w:id="2"/>
      <w:r>
        <w:rPr>
          <w:rFonts w:hint="eastAsia" w:ascii="宋体" w:hAnsi="宋体"/>
          <w:sz w:val="32"/>
          <w:szCs w:val="32"/>
        </w:rPr>
        <w:instrText xml:space="preserve"> \f A \l 1</w:instrText>
      </w:r>
      <w:r>
        <w:rPr>
          <w:rFonts w:ascii="宋体" w:hAnsi="宋体"/>
          <w:sz w:val="32"/>
          <w:szCs w:val="32"/>
        </w:rPr>
        <w:instrText xml:space="preserve"> </w:instrText>
      </w:r>
      <w:r>
        <w:rPr>
          <w:rFonts w:ascii="宋体" w:hAnsi="宋体"/>
          <w:sz w:val="32"/>
          <w:szCs w:val="32"/>
        </w:rPr>
        <w:fldChar w:fldCharType="end"/>
      </w:r>
    </w:p>
    <w:p>
      <w:pPr>
        <w:spacing w:line="520" w:lineRule="exact"/>
        <w:ind w:firstLine="640" w:firstLineChars="200"/>
        <w:rPr>
          <w:rFonts w:ascii="宋体" w:hAnsi="宋体"/>
          <w:sz w:val="32"/>
          <w:szCs w:val="32"/>
        </w:rPr>
      </w:pPr>
      <w:r>
        <w:rPr>
          <w:rFonts w:ascii="宋体" w:hAnsi="宋体"/>
          <w:sz w:val="32"/>
          <w:szCs w:val="32"/>
        </w:rPr>
        <w:t>1、监督宪法和法律在我区行政区域内正确实施。</w:t>
      </w:r>
    </w:p>
    <w:p>
      <w:pPr>
        <w:spacing w:line="520" w:lineRule="exact"/>
        <w:ind w:firstLine="640" w:firstLineChars="200"/>
        <w:rPr>
          <w:rFonts w:ascii="宋体" w:hAnsi="宋体"/>
          <w:sz w:val="32"/>
          <w:szCs w:val="32"/>
        </w:rPr>
      </w:pPr>
      <w:r>
        <w:rPr>
          <w:rFonts w:ascii="宋体" w:hAnsi="宋体"/>
          <w:sz w:val="32"/>
          <w:szCs w:val="32"/>
        </w:rPr>
        <w:t>2、监督一府两院一委依法开展工作。</w:t>
      </w:r>
    </w:p>
    <w:p>
      <w:pPr>
        <w:spacing w:line="520" w:lineRule="exact"/>
        <w:ind w:firstLine="640" w:firstLineChars="200"/>
        <w:rPr>
          <w:rFonts w:ascii="宋体" w:hAnsi="宋体"/>
          <w:sz w:val="32"/>
          <w:szCs w:val="32"/>
        </w:rPr>
      </w:pPr>
      <w:r>
        <w:rPr>
          <w:rFonts w:ascii="宋体" w:hAnsi="宋体"/>
          <w:sz w:val="32"/>
          <w:szCs w:val="32"/>
        </w:rPr>
        <w:t>3、监督区本级预算按照区人代会通过的预算有效实施。</w:t>
      </w:r>
    </w:p>
    <w:p>
      <w:pPr>
        <w:spacing w:line="520" w:lineRule="exact"/>
        <w:ind w:firstLine="640" w:firstLineChars="200"/>
        <w:rPr>
          <w:rFonts w:ascii="宋体" w:hAnsi="宋体"/>
          <w:sz w:val="32"/>
          <w:szCs w:val="32"/>
        </w:rPr>
      </w:pPr>
      <w:r>
        <w:rPr>
          <w:rFonts w:ascii="宋体" w:hAnsi="宋体"/>
          <w:sz w:val="32"/>
          <w:szCs w:val="32"/>
        </w:rPr>
        <w:t>4、监督经济和社会发展计划有效实施。</w:t>
      </w:r>
    </w:p>
    <w:p>
      <w:pPr>
        <w:spacing w:line="520" w:lineRule="exact"/>
        <w:ind w:firstLine="640" w:firstLineChars="200"/>
        <w:rPr>
          <w:rFonts w:ascii="宋体" w:hAnsi="宋体"/>
          <w:sz w:val="32"/>
          <w:szCs w:val="32"/>
        </w:rPr>
      </w:pPr>
      <w:r>
        <w:rPr>
          <w:rFonts w:ascii="宋体" w:hAnsi="宋体"/>
          <w:sz w:val="32"/>
          <w:szCs w:val="32"/>
        </w:rPr>
        <w:t>5、保障人代会会议顺利召开，完成会议议程。</w:t>
      </w:r>
    </w:p>
    <w:p>
      <w:pPr>
        <w:spacing w:line="520" w:lineRule="exact"/>
        <w:ind w:firstLine="640" w:firstLineChars="200"/>
        <w:rPr>
          <w:rFonts w:ascii="宋体" w:hAnsi="宋体"/>
          <w:sz w:val="32"/>
          <w:szCs w:val="32"/>
        </w:rPr>
      </w:pPr>
      <w:r>
        <w:rPr>
          <w:rFonts w:ascii="宋体" w:hAnsi="宋体"/>
          <w:sz w:val="32"/>
          <w:szCs w:val="32"/>
        </w:rPr>
        <w:t>6、保障官网和公众号新闻发布与宣传工作正常开展。</w:t>
      </w:r>
    </w:p>
    <w:p>
      <w:pPr>
        <w:spacing w:line="520" w:lineRule="exact"/>
        <w:ind w:firstLine="640" w:firstLineChars="200"/>
        <w:rPr>
          <w:rFonts w:ascii="宋体" w:hAnsi="宋体"/>
          <w:sz w:val="32"/>
          <w:szCs w:val="32"/>
        </w:rPr>
      </w:pPr>
      <w:r>
        <w:rPr>
          <w:rFonts w:ascii="宋体" w:hAnsi="宋体"/>
          <w:sz w:val="32"/>
          <w:szCs w:val="32"/>
        </w:rPr>
        <w:t>7、完成人事任免工作。</w:t>
      </w:r>
    </w:p>
    <w:p>
      <w:pPr>
        <w:spacing w:line="520" w:lineRule="exact"/>
        <w:ind w:firstLine="640" w:firstLineChars="200"/>
        <w:rPr>
          <w:rFonts w:ascii="宋体" w:hAnsi="宋体"/>
          <w:sz w:val="32"/>
          <w:szCs w:val="32"/>
        </w:rPr>
      </w:pPr>
      <w:r>
        <w:rPr>
          <w:rFonts w:ascii="宋体" w:hAnsi="宋体"/>
          <w:sz w:val="32"/>
          <w:szCs w:val="32"/>
        </w:rPr>
        <w:t>8、确保机关工作有效运转。</w:t>
      </w:r>
    </w:p>
    <w:p>
      <w:pPr>
        <w:spacing w:line="520" w:lineRule="exact"/>
        <w:ind w:firstLine="640" w:firstLineChars="200"/>
        <w:rPr>
          <w:rFonts w:ascii="宋体" w:hAnsi="宋体"/>
          <w:sz w:val="32"/>
          <w:szCs w:val="32"/>
        </w:rPr>
      </w:pPr>
      <w:r>
        <w:rPr>
          <w:rFonts w:hint="eastAsia" w:ascii="宋体" w:hAnsi="宋体"/>
          <w:sz w:val="32"/>
          <w:szCs w:val="32"/>
        </w:rPr>
        <w:t>三、工作保障措施</w:t>
      </w:r>
      <w:r>
        <w:fldChar w:fldCharType="begin"/>
      </w:r>
      <w:r>
        <w:rPr>
          <w:rFonts w:ascii="宋体" w:hAnsi="宋体"/>
          <w:sz w:val="32"/>
          <w:szCs w:val="32"/>
        </w:rPr>
        <w:instrText xml:space="preserve"> </w:instrText>
      </w:r>
      <w:r>
        <w:rPr>
          <w:rFonts w:hint="eastAsia" w:ascii="宋体" w:hAnsi="宋体"/>
          <w:sz w:val="32"/>
          <w:szCs w:val="32"/>
        </w:rPr>
        <w:instrText xml:space="preserve">TC </w:instrText>
      </w:r>
      <w:bookmarkStart w:id="3" w:name="_Toc44487582"/>
      <w:r>
        <w:rPr>
          <w:rFonts w:hint="eastAsia" w:ascii="宋体" w:hAnsi="宋体"/>
          <w:sz w:val="32"/>
          <w:szCs w:val="32"/>
        </w:rPr>
        <w:instrText xml:space="preserve">工作保障措施</w:instrText>
      </w:r>
      <w:bookmarkEnd w:id="3"/>
      <w:r>
        <w:rPr>
          <w:rFonts w:hint="eastAsia" w:ascii="宋体" w:hAnsi="宋体"/>
          <w:sz w:val="32"/>
          <w:szCs w:val="32"/>
        </w:rPr>
        <w:instrText xml:space="preserve"> \f A \l 1</w:instrText>
      </w:r>
      <w:r>
        <w:rPr>
          <w:rFonts w:ascii="宋体" w:hAnsi="宋体"/>
          <w:sz w:val="32"/>
          <w:szCs w:val="32"/>
        </w:rPr>
        <w:instrText xml:space="preserve"> </w:instrText>
      </w:r>
      <w:r>
        <w:rPr>
          <w:rFonts w:ascii="宋体" w:hAnsi="宋体"/>
          <w:sz w:val="32"/>
          <w:szCs w:val="32"/>
        </w:rPr>
        <w:fldChar w:fldCharType="end"/>
      </w:r>
    </w:p>
    <w:p>
      <w:pPr>
        <w:spacing w:line="520" w:lineRule="exact"/>
        <w:ind w:firstLine="640" w:firstLineChars="200"/>
        <w:rPr>
          <w:rFonts w:hint="eastAsia" w:ascii="宋体" w:hAnsi="宋体"/>
          <w:sz w:val="32"/>
          <w:szCs w:val="32"/>
        </w:rPr>
      </w:pPr>
      <w:r>
        <w:rPr>
          <w:rFonts w:ascii="宋体" w:hAnsi="宋体"/>
          <w:sz w:val="32"/>
          <w:szCs w:val="32"/>
        </w:rPr>
        <w:t>紧密团结在以习近平同志为核心的党中央周围,在区委的正确领导下,坚持党的领导、人民</w:t>
      </w:r>
      <w:r>
        <w:rPr>
          <w:rFonts w:hint="eastAsia" w:ascii="宋体" w:hAnsi="宋体"/>
          <w:sz w:val="32"/>
          <w:szCs w:val="32"/>
          <w:lang w:eastAsia="zh-CN"/>
        </w:rPr>
        <w:t>当家作主、</w:t>
      </w:r>
      <w:r>
        <w:rPr>
          <w:rFonts w:ascii="宋体" w:hAnsi="宋体"/>
          <w:sz w:val="32"/>
          <w:szCs w:val="32"/>
        </w:rPr>
        <w:t>依法治国有机统一，紧紧围绕全区改革发展稳定大局，认真履行宪法和法律赋予的各项职权，为建设新时代宜居乐业新区、厚德尚美满城做出积极贡献。</w:t>
      </w:r>
    </w:p>
    <w:p>
      <w:pPr>
        <w:jc w:val="center"/>
        <w:outlineLvl w:val="0"/>
        <w:rPr>
          <w:rFonts w:hint="eastAsia" w:ascii="方正小标宋_GBK" w:eastAsia="方正小标宋_GBK"/>
          <w:sz w:val="32"/>
          <w:szCs w:val="32"/>
        </w:rPr>
      </w:pPr>
    </w:p>
    <w:p>
      <w:pPr>
        <w:pStyle w:val="2"/>
        <w:rPr>
          <w:rFonts w:hint="eastAsia" w:ascii="方正小标宋_GBK" w:eastAsia="方正小标宋_GBK"/>
          <w:sz w:val="32"/>
          <w:szCs w:val="32"/>
        </w:rPr>
      </w:pPr>
    </w:p>
    <w:p>
      <w:pPr>
        <w:rPr>
          <w:rFonts w:hint="eastAsia" w:ascii="方正小标宋_GBK" w:eastAsia="方正小标宋_GBK"/>
          <w:sz w:val="32"/>
          <w:szCs w:val="32"/>
        </w:rPr>
      </w:pPr>
      <w:bookmarkStart w:id="10" w:name="_GoBack"/>
      <w:bookmarkEnd w:id="10"/>
    </w:p>
    <w:p>
      <w:pPr>
        <w:rPr>
          <w:rFonts w:hint="eastAsia"/>
        </w:rPr>
      </w:pPr>
    </w:p>
    <w:p>
      <w:pPr>
        <w:jc w:val="center"/>
        <w:outlineLvl w:val="0"/>
        <w:rPr>
          <w:rFonts w:hint="eastAsia" w:hAnsi="宋体"/>
          <w:sz w:val="32"/>
          <w:szCs w:val="32"/>
        </w:rPr>
      </w:pPr>
      <w:r>
        <w:rPr>
          <w:rFonts w:hint="eastAsia" w:ascii="方正小标宋_GBK" w:eastAsia="方正小标宋_GBK"/>
          <w:sz w:val="32"/>
          <w:szCs w:val="32"/>
        </w:rPr>
        <w:t>预算项目绩效目标</w:t>
      </w:r>
    </w:p>
    <w:bookmarkEnd w:id="0"/>
    <w:p>
      <w:pPr>
        <w:ind w:firstLine="562" w:firstLineChars="200"/>
        <w:jc w:val="left"/>
        <w:outlineLvl w:val="3"/>
        <w:rPr>
          <w:rFonts w:hAnsi="宋体"/>
          <w:b/>
          <w:sz w:val="28"/>
        </w:rPr>
      </w:pPr>
      <w:bookmarkStart w:id="4" w:name="_Toc70255879"/>
      <w:r>
        <w:rPr>
          <w:rFonts w:hint="eastAsia" w:ascii="方正仿宋_GBK" w:eastAsia="方正仿宋_GBK"/>
          <w:b/>
          <w:sz w:val="28"/>
        </w:rPr>
        <w:t>1.人大常委会官网维护费绩效目标表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1、人大常委会官网维护费绩效目标表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保定市满城区人民代表大会常务委员会本级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130621210B4L5BKFV1GN4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人大常委会官网维护费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人大官网维护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官网日常维护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信息上传</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网站数量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维护的网站数量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信息上传条数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信息上传条数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日常维护及时性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信息更新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小时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每年发生的官网维护费</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宣传成本降低</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宣传成本降低率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日浏览人数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日浏览人数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70255880"/>
      <w:r>
        <w:rPr>
          <w:rFonts w:hint="eastAsia" w:ascii="方正仿宋_GBK" w:eastAsia="方正仿宋_GBK"/>
          <w:b/>
          <w:sz w:val="28"/>
        </w:rPr>
        <w:t>2.报刊费绩效目标表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2、报刊费绩效目标表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保定市满城区人民代表大会常务委员会本级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130621217S6WG0VH3CEEM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报刊费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1.50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年度党报党刊征订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完成党报党刊征订</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征订报刊种类</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征订种类</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机关干部阅读率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机关干部阅读率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保障订阅及时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订阅及时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不超预算总成本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不超预算总成本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党的政策学习传达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党的政策学习传达及时率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机关干部学习使用情况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机关干部学习积极性是否提高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种</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70255881"/>
      <w:r>
        <w:rPr>
          <w:rFonts w:hint="eastAsia" w:ascii="方正仿宋_GBK" w:eastAsia="方正仿宋_GBK"/>
          <w:b/>
          <w:sz w:val="28"/>
        </w:rPr>
        <w:t>3.《人大志》编辑经费绩效目标表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3、《人大志》编辑经费绩效目标表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保定市满城区人民代表大会常务委员会本级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13062121EB3UOBED768QY</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《人大志》编辑经费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40.62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40.62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《人大志》人员工资、前期搜集材料考察费、成书印刷费、书号费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按时间要求完成编辑工作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按质量要求完成编辑工作</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刊印本数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刊印本数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本</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全民阅读率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发出数占总印刷本数比例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40.62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人大工作效率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人大工作效率提高率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可持续性服务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可持续性服务年限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Ansi="宋体"/>
          <w:b/>
          <w:sz w:val="28"/>
        </w:rPr>
      </w:pPr>
      <w:bookmarkStart w:id="7" w:name="_Toc70255882"/>
      <w:r>
        <w:rPr>
          <w:rFonts w:hint="eastAsia" w:ascii="方正仿宋_GBK" w:eastAsia="方正仿宋_GBK"/>
          <w:b/>
          <w:sz w:val="28"/>
        </w:rPr>
        <w:t>4.省预算联网网费绩效目标表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4、省预算联网网费绩效目标表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保定市满城区人民代表大会常务委员会本级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13062121KSG24XAWTGFW7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省预算联网网费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0.24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0.24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年度预算联网网费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预算系统联网正常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网络运行正常</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日常运行正常</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联网电脑数量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联网电脑数量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日常运行正常</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日常运行顺畅度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秒</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年内完成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按预定成本拨付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严格预算</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预算监督规范化</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预算监督规范化率提高值</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预算联网监督</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确保持续监督</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70255883"/>
      <w:r>
        <w:rPr>
          <w:rFonts w:hint="eastAsia" w:ascii="方正仿宋_GBK" w:eastAsia="方正仿宋_GBK"/>
          <w:b/>
          <w:sz w:val="28"/>
        </w:rPr>
        <w:t>5.追加区人大二届四次会议费绩效目标表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5、追加区人大二届四次会议费绩效目标表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保定市满城区人民代表大会常务委员会本级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13062121NSN7NSIFK1SNL</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追加区人大二届四次会议费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4.50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4.50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区二届人大四次会议代表食宿费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保障人代会顺利召开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保障大会安全</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参会代表人数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代表满意人数占代表总人数比例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实际会议天数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会议费实际支出数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通过决议数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通过决议数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代表建议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收到代表建议数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ind w:firstLine="562" w:firstLineChars="200"/>
        <w:jc w:val="left"/>
        <w:outlineLvl w:val="3"/>
        <w:rPr>
          <w:rFonts w:hAnsi="宋体"/>
          <w:b/>
          <w:sz w:val="28"/>
        </w:rPr>
      </w:pPr>
      <w:bookmarkStart w:id="9" w:name="_Toc70255884"/>
      <w:r>
        <w:rPr>
          <w:rFonts w:hint="eastAsia" w:ascii="方正仿宋_GBK" w:eastAsia="方正仿宋_GBK"/>
          <w:b/>
          <w:sz w:val="28"/>
        </w:rPr>
        <w:t>6.区人大二届五次会议绩效目标表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6、区人大二届五次会议绩效目标表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101001</w:t>
            </w:r>
            <w:r>
              <w:rPr>
                <w:rFonts w:hint="eastAsia" w:ascii="方正书宋_GBK" w:eastAsia="方正书宋_GBK"/>
                <w:b/>
              </w:rPr>
              <w:t>保定市满城区人民代表大会常务委员会本级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13062121OBFWYDV1QG9LA</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区人大二届五次会议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区人大二届五次会议代表食宿费、材料打印费、会场使用费、证件制作费。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保障人代会顺利召开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保障大会安全</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参会代表人数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代表满意人数占代表总人数比例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会期天数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实际会议天数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会议费实际支出数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通过决议数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通过决议数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代表建议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收到代表建议数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第六部分：政府采购预算情况</w:t>
      </w:r>
    </w:p>
    <w:p>
      <w:pPr>
        <w:widowControl/>
        <w:snapToGrid w:val="0"/>
        <w:spacing w:before="100" w:beforeAutospacing="1" w:after="100" w:afterAutospacing="1" w:line="640" w:lineRule="exact"/>
        <w:ind w:firstLine="633" w:firstLineChars="198"/>
        <w:rPr>
          <w:rFonts w:hint="eastAsia" w:ascii="宋体" w:hAnsi="宋体" w:cs="仿宋"/>
          <w:color w:val="000000"/>
          <w:sz w:val="32"/>
          <w:szCs w:val="32"/>
          <w:shd w:val="clear" w:color="auto" w:fill="FFFFFF"/>
        </w:rPr>
      </w:pPr>
      <w:r>
        <w:rPr>
          <w:rFonts w:ascii="宋体" w:hAnsi="宋体" w:cs="仿宋"/>
          <w:color w:val="000000"/>
          <w:sz w:val="32"/>
          <w:szCs w:val="32"/>
          <w:shd w:val="clear" w:color="auto" w:fill="FFFFFF"/>
        </w:rPr>
        <w:t>我</w:t>
      </w:r>
      <w:r>
        <w:rPr>
          <w:rFonts w:hint="eastAsia" w:ascii="宋体" w:hAnsi="宋体" w:cs="仿宋"/>
          <w:color w:val="000000"/>
          <w:sz w:val="32"/>
          <w:szCs w:val="32"/>
          <w:shd w:val="clear" w:color="auto" w:fill="FFFFFF"/>
        </w:rPr>
        <w:t>单位</w:t>
      </w:r>
      <w:r>
        <w:rPr>
          <w:rFonts w:ascii="宋体" w:hAnsi="宋体" w:cs="仿宋"/>
          <w:color w:val="000000"/>
          <w:sz w:val="32"/>
          <w:szCs w:val="32"/>
          <w:shd w:val="clear" w:color="auto" w:fill="FFFFFF"/>
        </w:rPr>
        <w:t>202</w:t>
      </w:r>
      <w:r>
        <w:rPr>
          <w:rFonts w:hint="eastAsia" w:ascii="宋体" w:hAnsi="宋体" w:cs="仿宋"/>
          <w:color w:val="000000"/>
          <w:sz w:val="32"/>
          <w:szCs w:val="32"/>
          <w:shd w:val="clear" w:color="auto" w:fill="FFFFFF"/>
        </w:rPr>
        <w:t>1</w:t>
      </w:r>
      <w:r>
        <w:rPr>
          <w:rFonts w:ascii="宋体" w:hAnsi="宋体" w:cs="仿宋"/>
          <w:color w:val="000000"/>
          <w:sz w:val="32"/>
          <w:szCs w:val="32"/>
          <w:shd w:val="clear" w:color="auto" w:fill="FFFFFF"/>
        </w:rPr>
        <w:t>年无政府采购预算</w:t>
      </w:r>
      <w:r>
        <w:rPr>
          <w:rFonts w:hint="eastAsia" w:ascii="宋体" w:hAnsi="宋体" w:cs="仿宋"/>
          <w:color w:val="000000"/>
          <w:sz w:val="32"/>
          <w:szCs w:val="32"/>
          <w:shd w:val="clear" w:color="auto" w:fill="FFFFFF"/>
        </w:rPr>
        <w:t>,空表列示。</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widowControl/>
        <w:snapToGrid w:val="0"/>
        <w:spacing w:before="100" w:beforeAutospacing="1" w:after="100" w:afterAutospacing="1" w:line="640" w:lineRule="exact"/>
        <w:ind w:firstLine="633" w:firstLineChars="198"/>
        <w:rPr>
          <w:rFonts w:hint="eastAsia" w:ascii="宋体" w:hAnsi="宋体" w:cs="仿宋"/>
          <w:color w:val="000000"/>
          <w:sz w:val="32"/>
          <w:szCs w:val="32"/>
          <w:shd w:val="clear" w:color="auto" w:fill="FFFFFF"/>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宋体" w:hAnsi="宋体"/>
          <w:sz w:val="32"/>
          <w:szCs w:val="32"/>
        </w:rPr>
      </w:pPr>
      <w:r>
        <w:rPr>
          <w:rFonts w:hint="eastAsia" w:ascii="宋体" w:hAnsi="宋体"/>
          <w:sz w:val="32"/>
          <w:szCs w:val="32"/>
        </w:rPr>
        <w:t>2020年末固定资产总金额63.41万元（详见下表），2021年无拟购置固定资产情况。</w:t>
      </w:r>
    </w:p>
    <w:tbl>
      <w:tblPr>
        <w:tblStyle w:val="7"/>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wAfter w:w="0" w:type="dxa"/>
          <w:trHeight w:val="675" w:hRule="atLeast"/>
        </w:trPr>
        <w:tc>
          <w:tcPr>
            <w:tcW w:w="8804" w:type="dxa"/>
            <w:gridSpan w:val="3"/>
            <w:tcBorders>
              <w:top w:val="nil"/>
              <w:left w:val="nil"/>
              <w:bottom w:val="nil"/>
              <w:right w:val="nil"/>
            </w:tcBorders>
            <w:noWrap w:val="0"/>
            <w:vAlign w:val="center"/>
          </w:tcPr>
          <w:p>
            <w:pPr>
              <w:widowControl/>
              <w:jc w:val="center"/>
              <w:rPr>
                <w:rFonts w:hint="eastAsia" w:ascii="宋体" w:hAnsi="宋体"/>
                <w:b/>
                <w:sz w:val="32"/>
                <w:szCs w:val="32"/>
              </w:rPr>
            </w:pPr>
          </w:p>
          <w:p>
            <w:pPr>
              <w:widowControl/>
              <w:jc w:val="center"/>
              <w:rPr>
                <w:rFonts w:ascii="宋体" w:hAnsi="宋体" w:cs="宋体"/>
                <w:b/>
                <w:color w:val="000000"/>
                <w:kern w:val="0"/>
                <w:sz w:val="28"/>
                <w:szCs w:val="28"/>
              </w:rPr>
            </w:pPr>
            <w:r>
              <w:rPr>
                <w:rFonts w:hint="eastAsia" w:ascii="宋体" w:hAnsi="宋体"/>
                <w:b/>
                <w:sz w:val="32"/>
                <w:szCs w:val="32"/>
              </w:rPr>
              <w:t>保定市满城区人大常委会固定资产占用情况表</w:t>
            </w:r>
          </w:p>
        </w:tc>
      </w:tr>
      <w:tr>
        <w:tblPrEx>
          <w:tblCellMar>
            <w:top w:w="0" w:type="dxa"/>
            <w:left w:w="108" w:type="dxa"/>
            <w:bottom w:w="0" w:type="dxa"/>
            <w:right w:w="108" w:type="dxa"/>
          </w:tblCellMar>
        </w:tblPrEx>
        <w:trPr>
          <w:wBefore w:w="0" w:type="dxa"/>
          <w:wAfter w:w="0" w:type="dxa"/>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bCs/>
                <w:color w:val="000000"/>
                <w:kern w:val="0"/>
                <w:sz w:val="32"/>
                <w:szCs w:val="32"/>
              </w:rPr>
              <w:t xml:space="preserve">                           截止时间：2020年12月31日</w:t>
            </w:r>
          </w:p>
        </w:tc>
      </w:tr>
      <w:tr>
        <w:tblPrEx>
          <w:tblCellMar>
            <w:top w:w="0" w:type="dxa"/>
            <w:left w:w="108" w:type="dxa"/>
            <w:bottom w:w="0" w:type="dxa"/>
            <w:right w:w="108" w:type="dxa"/>
          </w:tblCellMar>
        </w:tblPrEx>
        <w:trPr>
          <w:wBefore w:w="0" w:type="dxa"/>
          <w:wAfter w:w="0" w:type="dxa"/>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价值（单位：万元）</w:t>
            </w: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63.41</w:t>
            </w:r>
          </w:p>
        </w:tc>
      </w:tr>
      <w:tr>
        <w:tblPrEx>
          <w:tblCellMar>
            <w:top w:w="0" w:type="dxa"/>
            <w:left w:w="108" w:type="dxa"/>
            <w:bottom w:w="0" w:type="dxa"/>
            <w:right w:w="108" w:type="dxa"/>
          </w:tblCellMar>
        </w:tblPrEx>
        <w:trPr>
          <w:wBefore w:w="0" w:type="dxa"/>
          <w:wAfter w:w="0" w:type="dxa"/>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19.18</w:t>
            </w:r>
          </w:p>
        </w:tc>
      </w:tr>
      <w:tr>
        <w:tblPrEx>
          <w:tblCellMar>
            <w:top w:w="0" w:type="dxa"/>
            <w:left w:w="108" w:type="dxa"/>
            <w:bottom w:w="0" w:type="dxa"/>
            <w:right w:w="108" w:type="dxa"/>
          </w:tblCellMar>
        </w:tblPrEx>
        <w:trPr>
          <w:wBefore w:w="0" w:type="dxa"/>
          <w:wAfter w:w="0" w:type="dxa"/>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0.00</w:t>
            </w:r>
          </w:p>
        </w:tc>
      </w:tr>
      <w:tr>
        <w:tblPrEx>
          <w:tblCellMar>
            <w:top w:w="0" w:type="dxa"/>
            <w:left w:w="108" w:type="dxa"/>
            <w:bottom w:w="0" w:type="dxa"/>
            <w:right w:w="108" w:type="dxa"/>
          </w:tblCellMar>
        </w:tblPrEx>
        <w:trPr>
          <w:wBefore w:w="0" w:type="dxa"/>
          <w:wAfter w:w="0" w:type="dxa"/>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44.23</w:t>
            </w:r>
          </w:p>
        </w:tc>
      </w:tr>
    </w:tbl>
    <w:p>
      <w:pPr>
        <w:spacing w:line="520" w:lineRule="exact"/>
        <w:ind w:firstLine="640" w:firstLineChars="200"/>
        <w:jc w:val="center"/>
        <w:rPr>
          <w:rFonts w:hint="eastAsia" w:ascii="宋体" w:hAnsi="宋体"/>
          <w:sz w:val="32"/>
          <w:szCs w:val="32"/>
        </w:rPr>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宋体" w:hAnsi="宋体"/>
          <w:b/>
          <w:sz w:val="32"/>
          <w:szCs w:val="32"/>
        </w:rPr>
      </w:pPr>
    </w:p>
    <w:p>
      <w:pPr>
        <w:spacing w:line="500" w:lineRule="exact"/>
        <w:ind w:firstLine="643" w:firstLineChars="200"/>
        <w:jc w:val="left"/>
        <w:outlineLvl w:val="0"/>
        <w:rPr>
          <w:rFonts w:hint="eastAsia" w:ascii="宋体" w:hAnsi="宋体"/>
          <w:sz w:val="32"/>
          <w:szCs w:val="32"/>
        </w:rPr>
      </w:pPr>
      <w:r>
        <w:rPr>
          <w:rFonts w:hint="eastAsia" w:ascii="宋体" w:hAnsi="宋体"/>
          <w:b/>
          <w:sz w:val="32"/>
          <w:szCs w:val="32"/>
        </w:rPr>
        <w:t>1、财政拨款收入：</w:t>
      </w:r>
      <w:r>
        <w:rPr>
          <w:rFonts w:hint="eastAsia" w:ascii="宋体" w:hAnsi="宋体"/>
          <w:sz w:val="32"/>
          <w:szCs w:val="32"/>
        </w:rPr>
        <w:t>指区级财政当年拨付的资金。</w:t>
      </w:r>
    </w:p>
    <w:p>
      <w:pPr>
        <w:spacing w:line="500" w:lineRule="exact"/>
        <w:ind w:firstLine="643" w:firstLineChars="200"/>
        <w:jc w:val="left"/>
        <w:outlineLvl w:val="0"/>
        <w:rPr>
          <w:rFonts w:hint="eastAsia" w:ascii="宋体" w:hAnsi="宋体"/>
          <w:sz w:val="32"/>
          <w:szCs w:val="32"/>
        </w:rPr>
      </w:pPr>
      <w:r>
        <w:rPr>
          <w:rFonts w:hint="eastAsia" w:ascii="宋体" w:hAnsi="宋体"/>
          <w:b/>
          <w:sz w:val="32"/>
          <w:szCs w:val="32"/>
        </w:rPr>
        <w:t>2、其他收入：</w:t>
      </w:r>
      <w:r>
        <w:rPr>
          <w:rFonts w:hint="eastAsia" w:ascii="宋体" w:hAnsi="宋体"/>
          <w:sz w:val="32"/>
          <w:szCs w:val="32"/>
        </w:rPr>
        <w:t>指除上述“财政拨款收入”、“事业收入”等以外的收入。</w:t>
      </w:r>
    </w:p>
    <w:p>
      <w:pPr>
        <w:spacing w:line="500" w:lineRule="exact"/>
        <w:ind w:firstLine="643" w:firstLineChars="200"/>
        <w:jc w:val="left"/>
        <w:outlineLvl w:val="0"/>
        <w:rPr>
          <w:rFonts w:hint="eastAsia" w:ascii="宋体" w:hAnsi="宋体"/>
          <w:sz w:val="32"/>
          <w:szCs w:val="32"/>
        </w:rPr>
      </w:pPr>
      <w:r>
        <w:rPr>
          <w:rFonts w:hint="eastAsia" w:ascii="宋体" w:hAnsi="宋体"/>
          <w:b/>
          <w:sz w:val="32"/>
          <w:szCs w:val="32"/>
        </w:rPr>
        <w:t>3、基本支出：</w:t>
      </w:r>
      <w:r>
        <w:rPr>
          <w:rFonts w:hint="eastAsia" w:ascii="宋体" w:hAnsi="宋体"/>
          <w:sz w:val="32"/>
          <w:szCs w:val="32"/>
        </w:rPr>
        <w:t>指为保障机构正常运转、完成日常工作任务而发生的人员支出和公用支出。</w:t>
      </w:r>
    </w:p>
    <w:p>
      <w:pPr>
        <w:spacing w:line="500" w:lineRule="exact"/>
        <w:ind w:firstLine="643" w:firstLineChars="200"/>
        <w:jc w:val="left"/>
        <w:outlineLvl w:val="0"/>
        <w:rPr>
          <w:rFonts w:hint="eastAsia" w:ascii="宋体" w:hAnsi="宋体"/>
          <w:sz w:val="32"/>
          <w:szCs w:val="32"/>
        </w:rPr>
      </w:pPr>
      <w:r>
        <w:rPr>
          <w:rFonts w:hint="eastAsia" w:ascii="宋体" w:hAnsi="宋体"/>
          <w:b/>
          <w:sz w:val="32"/>
          <w:szCs w:val="32"/>
        </w:rPr>
        <w:t>4、项目支出：</w:t>
      </w:r>
      <w:r>
        <w:rPr>
          <w:rFonts w:hint="eastAsia" w:ascii="宋体" w:hAnsi="宋体"/>
          <w:sz w:val="32"/>
          <w:szCs w:val="32"/>
        </w:rPr>
        <w:t>指在基本支出之外为完成特定行政任务和事业发展目标所发生的支出。</w:t>
      </w:r>
    </w:p>
    <w:p>
      <w:pPr>
        <w:spacing w:line="500" w:lineRule="exact"/>
        <w:ind w:firstLine="643" w:firstLineChars="200"/>
        <w:jc w:val="left"/>
        <w:outlineLvl w:val="0"/>
        <w:rPr>
          <w:rFonts w:hint="eastAsia" w:ascii="宋体" w:hAnsi="宋体"/>
          <w:sz w:val="32"/>
          <w:szCs w:val="32"/>
        </w:rPr>
      </w:pPr>
      <w:r>
        <w:rPr>
          <w:rFonts w:hint="eastAsia" w:ascii="宋体" w:hAnsi="宋体"/>
          <w:b/>
          <w:sz w:val="32"/>
          <w:szCs w:val="32"/>
        </w:rPr>
        <w:t>5、“三公”经费：</w:t>
      </w:r>
      <w:r>
        <w:rPr>
          <w:rFonts w:hint="eastAsia" w:ascii="宋体" w:hAnsi="宋体"/>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宋体" w:hAnsi="宋体"/>
          <w:sz w:val="32"/>
          <w:szCs w:val="32"/>
        </w:rPr>
      </w:pPr>
      <w:r>
        <w:rPr>
          <w:rFonts w:hint="eastAsia" w:ascii="宋体" w:hAnsi="宋体"/>
          <w:b/>
          <w:sz w:val="32"/>
          <w:szCs w:val="32"/>
        </w:rPr>
        <w:t>6、机关运行费：</w:t>
      </w:r>
      <w:r>
        <w:rPr>
          <w:rFonts w:hint="eastAsia" w:ascii="宋体" w:hAnsi="宋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福利费以及其他费用。</w:t>
      </w:r>
    </w:p>
    <w:p>
      <w:pPr>
        <w:ind w:firstLine="803" w:firstLineChars="250"/>
        <w:rPr>
          <w:rFonts w:hint="eastAsia" w:ascii="宋体" w:hAnsi="宋体"/>
          <w:sz w:val="32"/>
          <w:szCs w:val="32"/>
        </w:rPr>
      </w:pPr>
      <w:r>
        <w:rPr>
          <w:rFonts w:hint="eastAsia" w:ascii="宋体" w:hAnsi="宋体"/>
          <w:b/>
          <w:sz w:val="32"/>
          <w:szCs w:val="32"/>
        </w:rPr>
        <w:t>7、公务费：</w:t>
      </w:r>
      <w:r>
        <w:rPr>
          <w:rFonts w:hint="eastAsia" w:ascii="宋体" w:hAnsi="宋体"/>
          <w:sz w:val="32"/>
          <w:szCs w:val="32"/>
        </w:rPr>
        <w:t>包括办公费、差旅费、水电费、邮电费、取暖费、交通费、一般会议费和物业管理费之和。</w:t>
      </w: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640" w:firstLineChars="200"/>
        <w:jc w:val="left"/>
        <w:outlineLvl w:val="0"/>
        <w:rPr>
          <w:rFonts w:hint="eastAsia" w:ascii="宋体" w:hAnsi="宋体"/>
          <w:sz w:val="32"/>
          <w:szCs w:val="32"/>
        </w:rPr>
      </w:pPr>
      <w:r>
        <w:rPr>
          <w:rFonts w:hint="eastAsia" w:ascii="宋体" w:hAnsi="宋体"/>
          <w:sz w:val="32"/>
          <w:szCs w:val="32"/>
        </w:rPr>
        <w:t>无其他需说明的事项。</w:t>
      </w:r>
      <w:r>
        <w:rPr>
          <w:rFonts w:hint="eastAsia" w:ascii="宋体" w:hAnsi="宋体"/>
          <w:kern w:val="0"/>
          <w:sz w:val="32"/>
          <w:szCs w:val="32"/>
        </w:rPr>
        <w:t xml:space="preserve"> </w:t>
      </w: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1" w:usb1="080E0000" w:usb2="00000010" w:usb3="00000000" w:csb0="00040000" w:csb1="00000000"/>
  </w:font>
  <w:font w:name="方正黑体.">
    <w:altName w:val="黑体"/>
    <w:panose1 w:val="00000000000000000000"/>
    <w:charset w:val="86"/>
    <w:family w:val="decorative"/>
    <w:pitch w:val="default"/>
    <w:sig w:usb0="00000000" w:usb1="00000000" w:usb2="00000010" w:usb3="00000000" w:csb0="00040000" w:csb1="00000000"/>
  </w:font>
  <w:font w:name="方正仿宋.">
    <w:altName w:val="宋体"/>
    <w:panose1 w:val="00000000000000000000"/>
    <w:charset w:val="86"/>
    <w:family w:val="modern"/>
    <w:pitch w:val="default"/>
    <w:sig w:usb0="00000000" w:usb1="00000000" w:usb2="00000010" w:usb3="00000000" w:csb0="00040000" w:csb1="00000000"/>
  </w:font>
  <w:font w:name="方正仿宋.é..">
    <w:altName w:val="宋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C3"/>
    <w:rsid w:val="000173FB"/>
    <w:rsid w:val="0002076A"/>
    <w:rsid w:val="00083039"/>
    <w:rsid w:val="000D17AB"/>
    <w:rsid w:val="00157417"/>
    <w:rsid w:val="001709A5"/>
    <w:rsid w:val="00190905"/>
    <w:rsid w:val="00226B92"/>
    <w:rsid w:val="00237261"/>
    <w:rsid w:val="00276A71"/>
    <w:rsid w:val="002948CD"/>
    <w:rsid w:val="002A77F3"/>
    <w:rsid w:val="002C59B0"/>
    <w:rsid w:val="00332BB5"/>
    <w:rsid w:val="0034264D"/>
    <w:rsid w:val="003E079C"/>
    <w:rsid w:val="004146EA"/>
    <w:rsid w:val="0041713C"/>
    <w:rsid w:val="00437748"/>
    <w:rsid w:val="004567FB"/>
    <w:rsid w:val="0046098C"/>
    <w:rsid w:val="004620F9"/>
    <w:rsid w:val="00492E93"/>
    <w:rsid w:val="004E0495"/>
    <w:rsid w:val="004E7FC2"/>
    <w:rsid w:val="004F068F"/>
    <w:rsid w:val="00531C92"/>
    <w:rsid w:val="00536975"/>
    <w:rsid w:val="005551F0"/>
    <w:rsid w:val="005566FC"/>
    <w:rsid w:val="00575E1C"/>
    <w:rsid w:val="00582A3A"/>
    <w:rsid w:val="005956BE"/>
    <w:rsid w:val="00595799"/>
    <w:rsid w:val="005F379F"/>
    <w:rsid w:val="0060263C"/>
    <w:rsid w:val="006218A2"/>
    <w:rsid w:val="00622769"/>
    <w:rsid w:val="00623028"/>
    <w:rsid w:val="00627F76"/>
    <w:rsid w:val="00641335"/>
    <w:rsid w:val="00666F66"/>
    <w:rsid w:val="006769C7"/>
    <w:rsid w:val="006800A2"/>
    <w:rsid w:val="00697329"/>
    <w:rsid w:val="006C0902"/>
    <w:rsid w:val="006F3870"/>
    <w:rsid w:val="007014EE"/>
    <w:rsid w:val="00751CE6"/>
    <w:rsid w:val="00761D2D"/>
    <w:rsid w:val="007B5970"/>
    <w:rsid w:val="007E6CC3"/>
    <w:rsid w:val="008474E6"/>
    <w:rsid w:val="00847C46"/>
    <w:rsid w:val="008741DF"/>
    <w:rsid w:val="00886268"/>
    <w:rsid w:val="00897502"/>
    <w:rsid w:val="008F00B1"/>
    <w:rsid w:val="00910D26"/>
    <w:rsid w:val="00914C8C"/>
    <w:rsid w:val="00977463"/>
    <w:rsid w:val="00984DF3"/>
    <w:rsid w:val="00A031FA"/>
    <w:rsid w:val="00A857C5"/>
    <w:rsid w:val="00AB7D65"/>
    <w:rsid w:val="00AD3A55"/>
    <w:rsid w:val="00AE2F60"/>
    <w:rsid w:val="00AE64D6"/>
    <w:rsid w:val="00B03E96"/>
    <w:rsid w:val="00BB195E"/>
    <w:rsid w:val="00BE40C6"/>
    <w:rsid w:val="00BF4B5D"/>
    <w:rsid w:val="00C42ED5"/>
    <w:rsid w:val="00C50734"/>
    <w:rsid w:val="00C52E58"/>
    <w:rsid w:val="00C61CD4"/>
    <w:rsid w:val="00C913B6"/>
    <w:rsid w:val="00CB070B"/>
    <w:rsid w:val="00CC67EB"/>
    <w:rsid w:val="00CF1D6C"/>
    <w:rsid w:val="00D57F23"/>
    <w:rsid w:val="00D63A4D"/>
    <w:rsid w:val="00D7265A"/>
    <w:rsid w:val="00DB3A42"/>
    <w:rsid w:val="00DE288A"/>
    <w:rsid w:val="00DF1306"/>
    <w:rsid w:val="00E43769"/>
    <w:rsid w:val="00E873F7"/>
    <w:rsid w:val="00EA3331"/>
    <w:rsid w:val="00EB158D"/>
    <w:rsid w:val="00ED78C4"/>
    <w:rsid w:val="00EE3161"/>
    <w:rsid w:val="00EE3B90"/>
    <w:rsid w:val="00F121A1"/>
    <w:rsid w:val="00F20EAA"/>
    <w:rsid w:val="00F47770"/>
    <w:rsid w:val="00F72BF9"/>
    <w:rsid w:val="00FB21C0"/>
    <w:rsid w:val="00FB7D10"/>
    <w:rsid w:val="00FC1BE9"/>
    <w:rsid w:val="00FC4148"/>
    <w:rsid w:val="00FF0FBC"/>
    <w:rsid w:val="00FF71E6"/>
    <w:rsid w:val="03113F8D"/>
    <w:rsid w:val="043478D6"/>
    <w:rsid w:val="0AA713C0"/>
    <w:rsid w:val="0CF53363"/>
    <w:rsid w:val="0DCF1309"/>
    <w:rsid w:val="12EE17EF"/>
    <w:rsid w:val="215C0625"/>
    <w:rsid w:val="225014B0"/>
    <w:rsid w:val="22E54A08"/>
    <w:rsid w:val="260D3A4A"/>
    <w:rsid w:val="269B2AE6"/>
    <w:rsid w:val="27FD61A4"/>
    <w:rsid w:val="292739D6"/>
    <w:rsid w:val="2A781B3D"/>
    <w:rsid w:val="2D3B5006"/>
    <w:rsid w:val="32514872"/>
    <w:rsid w:val="348E1E5E"/>
    <w:rsid w:val="34BE2AB4"/>
    <w:rsid w:val="38706CC8"/>
    <w:rsid w:val="3B9B2A29"/>
    <w:rsid w:val="3BEB064A"/>
    <w:rsid w:val="3EF40ABC"/>
    <w:rsid w:val="41A448BE"/>
    <w:rsid w:val="49E869CF"/>
    <w:rsid w:val="4B365801"/>
    <w:rsid w:val="517F2769"/>
    <w:rsid w:val="579462D3"/>
    <w:rsid w:val="59E7704E"/>
    <w:rsid w:val="5E196058"/>
    <w:rsid w:val="6011260B"/>
    <w:rsid w:val="620F21A5"/>
    <w:rsid w:val="6D252E29"/>
    <w:rsid w:val="6F874124"/>
    <w:rsid w:val="77D32077"/>
    <w:rsid w:val="77DB7CF5"/>
    <w:rsid w:val="78993B55"/>
    <w:rsid w:val="7BD16B1E"/>
    <w:rsid w:val="7E673828"/>
    <w:rsid w:val="7EF268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toc 2"/>
    <w:basedOn w:val="1"/>
    <w:next w:val="1"/>
    <w:qFormat/>
    <w:uiPriority w:val="0"/>
    <w:pPr>
      <w:spacing w:line="240" w:lineRule="auto"/>
      <w:ind w:left="420" w:leftChars="200"/>
    </w:pPr>
    <w:rPr>
      <w:rFonts w:ascii="Calibri" w:hAnsi="Calibri" w:eastAsia="仿宋_GB2312"/>
      <w:spacing w:val="0"/>
      <w:sz w:val="21"/>
      <w:szCs w:val="24"/>
    </w:rPr>
  </w:style>
  <w:style w:type="paragraph" w:styleId="3">
    <w:name w:val="Date"/>
    <w:basedOn w:val="1"/>
    <w:next w:val="1"/>
    <w:link w:val="10"/>
    <w:uiPriority w:val="0"/>
    <w:pPr>
      <w:ind w:left="100" w:leftChars="250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customStyle="1" w:styleId="10">
    <w:name w:val="日期 Char"/>
    <w:basedOn w:val="8"/>
    <w:link w:val="3"/>
    <w:uiPriority w:val="0"/>
    <w:rPr>
      <w:kern w:val="2"/>
      <w:sz w:val="21"/>
      <w:szCs w:val="24"/>
    </w:rPr>
  </w:style>
  <w:style w:type="character" w:customStyle="1" w:styleId="11">
    <w:name w:val="页脚 Char"/>
    <w:basedOn w:val="8"/>
    <w:link w:val="4"/>
    <w:uiPriority w:val="0"/>
    <w:rPr>
      <w:kern w:val="2"/>
      <w:sz w:val="18"/>
      <w:szCs w:val="18"/>
    </w:rPr>
  </w:style>
  <w:style w:type="character" w:customStyle="1" w:styleId="12">
    <w:name w:val="页眉 Char"/>
    <w:basedOn w:val="8"/>
    <w:link w:val="5"/>
    <w:uiPriority w:val="0"/>
    <w:rPr>
      <w:kern w:val="2"/>
      <w:sz w:val="18"/>
      <w:szCs w:val="18"/>
    </w:rPr>
  </w:style>
  <w:style w:type="paragraph" w:customStyle="1" w:styleId="13">
    <w:name w:val="Defaul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15</Pages>
  <Words>1041</Words>
  <Characters>5938</Characters>
  <Lines>49</Lines>
  <Paragraphs>13</Paragraphs>
  <TotalTime>9</TotalTime>
  <ScaleCrop>false</ScaleCrop>
  <LinksUpToDate>false</LinksUpToDate>
  <CharactersWithSpaces>6966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2021-07-13T02:55:00Z</dcterms:created>
  <dc:creator>Lenovo User</dc:creator>
  <cp:lastModifiedBy>Administrator</cp:lastModifiedBy>
  <cp:lastPrinted>2015-11-02T06:46:00Z</cp:lastPrinted>
  <dcterms:modified xsi:type="dcterms:W3CDTF">2023-12-06T08:32:35Z</dcterms:modified>
  <dc:title>中共中定市委农工村工作委员会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A9375E4CE54C4B489A585DC5A190D93C</vt:lpwstr>
  </property>
</Properties>
</file>