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中共保定市满城区委宣传部</w:t>
      </w:r>
    </w:p>
    <w:p>
      <w:pPr>
        <w:jc w:val="center"/>
        <w:rPr>
          <w:rFonts w:ascii="宋体" w:hAnsi="宋体"/>
          <w:b/>
          <w:sz w:val="44"/>
          <w:szCs w:val="44"/>
        </w:rPr>
      </w:pPr>
      <w:r>
        <w:rPr>
          <w:rFonts w:hint="eastAsia" w:ascii="宋体" w:hAnsi="宋体"/>
          <w:b/>
          <w:sz w:val="44"/>
          <w:szCs w:val="44"/>
        </w:rPr>
        <w:t>2021年部门预算信息公开说明</w:t>
      </w:r>
    </w:p>
    <w:p>
      <w:pPr>
        <w:spacing w:line="360" w:lineRule="exact"/>
        <w:ind w:firstLine="640" w:firstLineChars="200"/>
        <w:jc w:val="left"/>
        <w:rPr>
          <w:rFonts w:ascii="仿宋_GB2312" w:hAnsi="仿宋"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宋体" w:eastAsia="仿宋_GB2312" w:cs="仿宋_GB2312"/>
          <w:sz w:val="32"/>
          <w:szCs w:val="32"/>
        </w:rPr>
      </w:pPr>
      <w:r>
        <w:rPr>
          <w:rFonts w:hint="eastAsia" w:ascii="仿宋_GB2312" w:hAnsi="宋体" w:eastAsia="仿宋_GB2312" w:cs="仿宋_GB2312"/>
          <w:sz w:val="32"/>
          <w:szCs w:val="32"/>
        </w:rPr>
        <w:t>按照《</w:t>
      </w:r>
      <w:r>
        <w:rPr>
          <w:rFonts w:hint="eastAsia" w:ascii="仿宋_GB2312" w:hAnsi="宋体" w:eastAsia="仿宋_GB2312" w:cs="仿宋_GB2312"/>
          <w:sz w:val="32"/>
          <w:szCs w:val="32"/>
          <w:lang w:val="en-US" w:eastAsia="zh-CN"/>
        </w:rPr>
        <w:t>中华人民共和国</w:t>
      </w:r>
      <w:r>
        <w:rPr>
          <w:rFonts w:hint="eastAsia" w:ascii="仿宋_GB2312" w:hAnsi="宋体" w:eastAsia="仿宋_GB2312" w:cs="仿宋_GB2312"/>
          <w:sz w:val="32"/>
          <w:szCs w:val="32"/>
        </w:rPr>
        <w:t>预算法》、</w:t>
      </w:r>
      <w:r>
        <w:rPr>
          <w:rFonts w:hint="eastAsia" w:ascii="仿宋_GB2312" w:hAnsi="宋体" w:eastAsia="仿宋_GB2312"/>
          <w:sz w:val="32"/>
          <w:szCs w:val="32"/>
        </w:rPr>
        <w:t>《地方预决算公开操作规程》和《河北省省级预算公开办法》</w:t>
      </w:r>
      <w:r>
        <w:rPr>
          <w:rFonts w:hint="eastAsia" w:ascii="仿宋_GB2312" w:hAnsi="宋体" w:eastAsia="仿宋_GB2312" w:cs="仿宋_GB2312"/>
          <w:sz w:val="32"/>
          <w:szCs w:val="32"/>
        </w:rPr>
        <w:t>规定，现将满城区</w:t>
      </w:r>
      <w:r>
        <w:rPr>
          <w:rFonts w:hint="eastAsia" w:ascii="仿宋_GB2312" w:hAnsi="宋体" w:eastAsia="仿宋_GB2312" w:cs="仿宋_GB2312"/>
          <w:sz w:val="32"/>
          <w:szCs w:val="32"/>
          <w:lang w:val="en-US" w:eastAsia="zh-CN"/>
        </w:rPr>
        <w:t>委</w:t>
      </w:r>
      <w:r>
        <w:rPr>
          <w:rFonts w:hint="eastAsia" w:ascii="仿宋_GB2312" w:hAnsi="宋体" w:eastAsia="仿宋_GB2312" w:cs="仿宋_GB2312"/>
          <w:sz w:val="32"/>
          <w:szCs w:val="32"/>
        </w:rPr>
        <w:t>宣传部2021年部门预算公开如下：</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宋体" w:hAnsi="宋体"/>
          <w:b/>
          <w:sz w:val="32"/>
          <w:szCs w:val="32"/>
        </w:rPr>
      </w:pPr>
      <w:bookmarkStart w:id="0" w:name="_GoBack"/>
      <w:bookmarkEnd w:id="0"/>
      <w:r>
        <w:rPr>
          <w:rFonts w:hint="eastAsia" w:ascii="宋体" w:hAnsi="宋体"/>
          <w:b/>
          <w:sz w:val="32"/>
          <w:szCs w:val="32"/>
        </w:rPr>
        <w:t>第一部分:部门职责及机构设置</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一、部门职责</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（一）拟订全区宣传思想文化工作重大方针和事业发展总体规划，统筹协调推进宣传思想文化领域法治建设，按照区委统一部署，协调宣传思想文化系统各单位之间的工作。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（二）统筹协调全区党的意识形态工作，贯彻落实区委关于意识形态工作决策部署，组织协调意识形态工作责任制落实和日常监督检查，结合巡视巡察工作开展专项检查。</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（三）统筹指导协调全区理论研究、理论学习、理论宣传工作，组织推动理论武装工作，推动落实马克思主义理论研究和建设工程任务，负责区委理论学习中心组理论学习的有关工作。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四)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（五）统筹分析研判和引导全区社会舆论，指导协调区直各新闻单位的工作，组织全区突发公共事件应急新闻工作。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六）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（七）从宏观上统筹指导协调全区互联网宣传和信息内容管理工作。统筹数字新媒体的建设和管理。</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（八）从宏观上统筹指导协调推动全区精神文化产品的创作和生产，协调组织中华优秀传统文化传承发展有关工作，指导协调推动群众文化建设。</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（九）负责管理全区电影行政事务，指导监管电影制片、发行、放映工作，组织对电影内容进行审查，指导协调全区性重大电影活动。</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（十一）统筹指导全区舆情信息工作，组织协调开展区内外舆情信息收集分析研判工作，跟踪了解、研究掌握宣传舆情动态。</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（十二）统筹研究拟定有关全区精神文明建设的方针、政策。规划部署全区精神文明建设工作，组织指导全区群众性精神文明创建活动。</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三）统筹协调全区对外宣传工作。指导协调有关部门研究拟订全区对外宣传事业发展规划，组织协调我区对外宣传文化交流活动，会同有关部门做好境外记者采访事务方面工作。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四）统筹协调组织开展新闻发布工作。承担区委新闻发布有关组织协调工作，负责区政府新闻发布组织实施工作。指导协调区政府各部门的新闻发布工作，推动新闻发言人制度落实。拟订我区重大问题对外宣传口径。</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五）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十六）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（十七）完成区委交办的其他工作任务。</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部门机构设置情况</w:t>
      </w:r>
    </w:p>
    <w:tbl>
      <w:tblPr>
        <w:tblStyle w:val="8"/>
        <w:tblW w:w="12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7"/>
        <w:gridCol w:w="1994"/>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377"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单位名称</w:t>
            </w:r>
          </w:p>
        </w:tc>
        <w:tc>
          <w:tcPr>
            <w:tcW w:w="1994"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单位性质</w:t>
            </w:r>
          </w:p>
        </w:tc>
        <w:tc>
          <w:tcPr>
            <w:tcW w:w="2356"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单位规格</w:t>
            </w:r>
          </w:p>
        </w:tc>
        <w:tc>
          <w:tcPr>
            <w:tcW w:w="2356"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7"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中共保定市满城区委宣传部</w:t>
            </w:r>
          </w:p>
        </w:tc>
        <w:tc>
          <w:tcPr>
            <w:tcW w:w="1994"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行政</w:t>
            </w:r>
          </w:p>
        </w:tc>
        <w:tc>
          <w:tcPr>
            <w:tcW w:w="2356"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正科级</w:t>
            </w:r>
          </w:p>
        </w:tc>
        <w:tc>
          <w:tcPr>
            <w:tcW w:w="2356" w:type="dxa"/>
            <w:vAlign w:val="center"/>
          </w:tcPr>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财政拨款</w:t>
            </w:r>
          </w:p>
        </w:tc>
      </w:tr>
    </w:tbl>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400" w:lineRule="exact"/>
        <w:ind w:firstLine="643" w:firstLineChars="200"/>
        <w:jc w:val="center"/>
        <w:textAlignment w:val="auto"/>
        <w:outlineLvl w:val="9"/>
        <w:rPr>
          <w:rFonts w:ascii="宋体" w:hAnsi="宋体"/>
          <w:b/>
          <w:sz w:val="32"/>
          <w:szCs w:val="32"/>
        </w:rPr>
      </w:pPr>
      <w:r>
        <w:rPr>
          <w:rFonts w:hint="eastAsia" w:ascii="宋体" w:hAnsi="宋体"/>
          <w:b/>
          <w:sz w:val="32"/>
          <w:szCs w:val="32"/>
        </w:rPr>
        <w:t>第二部分：部门预算安排的总体情况</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一、收入说明</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2021年宣传部年初部门收入预算总额为246.15万元。其中：一般公共预算收入245.15万元，政府基金预算收入1万元。</w:t>
      </w:r>
    </w:p>
    <w:p>
      <w:pPr>
        <w:keepNext w:val="0"/>
        <w:keepLines w:val="0"/>
        <w:pageBreakBefore w:val="0"/>
        <w:kinsoku/>
        <w:wordWrap/>
        <w:overflowPunct/>
        <w:topLinePunct w:val="0"/>
        <w:autoSpaceDE/>
        <w:autoSpaceDN/>
        <w:bidi w:val="0"/>
        <w:adjustRightInd/>
        <w:snapToGrid/>
        <w:spacing w:line="400" w:lineRule="exact"/>
        <w:ind w:firstLine="643" w:firstLineChars="200"/>
        <w:jc w:val="both"/>
        <w:textAlignment w:val="auto"/>
        <w:outlineLvl w:val="9"/>
        <w:rPr>
          <w:rFonts w:ascii="宋体" w:hAnsi="宋体"/>
          <w:b/>
          <w:sz w:val="32"/>
          <w:szCs w:val="32"/>
        </w:rPr>
      </w:pPr>
      <w:r>
        <w:rPr>
          <w:rFonts w:hint="eastAsia" w:ascii="宋体" w:hAnsi="宋体"/>
          <w:b/>
          <w:sz w:val="32"/>
          <w:szCs w:val="32"/>
        </w:rPr>
        <w:t>二、支出说明</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2021年部门支出安排预算总额：246.15万元。</w:t>
      </w:r>
    </w:p>
    <w:p>
      <w:pPr>
        <w:keepNext w:val="0"/>
        <w:keepLines w:val="0"/>
        <w:pageBreakBefore w:val="0"/>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其中：一般公共预算财政拨款基本支出：人员经费124.32万元，公用经费18.97万元，年初项目101.86万元；政府基金预算财政拨款支出：文化旅游体育与传媒支出1万元。</w:t>
      </w:r>
    </w:p>
    <w:p>
      <w:pPr>
        <w:keepNext w:val="0"/>
        <w:keepLines w:val="0"/>
        <w:pageBreakBefore w:val="0"/>
        <w:kinsoku/>
        <w:wordWrap/>
        <w:overflowPunct/>
        <w:topLinePunct w:val="0"/>
        <w:autoSpaceDE/>
        <w:autoSpaceDN/>
        <w:bidi w:val="0"/>
        <w:adjustRightInd/>
        <w:snapToGrid/>
        <w:spacing w:line="400" w:lineRule="exact"/>
        <w:ind w:firstLine="643" w:firstLineChars="200"/>
        <w:jc w:val="both"/>
        <w:textAlignment w:val="auto"/>
        <w:outlineLvl w:val="9"/>
        <w:rPr>
          <w:rFonts w:ascii="宋体" w:hAnsi="宋体"/>
          <w:b/>
          <w:sz w:val="32"/>
          <w:szCs w:val="32"/>
        </w:rPr>
      </w:pPr>
      <w:r>
        <w:rPr>
          <w:rFonts w:hint="eastAsia" w:ascii="宋体" w:hAnsi="宋体"/>
          <w:b/>
          <w:sz w:val="32"/>
          <w:szCs w:val="32"/>
        </w:rPr>
        <w:t>三、比上年增减情况</w:t>
      </w:r>
    </w:p>
    <w:p>
      <w:pPr>
        <w:keepNext w:val="0"/>
        <w:keepLines w:val="0"/>
        <w:pageBreakBefore w:val="0"/>
        <w:tabs>
          <w:tab w:val="left" w:pos="916"/>
        </w:tabs>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sz w:val="32"/>
          <w:szCs w:val="32"/>
        </w:rPr>
      </w:pPr>
      <w:r>
        <w:rPr>
          <w:rFonts w:hint="eastAsia" w:ascii="仿宋_GB2312" w:hAnsi="宋体" w:eastAsia="仿宋_GB2312" w:cs="宋体"/>
          <w:kern w:val="0"/>
          <w:sz w:val="32"/>
          <w:szCs w:val="32"/>
        </w:rPr>
        <w:t>2021年宣传部预算收支安排246.15万元，较2020年增加74.96万元，其中</w:t>
      </w:r>
      <w:r>
        <w:rPr>
          <w:rFonts w:hint="eastAsia" w:ascii="仿宋_GB2312" w:hAnsi="仿宋" w:eastAsia="仿宋_GB2312"/>
          <w:sz w:val="32"/>
          <w:szCs w:val="32"/>
        </w:rPr>
        <w:t>人员经费支出增加22.27万元（人员增加：新录用公务员1名，新调入常务副部长1名）；日常公用经费增加3.25万元（人员增加2名）；政府性基金预算较上年减少12万元（上级下达政府性基金专款文件只涉及1万元）；年初项目较上年增加61.44万元（机构改革职能增加，老放映员生活补助、农村公益电影放映、嘉和影院相关使用费等列入年初预算）。</w:t>
      </w:r>
    </w:p>
    <w:p>
      <w:pPr>
        <w:keepNext w:val="0"/>
        <w:keepLines w:val="0"/>
        <w:pageBreakBefore w:val="0"/>
        <w:tabs>
          <w:tab w:val="left" w:pos="916"/>
        </w:tabs>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2021年我部的各项支出将以全面贯彻党和国家有关政策、认真遵守财经纪律为准则，严格按预算规定的标准、用途执行，做到经费按进度，专款专用，力争全面提高资金的使用效率。</w:t>
      </w:r>
    </w:p>
    <w:p>
      <w:pPr>
        <w:keepNext w:val="0"/>
        <w:keepLines w:val="0"/>
        <w:pageBreakBefore w:val="0"/>
        <w:kinsoku/>
        <w:wordWrap/>
        <w:overflowPunct/>
        <w:topLinePunct w:val="0"/>
        <w:autoSpaceDE/>
        <w:autoSpaceDN/>
        <w:bidi w:val="0"/>
        <w:adjustRightInd/>
        <w:snapToGrid/>
        <w:spacing w:line="400" w:lineRule="exact"/>
        <w:ind w:firstLine="643" w:firstLineChars="200"/>
        <w:jc w:val="both"/>
        <w:textAlignment w:val="auto"/>
        <w:outlineLvl w:val="9"/>
        <w:rPr>
          <w:rFonts w:ascii="宋体" w:hAnsi="宋体"/>
          <w:b/>
          <w:sz w:val="32"/>
          <w:szCs w:val="32"/>
        </w:rPr>
      </w:pPr>
    </w:p>
    <w:p>
      <w:pPr>
        <w:keepNext w:val="0"/>
        <w:keepLines w:val="0"/>
        <w:pageBreakBefore w:val="0"/>
        <w:kinsoku/>
        <w:wordWrap/>
        <w:overflowPunct/>
        <w:topLinePunct w:val="0"/>
        <w:autoSpaceDE/>
        <w:autoSpaceDN/>
        <w:bidi w:val="0"/>
        <w:adjustRightInd/>
        <w:snapToGrid/>
        <w:spacing w:line="400" w:lineRule="exact"/>
        <w:ind w:firstLine="643" w:firstLineChars="200"/>
        <w:jc w:val="center"/>
        <w:textAlignment w:val="auto"/>
        <w:outlineLvl w:val="9"/>
        <w:rPr>
          <w:rFonts w:ascii="宋体" w:hAnsi="宋体"/>
          <w:b/>
          <w:sz w:val="32"/>
          <w:szCs w:val="32"/>
        </w:rPr>
      </w:pPr>
      <w:r>
        <w:rPr>
          <w:rFonts w:hint="eastAsia" w:ascii="宋体" w:hAnsi="宋体"/>
          <w:b/>
          <w:sz w:val="32"/>
          <w:szCs w:val="32"/>
        </w:rPr>
        <w:t>第三部分：机关运行经费安排情况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jc w:val="both"/>
        <w:textAlignment w:val="auto"/>
        <w:outlineLvl w:val="9"/>
        <w:rPr>
          <w:rFonts w:ascii="仿宋_GB2312" w:hAnsi="宋体" w:eastAsia="仿宋_GB2312" w:cs="宋体"/>
          <w:b/>
          <w:bCs/>
          <w:kern w:val="0"/>
          <w:sz w:val="32"/>
          <w:szCs w:val="32"/>
        </w:rPr>
      </w:pPr>
      <w:r>
        <w:rPr>
          <w:rFonts w:hint="eastAsia" w:ascii="仿宋_GB2312" w:hAnsi="宋体" w:eastAsia="仿宋_GB2312" w:cs="宋体"/>
          <w:kern w:val="0"/>
          <w:sz w:val="32"/>
          <w:szCs w:val="32"/>
        </w:rPr>
        <w:t>2021年机关运行经费安排18.97万元，其中办公费0.7万元，水费0.15万元，电费0.5万元，邮电费4.92万元，差旅费0.15万元，公务接待费0.37万元，福利费1.08万元，公务用车运行维护费4.0万元，其他交通费7.02万元，其他商品服务支出0.08万。</w:t>
      </w:r>
    </w:p>
    <w:p>
      <w:pPr>
        <w:spacing w:line="520" w:lineRule="exact"/>
        <w:jc w:val="center"/>
        <w:rPr>
          <w:rFonts w:hint="eastAsia" w:ascii="宋体" w:hAnsi="宋体"/>
          <w:b/>
          <w:sz w:val="32"/>
          <w:szCs w:val="32"/>
        </w:rPr>
      </w:pPr>
    </w:p>
    <w:p>
      <w:pPr>
        <w:spacing w:line="520" w:lineRule="exact"/>
        <w:jc w:val="center"/>
        <w:rPr>
          <w:rFonts w:ascii="宋体" w:hAnsi="宋体"/>
          <w:b/>
          <w:sz w:val="32"/>
          <w:szCs w:val="32"/>
        </w:rPr>
      </w:pPr>
      <w:r>
        <w:rPr>
          <w:rFonts w:hint="eastAsia" w:ascii="宋体" w:hAnsi="宋体"/>
          <w:b/>
          <w:sz w:val="32"/>
          <w:szCs w:val="32"/>
        </w:rPr>
        <w:t>第四部分：财政拨款“三公”经费预算情况</w:t>
      </w:r>
    </w:p>
    <w:tbl>
      <w:tblPr>
        <w:tblStyle w:val="7"/>
        <w:tblW w:w="9855" w:type="dxa"/>
        <w:jc w:val="center"/>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882" w:hRule="atLeast"/>
          <w:jc w:val="center"/>
        </w:trPr>
        <w:tc>
          <w:tcPr>
            <w:tcW w:w="9855" w:type="dxa"/>
            <w:gridSpan w:val="7"/>
            <w:vAlign w:val="center"/>
          </w:tcPr>
          <w:p>
            <w:pPr>
              <w:widowControl/>
              <w:spacing w:before="100" w:beforeAutospacing="1" w:after="100" w:afterAutospacing="1"/>
              <w:jc w:val="center"/>
              <w:rPr>
                <w:rFonts w:hint="eastAsia" w:ascii="宋体" w:hAnsi="宋体" w:cs="宋体"/>
                <w:color w:val="000000"/>
                <w:kern w:val="0"/>
                <w:sz w:val="32"/>
                <w:szCs w:val="32"/>
              </w:rPr>
            </w:pPr>
          </w:p>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893" w:type="dxa"/>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jc w:val="center"/>
        </w:trPr>
        <w:tc>
          <w:tcPr>
            <w:tcW w:w="21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2020年度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6" w:type="dxa"/>
            <w:gridSpan w:val="2"/>
            <w:tcBorders>
              <w:top w:val="single" w:color="auto" w:sz="8"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2021年度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5"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3893"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ascii="宋体" w:hAnsi="宋体" w:cs="宋体"/>
                <w:color w:val="000000"/>
                <w:kern w:val="0"/>
                <w:szCs w:val="21"/>
              </w:rPr>
              <w:t>无增减变化</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区财政预算经费定额标准有变化。</w:t>
            </w:r>
          </w:p>
        </w:tc>
      </w:tr>
      <w:tr>
        <w:tblPrEx>
          <w:tblCellMar>
            <w:top w:w="0" w:type="dxa"/>
            <w:left w:w="108" w:type="dxa"/>
            <w:bottom w:w="0" w:type="dxa"/>
            <w:right w:w="108" w:type="dxa"/>
          </w:tblCellMar>
        </w:tblPrEx>
        <w:trPr>
          <w:trHeight w:val="493"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0.31</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0.37</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0.06</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人员增加</w:t>
            </w:r>
          </w:p>
        </w:tc>
      </w:tr>
      <w:tr>
        <w:tblPrEx>
          <w:tblCellMar>
            <w:top w:w="0" w:type="dxa"/>
            <w:left w:w="108" w:type="dxa"/>
            <w:bottom w:w="0" w:type="dxa"/>
            <w:right w:w="108" w:type="dxa"/>
          </w:tblCellMar>
        </w:tblPrEx>
        <w:trPr>
          <w:trHeight w:val="827"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5.31</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4.37</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-0.04</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2021年，我单位将继续严格执行管理制度，认真执行中央八项规定，厉行节约，杜绝浪费。</w:t>
            </w:r>
          </w:p>
        </w:tc>
      </w:tr>
    </w:tbl>
    <w:p>
      <w:pPr>
        <w:spacing w:line="240" w:lineRule="exact"/>
        <w:ind w:firstLine="630" w:firstLineChars="196"/>
        <w:jc w:val="left"/>
        <w:outlineLvl w:val="0"/>
        <w:rPr>
          <w:rFonts w:ascii="宋体" w:hAnsi="宋体"/>
          <w:b/>
          <w:sz w:val="32"/>
          <w:szCs w:val="32"/>
        </w:rPr>
      </w:pPr>
    </w:p>
    <w:p>
      <w:pPr>
        <w:spacing w:line="520" w:lineRule="exact"/>
        <w:jc w:val="center"/>
        <w:rPr>
          <w:rFonts w:hint="eastAsia" w:ascii="宋体" w:hAnsi="宋体"/>
          <w:b/>
          <w:sz w:val="32"/>
          <w:szCs w:val="32"/>
        </w:rPr>
      </w:pPr>
      <w:r>
        <w:rPr>
          <w:rFonts w:hint="eastAsia" w:ascii="宋体" w:hAnsi="宋体"/>
          <w:b/>
          <w:sz w:val="32"/>
          <w:szCs w:val="32"/>
        </w:rPr>
        <w:t>第五部分：绩效预算信息</w:t>
      </w:r>
    </w:p>
    <w:p>
      <w:pPr>
        <w:widowControl/>
        <w:spacing w:line="54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总体绩效目标</w:t>
      </w:r>
    </w:p>
    <w:p>
      <w:pPr>
        <w:widowControl/>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2021年，满城区宣传思想和意识形态工作在市委、市政府的大力支持下，在市委宣传部的正确指导下，区委</w:t>
      </w:r>
      <w:r>
        <w:rPr>
          <w:rFonts w:hint="eastAsia" w:ascii="仿宋_GB2312" w:hAnsi="宋体" w:eastAsia="仿宋_GB2312" w:cs="宋体"/>
          <w:kern w:val="0"/>
          <w:sz w:val="32"/>
          <w:szCs w:val="32"/>
        </w:rPr>
        <w:t>认真贯彻落实习近平总书记关于做好意识形态工作的重要讲话精神，认真贯彻落实</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宣传工作条例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十九大</w:t>
      </w:r>
      <w:r>
        <w:rPr>
          <w:rFonts w:hint="eastAsia" w:ascii="仿宋_GB2312" w:hAnsi="宋体" w:eastAsia="仿宋_GB2312" w:cs="宋体"/>
          <w:kern w:val="0"/>
          <w:sz w:val="32"/>
          <w:szCs w:val="32"/>
          <w:lang w:val="en-US" w:eastAsia="zh-CN"/>
        </w:rPr>
        <w:t>及</w:t>
      </w:r>
      <w:r>
        <w:rPr>
          <w:rFonts w:hint="eastAsia" w:ascii="仿宋_GB2312" w:hAnsi="宋体" w:eastAsia="仿宋_GB2312" w:cs="宋体"/>
          <w:kern w:val="0"/>
          <w:sz w:val="32"/>
          <w:szCs w:val="32"/>
        </w:rPr>
        <w:t>十九届</w:t>
      </w:r>
      <w:r>
        <w:rPr>
          <w:rFonts w:hint="eastAsia" w:ascii="仿宋_GB2312" w:hAnsi="宋体" w:eastAsia="仿宋_GB2312" w:cs="宋体"/>
          <w:kern w:val="0"/>
          <w:sz w:val="32"/>
          <w:szCs w:val="32"/>
          <w:lang w:val="en-US" w:eastAsia="zh-CN"/>
        </w:rPr>
        <w:t>历次</w:t>
      </w:r>
      <w:r>
        <w:rPr>
          <w:rFonts w:hint="eastAsia" w:ascii="仿宋_GB2312" w:hAnsi="宋体" w:eastAsia="仿宋_GB2312" w:cs="宋体"/>
          <w:kern w:val="0"/>
          <w:sz w:val="32"/>
          <w:szCs w:val="32"/>
        </w:rPr>
        <w:t>全会精神，紧紧围绕“举旗帜、聚民心、育新人、兴文化、展形象”总体要求，</w:t>
      </w:r>
      <w:r>
        <w:rPr>
          <w:rFonts w:hint="eastAsia" w:ascii="仿宋_GB2312" w:hAnsi="宋体" w:eastAsia="仿宋_GB2312" w:cs="宋体"/>
          <w:kern w:val="0"/>
          <w:sz w:val="32"/>
          <w:szCs w:val="32"/>
          <w:lang w:val="en-US" w:eastAsia="zh-CN"/>
        </w:rPr>
        <w:t>突出把握“1149”工作思路（</w:t>
      </w:r>
      <w:r>
        <w:rPr>
          <w:rFonts w:hint="eastAsia" w:ascii="仿宋_GB2312" w:hAnsi="宋体" w:eastAsia="仿宋_GB2312" w:cs="宋体"/>
          <w:kern w:val="0"/>
          <w:sz w:val="32"/>
          <w:szCs w:val="32"/>
        </w:rPr>
        <w:t>坚持一个中心、突出</w:t>
      </w:r>
      <w:r>
        <w:rPr>
          <w:rFonts w:hint="eastAsia" w:ascii="仿宋_GB2312" w:hAnsi="宋体" w:eastAsia="仿宋_GB2312" w:cs="宋体"/>
          <w:kern w:val="0"/>
          <w:sz w:val="32"/>
          <w:szCs w:val="32"/>
          <w:lang w:val="zh-CN"/>
        </w:rPr>
        <w:t>一条主线、</w:t>
      </w:r>
      <w:r>
        <w:rPr>
          <w:rFonts w:hint="eastAsia" w:ascii="仿宋_GB2312" w:hAnsi="宋体" w:eastAsia="仿宋_GB2312" w:cs="宋体"/>
          <w:kern w:val="0"/>
          <w:sz w:val="32"/>
          <w:szCs w:val="32"/>
        </w:rPr>
        <w:t>明确四个围绕、实施九项工程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 xml:space="preserve">牢牢把握意识形态工作领导权，较好地发挥了党的宣传思想工作的强大优势，保持了意识形态工作向好势头，维护了社会稳定，为满城高质量发展凝聚了强大的精神力量。 </w:t>
      </w:r>
    </w:p>
    <w:p>
      <w:pPr>
        <w:widowControl/>
        <w:spacing w:line="54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（二）分项绩效目标</w:t>
      </w:r>
    </w:p>
    <w:p>
      <w:pPr>
        <w:widowControl/>
        <w:spacing w:line="54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实施理论武装引领强化工程，</w:t>
      </w:r>
      <w:r>
        <w:rPr>
          <w:rFonts w:hint="eastAsia" w:ascii="仿宋_GB2312" w:hAnsi="宋体" w:eastAsia="仿宋_GB2312" w:cs="宋体"/>
          <w:kern w:val="0"/>
          <w:sz w:val="32"/>
          <w:szCs w:val="32"/>
          <w:lang w:val="en-US" w:eastAsia="zh-CN"/>
        </w:rPr>
        <w:t>阵地建设上档升级；2.</w:t>
      </w:r>
      <w:r>
        <w:rPr>
          <w:rFonts w:hint="eastAsia" w:ascii="仿宋_GB2312" w:hAnsi="宋体" w:eastAsia="仿宋_GB2312" w:cs="宋体"/>
          <w:kern w:val="0"/>
          <w:sz w:val="32"/>
          <w:szCs w:val="32"/>
          <w:lang w:eastAsia="zh-CN"/>
        </w:rPr>
        <w:t>实施学习教育深化拓展工程，</w:t>
      </w:r>
      <w:r>
        <w:rPr>
          <w:rFonts w:hint="eastAsia" w:ascii="仿宋_GB2312" w:hAnsi="宋体" w:eastAsia="仿宋_GB2312" w:cs="宋体"/>
          <w:kern w:val="0"/>
          <w:sz w:val="32"/>
          <w:szCs w:val="32"/>
          <w:lang w:val="en-US" w:eastAsia="zh-CN"/>
        </w:rPr>
        <w:t>广泛凝聚思想共识；3.</w:t>
      </w:r>
      <w:r>
        <w:rPr>
          <w:rFonts w:hint="eastAsia" w:ascii="仿宋_GB2312" w:hAnsi="宋体" w:eastAsia="仿宋_GB2312" w:cs="宋体"/>
          <w:kern w:val="0"/>
          <w:sz w:val="32"/>
          <w:szCs w:val="32"/>
          <w:lang w:eastAsia="zh-CN"/>
        </w:rPr>
        <w:t>实施文艺活动品质提升工程，</w:t>
      </w:r>
      <w:r>
        <w:rPr>
          <w:rFonts w:hint="eastAsia" w:ascii="仿宋_GB2312" w:hAnsi="宋体" w:eastAsia="仿宋_GB2312" w:cs="宋体"/>
          <w:kern w:val="0"/>
          <w:sz w:val="32"/>
          <w:szCs w:val="32"/>
          <w:lang w:val="en-US" w:eastAsia="zh-CN"/>
        </w:rPr>
        <w:t>庆祝氛围持续升温；4.</w:t>
      </w:r>
      <w:r>
        <w:rPr>
          <w:rFonts w:hint="eastAsia" w:ascii="仿宋_GB2312" w:hAnsi="宋体" w:eastAsia="仿宋_GB2312" w:cs="宋体"/>
          <w:kern w:val="0"/>
          <w:sz w:val="32"/>
          <w:szCs w:val="32"/>
          <w:lang w:eastAsia="zh-CN"/>
        </w:rPr>
        <w:t>实施新闻宣传攻坚进位工程，</w:t>
      </w:r>
      <w:r>
        <w:rPr>
          <w:rFonts w:hint="eastAsia" w:ascii="仿宋_GB2312" w:hAnsi="宋体" w:eastAsia="仿宋_GB2312" w:cs="宋体"/>
          <w:kern w:val="0"/>
          <w:sz w:val="32"/>
          <w:szCs w:val="32"/>
          <w:lang w:val="en-US" w:eastAsia="zh-CN"/>
        </w:rPr>
        <w:t>满城形象持续提升；5.</w:t>
      </w:r>
      <w:r>
        <w:rPr>
          <w:rFonts w:hint="eastAsia" w:ascii="仿宋_GB2312" w:hAnsi="宋体" w:eastAsia="仿宋_GB2312" w:cs="宋体"/>
          <w:kern w:val="0"/>
          <w:sz w:val="32"/>
          <w:szCs w:val="32"/>
          <w:lang w:eastAsia="zh-CN"/>
        </w:rPr>
        <w:t>实施</w:t>
      </w:r>
      <w:r>
        <w:rPr>
          <w:rFonts w:hint="eastAsia" w:ascii="仿宋_GB2312" w:hAnsi="宋体" w:eastAsia="仿宋_GB2312" w:cs="宋体"/>
          <w:kern w:val="0"/>
          <w:sz w:val="32"/>
          <w:szCs w:val="32"/>
          <w:lang w:val="zh-CN" w:eastAsia="zh-CN"/>
        </w:rPr>
        <w:t>意识形态</w:t>
      </w:r>
      <w:r>
        <w:rPr>
          <w:rFonts w:hint="eastAsia" w:ascii="仿宋_GB2312" w:hAnsi="宋体" w:eastAsia="仿宋_GB2312" w:cs="宋体"/>
          <w:kern w:val="0"/>
          <w:sz w:val="32"/>
          <w:szCs w:val="32"/>
          <w:lang w:eastAsia="zh-CN"/>
        </w:rPr>
        <w:t>亮责管控工程</w:t>
      </w:r>
      <w:r>
        <w:rPr>
          <w:rFonts w:hint="eastAsia" w:ascii="仿宋_GB2312" w:hAnsi="宋体" w:eastAsia="仿宋_GB2312" w:cs="宋体"/>
          <w:kern w:val="0"/>
          <w:sz w:val="32"/>
          <w:szCs w:val="32"/>
          <w:lang w:val="zh-CN" w:eastAsia="zh-CN"/>
        </w:rPr>
        <w:t>，</w:t>
      </w:r>
      <w:r>
        <w:rPr>
          <w:rFonts w:hint="eastAsia" w:ascii="仿宋_GB2312" w:hAnsi="宋体" w:eastAsia="仿宋_GB2312" w:cs="宋体"/>
          <w:kern w:val="0"/>
          <w:sz w:val="32"/>
          <w:szCs w:val="32"/>
          <w:lang w:val="en-US" w:eastAsia="zh-CN"/>
        </w:rPr>
        <w:t>工作机制逐步完善；6.</w:t>
      </w:r>
      <w:r>
        <w:rPr>
          <w:rFonts w:hint="eastAsia" w:ascii="仿宋_GB2312" w:hAnsi="宋体" w:eastAsia="仿宋_GB2312" w:cs="宋体"/>
          <w:kern w:val="0"/>
          <w:sz w:val="32"/>
          <w:szCs w:val="32"/>
          <w:lang w:val="zh-CN" w:eastAsia="zh-CN"/>
        </w:rPr>
        <w:t>实施舆论引导提质增效工程，</w:t>
      </w:r>
      <w:r>
        <w:rPr>
          <w:rFonts w:hint="eastAsia" w:ascii="仿宋_GB2312" w:hAnsi="宋体" w:eastAsia="仿宋_GB2312" w:cs="宋体"/>
          <w:kern w:val="0"/>
          <w:sz w:val="32"/>
          <w:szCs w:val="32"/>
          <w:lang w:val="en-US" w:eastAsia="zh-CN"/>
        </w:rPr>
        <w:t>夯实和谐发展基础；7.</w:t>
      </w:r>
      <w:r>
        <w:rPr>
          <w:rFonts w:hint="eastAsia" w:ascii="仿宋_GB2312" w:hAnsi="宋体" w:eastAsia="仿宋_GB2312" w:cs="宋体"/>
          <w:kern w:val="0"/>
          <w:sz w:val="32"/>
          <w:szCs w:val="32"/>
          <w:lang w:val="zh-CN" w:eastAsia="zh-CN"/>
        </w:rPr>
        <w:t>实施文明创建巩固深化工程，</w:t>
      </w:r>
      <w:r>
        <w:rPr>
          <w:rFonts w:hint="eastAsia" w:ascii="仿宋_GB2312" w:hAnsi="宋体" w:eastAsia="仿宋_GB2312" w:cs="宋体"/>
          <w:kern w:val="0"/>
          <w:sz w:val="32"/>
          <w:szCs w:val="32"/>
          <w:lang w:val="en-US" w:eastAsia="zh-CN"/>
        </w:rPr>
        <w:t>深耕厚植文明基因；8.</w:t>
      </w:r>
      <w:r>
        <w:rPr>
          <w:rFonts w:hint="eastAsia" w:ascii="仿宋_GB2312" w:hAnsi="宋体" w:eastAsia="仿宋_GB2312" w:cs="宋体"/>
          <w:kern w:val="0"/>
          <w:sz w:val="32"/>
          <w:szCs w:val="32"/>
          <w:lang w:val="zh-CN" w:eastAsia="zh-CN"/>
        </w:rPr>
        <w:t>实施文化产业扶壮示范工程，</w:t>
      </w:r>
      <w:r>
        <w:rPr>
          <w:rFonts w:hint="eastAsia" w:ascii="仿宋_GB2312" w:hAnsi="宋体" w:eastAsia="仿宋_GB2312" w:cs="宋体"/>
          <w:kern w:val="0"/>
          <w:sz w:val="32"/>
          <w:szCs w:val="32"/>
          <w:lang w:val="en-US" w:eastAsia="zh-CN"/>
        </w:rPr>
        <w:t>助力产业转型升级；9.</w:t>
      </w:r>
      <w:r>
        <w:rPr>
          <w:rFonts w:hint="eastAsia" w:ascii="仿宋_GB2312" w:hAnsi="宋体" w:eastAsia="仿宋_GB2312" w:cs="宋体"/>
          <w:kern w:val="0"/>
          <w:sz w:val="32"/>
          <w:szCs w:val="32"/>
          <w:lang w:val="zh-CN" w:eastAsia="zh-CN"/>
        </w:rPr>
        <w:t>实施扫黄打非固本清源工程，</w:t>
      </w:r>
      <w:r>
        <w:rPr>
          <w:rFonts w:hint="eastAsia" w:ascii="仿宋_GB2312" w:hAnsi="宋体" w:eastAsia="仿宋_GB2312" w:cs="宋体"/>
          <w:kern w:val="0"/>
          <w:sz w:val="32"/>
          <w:szCs w:val="32"/>
          <w:lang w:val="en-US" w:eastAsia="zh-CN"/>
        </w:rPr>
        <w:t>引领健康社会风尚。</w:t>
      </w:r>
    </w:p>
    <w:p>
      <w:pPr>
        <w:widowControl/>
        <w:spacing w:line="54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（三）工作保障措施</w:t>
      </w:r>
    </w:p>
    <w:p>
      <w:pPr>
        <w:widowControl/>
        <w:spacing w:line="540" w:lineRule="exact"/>
        <w:ind w:firstLine="640" w:firstLineChars="200"/>
        <w:rPr>
          <w:rFonts w:hint="eastAsia" w:ascii="宋体" w:hAnsi="宋体"/>
          <w:b/>
          <w:sz w:val="32"/>
          <w:szCs w:val="32"/>
        </w:rPr>
      </w:pPr>
      <w:r>
        <w:rPr>
          <w:rFonts w:hint="eastAsia" w:ascii="仿宋_GB2312" w:hAnsi="宋体" w:eastAsia="仿宋_GB2312" w:cs="宋体"/>
          <w:kern w:val="0"/>
          <w:sz w:val="32"/>
          <w:szCs w:val="32"/>
          <w:lang w:eastAsia="zh-CN"/>
        </w:rPr>
        <w:t>1.理论</w:t>
      </w:r>
      <w:r>
        <w:rPr>
          <w:rFonts w:hint="eastAsia" w:ascii="仿宋_GB2312" w:hAnsi="宋体" w:eastAsia="仿宋_GB2312" w:cs="宋体"/>
          <w:kern w:val="0"/>
          <w:sz w:val="32"/>
          <w:szCs w:val="32"/>
          <w:lang w:val="en-US" w:eastAsia="zh-CN"/>
        </w:rPr>
        <w:t>学习</w:t>
      </w:r>
      <w:r>
        <w:rPr>
          <w:rFonts w:hint="eastAsia" w:ascii="仿宋_GB2312" w:hAnsi="宋体" w:eastAsia="仿宋_GB2312" w:cs="宋体"/>
          <w:kern w:val="0"/>
          <w:sz w:val="32"/>
          <w:szCs w:val="32"/>
          <w:lang w:eastAsia="zh-CN"/>
        </w:rPr>
        <w:t>中心组示范带动作用不断增强，理论宣讲实现常态化。</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.“学习强国”平台使用扩面增效。</w:t>
      </w:r>
      <w:r>
        <w:rPr>
          <w:rFonts w:hint="eastAsia" w:ascii="仿宋_GB2312" w:hAnsi="宋体" w:eastAsia="仿宋_GB2312" w:cs="宋体"/>
          <w:kern w:val="0"/>
          <w:sz w:val="32"/>
          <w:szCs w:val="32"/>
          <w:lang w:val="en-US" w:eastAsia="zh-CN"/>
        </w:rPr>
        <w:t>3.牢牢坚持“四个贯穿始终”，党史学习教育不断深化。4.全面整合“三个一”，打造党史学习教育品牌。5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制定出台活动方案，</w:t>
      </w:r>
      <w:r>
        <w:rPr>
          <w:rFonts w:hint="eastAsia" w:ascii="仿宋_GB2312" w:hAnsi="宋体" w:eastAsia="仿宋_GB2312" w:cs="宋体"/>
          <w:kern w:val="0"/>
          <w:sz w:val="32"/>
          <w:szCs w:val="32"/>
          <w:lang w:eastAsia="zh-CN"/>
        </w:rPr>
        <w:t>庆祝活动再提升，精品创作再深入。</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zh-CN" w:eastAsia="zh-CN"/>
        </w:rPr>
        <w:t>建立</w:t>
      </w:r>
      <w:r>
        <w:rPr>
          <w:rFonts w:hint="eastAsia" w:ascii="仿宋_GB2312" w:hAnsi="宋体" w:eastAsia="仿宋_GB2312" w:cs="宋体"/>
          <w:kern w:val="0"/>
          <w:sz w:val="32"/>
          <w:szCs w:val="32"/>
          <w:lang w:eastAsia="zh-CN"/>
        </w:rPr>
        <w:t>新闻</w:t>
      </w:r>
      <w:r>
        <w:rPr>
          <w:rFonts w:hint="eastAsia" w:ascii="仿宋_GB2312" w:hAnsi="宋体" w:eastAsia="仿宋_GB2312" w:cs="宋体"/>
          <w:kern w:val="0"/>
          <w:sz w:val="32"/>
          <w:szCs w:val="32"/>
          <w:lang w:val="zh-CN" w:eastAsia="zh-CN"/>
        </w:rPr>
        <w:t>素材库，</w:t>
      </w:r>
      <w:r>
        <w:rPr>
          <w:rFonts w:hint="eastAsia" w:ascii="仿宋_GB2312" w:hAnsi="宋体" w:eastAsia="仿宋_GB2312" w:cs="宋体"/>
          <w:kern w:val="0"/>
          <w:sz w:val="32"/>
          <w:szCs w:val="32"/>
          <w:lang w:val="en-US" w:eastAsia="zh-CN"/>
        </w:rPr>
        <w:t>健全</w:t>
      </w:r>
      <w:r>
        <w:rPr>
          <w:rFonts w:hint="eastAsia" w:ascii="仿宋_GB2312" w:hAnsi="宋体" w:eastAsia="仿宋_GB2312" w:cs="宋体"/>
          <w:kern w:val="0"/>
          <w:sz w:val="32"/>
          <w:szCs w:val="32"/>
          <w:lang w:val="zh-CN" w:eastAsia="zh-CN"/>
        </w:rPr>
        <w:t>制度，</w:t>
      </w:r>
      <w:r>
        <w:rPr>
          <w:rFonts w:hint="eastAsia" w:ascii="仿宋_GB2312" w:hAnsi="宋体" w:eastAsia="仿宋_GB2312" w:cs="宋体"/>
          <w:kern w:val="0"/>
          <w:sz w:val="32"/>
          <w:szCs w:val="32"/>
          <w:lang w:val="en-US" w:eastAsia="zh-CN"/>
        </w:rPr>
        <w:t>开展</w:t>
      </w:r>
      <w:r>
        <w:rPr>
          <w:rFonts w:hint="eastAsia" w:ascii="仿宋_GB2312" w:hAnsi="宋体" w:eastAsia="仿宋_GB2312" w:cs="宋体"/>
          <w:kern w:val="0"/>
          <w:sz w:val="32"/>
          <w:szCs w:val="32"/>
          <w:lang w:eastAsia="zh-CN"/>
        </w:rPr>
        <w:t>重大主题宣传。</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lang w:val="zh-CN" w:eastAsia="zh-CN"/>
        </w:rPr>
        <w:t>主</w:t>
      </w:r>
      <w:r>
        <w:rPr>
          <w:rFonts w:hint="eastAsia" w:ascii="仿宋_GB2312" w:hAnsi="宋体" w:eastAsia="仿宋_GB2312" w:cs="宋体"/>
          <w:kern w:val="0"/>
          <w:sz w:val="32"/>
          <w:szCs w:val="32"/>
          <w:lang w:val="en-US" w:eastAsia="zh-CN"/>
        </w:rPr>
        <w:t>意识形态主</w:t>
      </w:r>
      <w:r>
        <w:rPr>
          <w:rFonts w:hint="eastAsia" w:ascii="仿宋_GB2312" w:hAnsi="宋体" w:eastAsia="仿宋_GB2312" w:cs="宋体"/>
          <w:kern w:val="0"/>
          <w:sz w:val="32"/>
          <w:szCs w:val="32"/>
          <w:lang w:val="zh-CN" w:eastAsia="zh-CN"/>
        </w:rPr>
        <w:t>体责任</w:t>
      </w:r>
      <w:r>
        <w:rPr>
          <w:rFonts w:hint="eastAsia" w:ascii="仿宋_GB2312" w:hAnsi="宋体" w:eastAsia="仿宋_GB2312" w:cs="宋体"/>
          <w:kern w:val="0"/>
          <w:sz w:val="32"/>
          <w:szCs w:val="32"/>
          <w:lang w:eastAsia="zh-CN"/>
        </w:rPr>
        <w:t>更加突出，落实机制更加具体，</w:t>
      </w:r>
      <w:r>
        <w:rPr>
          <w:rFonts w:hint="eastAsia" w:ascii="仿宋_GB2312" w:hAnsi="宋体" w:eastAsia="仿宋_GB2312" w:cs="宋体"/>
          <w:kern w:val="0"/>
          <w:sz w:val="32"/>
          <w:szCs w:val="32"/>
          <w:lang w:val="zh-CN" w:eastAsia="zh-CN"/>
        </w:rPr>
        <w:t>阵地管理</w:t>
      </w:r>
      <w:r>
        <w:rPr>
          <w:rFonts w:hint="eastAsia" w:ascii="仿宋_GB2312" w:hAnsi="宋体" w:eastAsia="仿宋_GB2312" w:cs="宋体"/>
          <w:kern w:val="0"/>
          <w:sz w:val="32"/>
          <w:szCs w:val="32"/>
          <w:lang w:eastAsia="zh-CN"/>
        </w:rPr>
        <w:t>更加严格</w:t>
      </w:r>
      <w:r>
        <w:rPr>
          <w:rFonts w:hint="eastAsia" w:ascii="仿宋_GB2312" w:hAnsi="宋体" w:eastAsia="仿宋_GB2312" w:cs="宋体"/>
          <w:kern w:val="0"/>
          <w:sz w:val="32"/>
          <w:szCs w:val="32"/>
          <w:lang w:val="zh-CN"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.舆情引导机制进一步健全，新媒体监管力度进一步加强，分析研判进一步精准。</w:t>
      </w:r>
      <w:r>
        <w:rPr>
          <w:rFonts w:hint="eastAsia" w:ascii="仿宋_GB2312" w:hAnsi="宋体" w:eastAsia="仿宋_GB2312" w:cs="宋体"/>
          <w:kern w:val="0"/>
          <w:sz w:val="32"/>
          <w:szCs w:val="32"/>
          <w:lang w:val="en-US" w:eastAsia="zh-CN"/>
        </w:rPr>
        <w:t>9.突出创城引领，突出宣传引领，突出典型引领。10.</w:t>
      </w:r>
      <w:r>
        <w:rPr>
          <w:rFonts w:hint="eastAsia" w:ascii="仿宋_GB2312" w:hAnsi="宋体" w:eastAsia="仿宋_GB2312" w:cs="宋体"/>
          <w:kern w:val="0"/>
          <w:sz w:val="32"/>
          <w:szCs w:val="32"/>
          <w:lang w:val="zh-CN" w:eastAsia="zh-CN"/>
        </w:rPr>
        <w:t>深入实施“正道2021”“新风2021”集中行动。</w:t>
      </w:r>
    </w:p>
    <w:p>
      <w:pPr>
        <w:spacing w:line="240" w:lineRule="exact"/>
        <w:jc w:val="center"/>
        <w:rPr>
          <w:rFonts w:ascii="宋体" w:hAnsi="宋体"/>
          <w:b/>
          <w:sz w:val="32"/>
          <w:szCs w:val="32"/>
        </w:rPr>
      </w:pPr>
    </w:p>
    <w:p>
      <w:pPr>
        <w:ind w:firstLine="420" w:firstLineChars="200"/>
        <w:jc w:val="left"/>
      </w:pPr>
    </w:p>
    <w:p>
      <w:pPr>
        <w:ind w:firstLine="562" w:firstLineChars="200"/>
        <w:jc w:val="left"/>
        <w:rPr>
          <w:rFonts w:hint="eastAsia" w:hAnsi="宋体"/>
          <w:b/>
          <w:sz w:val="28"/>
        </w:rPr>
      </w:pPr>
      <w:r>
        <w:rPr>
          <w:rFonts w:hint="eastAsia" w:ascii="方正仿宋_GBK" w:eastAsia="方正仿宋_GBK"/>
          <w:b/>
          <w:sz w:val="28"/>
        </w:rPr>
        <w:t>1、提前下达2021年省级公共文化服务体系建设补助资金（第二批） 保财教【2020】105号绩效目标表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确保政策落实到位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资金发放到位，保障老放映员日常生活需求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维护社会稳定</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补助发放人数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老放映员生活补助对象</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补助资金发放到位</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补助金发放比率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及时发放</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老放映员补贴发放时间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按照上级要求每半年发放一次</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补助金额</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老放映员补助金额</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1.31</w:t>
            </w:r>
            <w:r>
              <w:rPr>
                <w:rFonts w:hint="eastAsia" w:ascii="方正书宋_GBK" w:eastAsia="方正书宋_GBK"/>
              </w:rPr>
              <w:t>万元</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保障老放映员消费需求</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保障老放映员基本生活需求</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确保老放映员生活补助满足基本生活需求</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已享受补贴人数占应享受人群的比例</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确保群体稳定</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减少不稳定因素，确保社会稳定</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确保补贴发放到位，老放映员群体稳定</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2、提前下达2021年中央补助地方国家电影事业发展专项资金  保财教【2020】68号绩效目标表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引导影院放映国产影片，按照</w:t>
            </w:r>
            <w:r>
              <w:rPr>
                <w:rFonts w:hint="cs" w:ascii="方正书宋_GBK" w:eastAsia="方正书宋_GBK"/>
              </w:rPr>
              <w:t>“</w:t>
            </w:r>
            <w:r>
              <w:rPr>
                <w:rFonts w:hint="eastAsia" w:ascii="方正书宋_GBK" w:eastAsia="方正书宋_GBK"/>
              </w:rPr>
              <w:t>双百</w:t>
            </w:r>
            <w:r>
              <w:rPr>
                <w:rFonts w:hint="cs" w:ascii="方正书宋_GBK" w:eastAsia="方正书宋_GBK"/>
              </w:rPr>
              <w:t>”</w:t>
            </w:r>
            <w:r>
              <w:rPr>
                <w:rFonts w:hint="eastAsia" w:ascii="方正书宋_GBK" w:eastAsia="方正书宋_GBK"/>
              </w:rPr>
              <w:t>方针，引导影院放映具有文化特色、艺术创新的国产影片，繁荣发展电影市场；力争国产影片票房占总收入的</w:t>
            </w:r>
            <w:r>
              <w:rPr>
                <w:rFonts w:ascii="方正书宋_GBK" w:eastAsia="方正书宋_GBK"/>
              </w:rPr>
              <w:t>55%</w:t>
            </w:r>
            <w:r>
              <w:rPr>
                <w:rFonts w:hint="eastAsia" w:ascii="方正书宋_GBK" w:eastAsia="方正书宋_GBK"/>
              </w:rPr>
              <w:t>。</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奖励放映国产影片成绩突出影院</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对国产影片放映成绩突出的影院进行奖励</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影院放映国产影片收入占比</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国产影片放映收入占票房总收入的比率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影院全年放映国产影片率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国产影片放映奖励</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国产影片放映奖励金额</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万元</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国产影片票房收入增加</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全年国产影片放映票房收入增加</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国产影片观影人次增长</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全年观看国产影片人员增长</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营造良好观影风气</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营造良好影院氛围，促进社会和谐进步</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观众对影院满意度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观众对影院环境及影片的满意度</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3、2021年度新闻媒体宣传费用(农村文化建设)绩效目标表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加强和改进新闻宣传工作，扩大对外宣传，开展多种形式文化交流活动，着力宣传区委区政府特色亮点工作，提升满城知名度、美誉度，打造满城良好形象。</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市级以上主流媒体刊播稿件数量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全年在市级以上主流媒体刊播稿件数量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宣传稿件刊登率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宣传稿件刊登数量占投稿数量的比率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各媒体刊登新闻稿件的时效性</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按预算金额支出无资金浪费</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45</w:t>
            </w:r>
            <w:r>
              <w:rPr>
                <w:rFonts w:hint="eastAsia" w:ascii="方正书宋_GBK" w:eastAsia="方正书宋_GBK"/>
              </w:rPr>
              <w:t>万元</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对社会经济发展的促进作用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持续增长</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产生重要影响，得到广大受众的充分认可。</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有效果</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间接生态效益</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对生态环境的提升作用</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有效果</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示范带动作用</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带动作用</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有效果</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群众对服务的满意程度</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4、满城区2021年度老电影放映员生活补助资金（农村文化建设）绩效目标表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确保政策落实到位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保障老放映员生活补贴发放到位，社会稳定。</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补助发放人数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老放映员生活补助对象</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补助资金发放到位</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补助资金发放比率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及时发放</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老电影放映员补贴发放时间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按照上级要求每半年发放一次</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补助金额</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老电影放映员补助金额</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9.79</w:t>
            </w:r>
            <w:r>
              <w:rPr>
                <w:rFonts w:hint="eastAsia" w:ascii="方正书宋_GBK" w:eastAsia="方正书宋_GBK"/>
              </w:rPr>
              <w:t>万元</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保障老放映员消费需求</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保障老放映员基本生活需求</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确保老电影放映员生活补助申领到位，满足基本生活需要。</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已享受补贴人数占应享受人群的比率</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确保群体稳定</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减少不稳定因素，确保社会稳定</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确保补贴发放到位，老电影放映员群体不出问题。</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5、满城嘉和影院2021年度相关使用费绩效目标表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承接区委、区政府大型活动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承接各项会议举办圆满成功</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承接会议场次</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全年承接大型会议场次</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会议承办质量</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承办会议会务组织质量</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完成的及时性</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按时组织会务，确保会议召开</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协助政府有关部门及时布置会议场地，确保会议顺利召开</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按时拨付人员工资</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按照年度工作计划，及时拨付人员工资。</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保障影院正常运转</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确保影院全年运转正常</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相关会议组织对社会影响率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整体满意</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6、满城区2021年度创建省级文明城区工作经费绩效目标表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通过开展各类精神文明创建活动，发放各类宣传资料，社会文明程度和市民道德素质不断提升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设置社会主义核心价值观公益广告，发放宣传资料，开展各项活动，使城市环境、生活环境更优美。</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群众文化活动参与率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群众文化活动参与率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工作任务完成及时效</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文明城市创建文件资料上传效率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按预算金额足额支出，无资金浪费</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万元</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促进城市经济增长率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文明城市创建对社会影响程度</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生态环境的影响程度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参与活动后生态环境质量提升率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市民自觉维护环境卫生的意识程度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市民自觉维护环境卫生，爱护城市环境的人数较上年增长率</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市民对创建工作创建效果的满意度</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hAnsi="宋体"/>
          <w:b/>
          <w:sz w:val="28"/>
        </w:rPr>
      </w:pPr>
      <w:r>
        <w:rPr>
          <w:rFonts w:hint="eastAsia" w:ascii="方正仿宋_GBK" w:eastAsia="方正仿宋_GBK"/>
          <w:b/>
          <w:sz w:val="28"/>
        </w:rPr>
        <w:t>7、2021年全年及2020年下半年（6.588万元）农村文化公益电影放映配套资金【农村文化建设】绩效目标表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全区</w:t>
            </w:r>
            <w:r>
              <w:rPr>
                <w:rFonts w:ascii="方正书宋_GBK" w:eastAsia="方正书宋_GBK"/>
              </w:rPr>
              <w:t>183</w:t>
            </w:r>
            <w:r>
              <w:rPr>
                <w:rFonts w:hint="eastAsia" w:ascii="方正书宋_GBK" w:eastAsia="方正书宋_GBK"/>
              </w:rPr>
              <w:t>个行政村完成</w:t>
            </w:r>
            <w:r>
              <w:rPr>
                <w:rFonts w:ascii="方正书宋_GBK" w:eastAsia="方正书宋_GBK"/>
              </w:rPr>
              <w:t>2196</w:t>
            </w:r>
            <w:r>
              <w:rPr>
                <w:rFonts w:hint="eastAsia" w:ascii="方正书宋_GBK" w:eastAsia="方正书宋_GBK"/>
              </w:rPr>
              <w:t>场农村公益电影放映任务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激活农村电影市场，丰富群众业余文化生活</w:t>
            </w:r>
          </w:p>
        </w:tc>
      </w:tr>
    </w:tbl>
    <w:p>
      <w:pPr>
        <w:spacing w:line="14" w:lineRule="exact"/>
        <w:jc w:val="center"/>
        <w:rPr>
          <w:rFonts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放映电影场次</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全年放映场次</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3295</w:t>
            </w:r>
            <w:r>
              <w:rPr>
                <w:rFonts w:hint="eastAsia" w:ascii="方正书宋_GBK" w:eastAsia="方正书宋_GBK"/>
              </w:rPr>
              <w:t>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放映覆盖率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农村电影放映覆盖率</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按时发放</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农村电影放映补贴发放时间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每半年发放一次</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补助金额</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全年农村电影放映补助金额</w:t>
            </w:r>
          </w:p>
        </w:tc>
        <w:tc>
          <w:tcPr>
            <w:tcW w:w="255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19.77</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促进经济发展</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带动经济发展</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有效果</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hint="eastAsia" w:ascii="方正书宋_GBK" w:eastAsia="方正书宋_GBK"/>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提供优质服务</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提供优质服务，丰富群众业余生活</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有效果</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第六部分 政府采购预算情况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年度没有政府采购预算，空表列示。</w:t>
      </w:r>
    </w:p>
    <w:p>
      <w:pPr>
        <w:spacing w:line="360" w:lineRule="auto"/>
        <w:jc w:val="center"/>
        <w:rPr>
          <w:rFonts w:hint="eastAsia" w:ascii="宋体" w:hAnsi="宋体" w:cs="宋体"/>
          <w:sz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7"/>
        <w:tblW w:w="9935" w:type="dxa"/>
        <w:jc w:val="center"/>
        <w:tblLayout w:type="fixed"/>
        <w:tblCellMar>
          <w:top w:w="0" w:type="dxa"/>
          <w:left w:w="10" w:type="dxa"/>
          <w:bottom w:w="0" w:type="dxa"/>
          <w:right w:w="10" w:type="dxa"/>
        </w:tblCellMar>
      </w:tblPr>
      <w:tblGrid>
        <w:gridCol w:w="118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515"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2427"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118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3"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118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118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3"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我单位2020年末固定资产总金额40.0118万元（详见下表）， 2021年无拟购置固定资产情况。</w:t>
      </w:r>
    </w:p>
    <w:tbl>
      <w:tblPr>
        <w:tblStyle w:val="7"/>
        <w:tblpPr w:leftFromText="180" w:rightFromText="180" w:vertAnchor="text" w:tblpXSpec="center" w:tblpY="1"/>
        <w:tblOverlap w:val="never"/>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hAnsi="宋体" w:cs="宋体"/>
                <w:b/>
                <w:color w:val="000000"/>
                <w:kern w:val="0"/>
                <w:sz w:val="30"/>
                <w:szCs w:val="30"/>
              </w:rPr>
            </w:pPr>
            <w:r>
              <w:rPr>
                <w:rFonts w:hint="eastAsia" w:ascii="宋体" w:hAnsi="宋体"/>
                <w:b/>
                <w:sz w:val="30"/>
                <w:szCs w:val="30"/>
              </w:rPr>
              <w:t>中共保定市满城区委宣传部固定资产占用情况表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color w:val="000000"/>
                <w:kern w:val="0"/>
                <w:sz w:val="24"/>
                <w:szCs w:val="24"/>
              </w:rPr>
              <w:t>40.460216</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10.160216</w:t>
            </w:r>
          </w:p>
        </w:tc>
      </w:tr>
    </w:tbl>
    <w:p>
      <w:pPr>
        <w:ind w:left="640" w:hanging="640" w:hangingChars="200"/>
        <w:rPr>
          <w:rFonts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1、一般公共预算拨款收入：指区级财政当年拨付的资金。</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2、其他收入：指除上述“财政拨款收入”、“事业收入”等以外的收入。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3、基本支出：指为保障机构正常运转、完成日常工作任务而发生的人员支出和公用支出。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4、项目支出：指在基本支出之外为完成特定行政任务和事业发展目标所发生的支出。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800" w:firstLineChars="250"/>
        <w:rPr>
          <w:rFonts w:ascii="仿宋_GB2312" w:hAnsi="宋体" w:eastAsia="仿宋_GB2312"/>
          <w:sz w:val="32"/>
          <w:szCs w:val="32"/>
        </w:rPr>
      </w:pPr>
      <w:r>
        <w:rPr>
          <w:rFonts w:hint="eastAsia" w:ascii="仿宋_GB2312" w:eastAsia="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宋体" w:eastAsia="仿宋_GB2312"/>
          <w:sz w:val="32"/>
          <w:szCs w:val="32"/>
        </w:rPr>
        <w:t xml:space="preserve">    </w:t>
      </w:r>
    </w:p>
    <w:p>
      <w:pPr>
        <w:spacing w:line="520" w:lineRule="exact"/>
        <w:ind w:firstLine="800" w:firstLineChars="250"/>
        <w:rPr>
          <w:rFonts w:ascii="宋体" w:hAnsi="宋体"/>
          <w:sz w:val="32"/>
          <w:szCs w:val="32"/>
        </w:rPr>
      </w:pPr>
    </w:p>
    <w:p>
      <w:pPr>
        <w:spacing w:line="520" w:lineRule="exact"/>
        <w:ind w:firstLine="803" w:firstLineChars="250"/>
        <w:jc w:val="center"/>
        <w:rPr>
          <w:rFonts w:ascii="宋体" w:hAnsi="宋体"/>
          <w:b/>
          <w:sz w:val="32"/>
          <w:szCs w:val="32"/>
        </w:rPr>
      </w:pPr>
      <w:r>
        <w:rPr>
          <w:rFonts w:hint="eastAsia" w:ascii="宋体" w:hAnsi="宋体"/>
          <w:b/>
          <w:sz w:val="32"/>
          <w:szCs w:val="32"/>
        </w:rPr>
        <w:t>第九部分：其他需说明的事项</w:t>
      </w:r>
    </w:p>
    <w:p>
      <w:pPr>
        <w:spacing w:line="520" w:lineRule="exact"/>
        <w:ind w:firstLine="800" w:firstLineChars="250"/>
        <w:rPr>
          <w:rFonts w:ascii="仿宋_GB2312" w:hAnsi="宋体" w:eastAsia="仿宋_GB2312"/>
          <w:sz w:val="32"/>
          <w:szCs w:val="32"/>
        </w:rPr>
      </w:pPr>
      <w:r>
        <w:rPr>
          <w:rFonts w:hint="eastAsia" w:ascii="仿宋_GB2312" w:hAnsi="宋体" w:eastAsia="仿宋_GB2312"/>
          <w:sz w:val="32"/>
          <w:szCs w:val="32"/>
        </w:rPr>
        <w:t xml:space="preserve">无其他需说明的事项。           </w:t>
      </w:r>
    </w:p>
    <w:p>
      <w:pPr>
        <w:spacing w:line="520" w:lineRule="exact"/>
        <w:ind w:firstLine="200"/>
      </w:pPr>
    </w:p>
    <w:sectPr>
      <w:pgSz w:w="16839" w:h="11907" w:orient="landscape"/>
      <w:pgMar w:top="1134" w:right="1531" w:bottom="1134"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423C5"/>
    <w:rsid w:val="000753D2"/>
    <w:rsid w:val="000C229B"/>
    <w:rsid w:val="000E23DD"/>
    <w:rsid w:val="00110DF2"/>
    <w:rsid w:val="0016781B"/>
    <w:rsid w:val="001913EE"/>
    <w:rsid w:val="00196F97"/>
    <w:rsid w:val="001C7148"/>
    <w:rsid w:val="002031AD"/>
    <w:rsid w:val="00206872"/>
    <w:rsid w:val="002F15F4"/>
    <w:rsid w:val="0032087E"/>
    <w:rsid w:val="003315F6"/>
    <w:rsid w:val="003352F7"/>
    <w:rsid w:val="00395BF5"/>
    <w:rsid w:val="003C4910"/>
    <w:rsid w:val="003F1CFD"/>
    <w:rsid w:val="004910C7"/>
    <w:rsid w:val="004E5428"/>
    <w:rsid w:val="00520D78"/>
    <w:rsid w:val="00591276"/>
    <w:rsid w:val="005B0C05"/>
    <w:rsid w:val="006021BA"/>
    <w:rsid w:val="006B11C7"/>
    <w:rsid w:val="00730127"/>
    <w:rsid w:val="00756A1F"/>
    <w:rsid w:val="007815D6"/>
    <w:rsid w:val="008324A3"/>
    <w:rsid w:val="008407B0"/>
    <w:rsid w:val="00886039"/>
    <w:rsid w:val="008A784E"/>
    <w:rsid w:val="009C0EAC"/>
    <w:rsid w:val="00A060EA"/>
    <w:rsid w:val="00A23294"/>
    <w:rsid w:val="00A27CEF"/>
    <w:rsid w:val="00AB2310"/>
    <w:rsid w:val="00AD00C8"/>
    <w:rsid w:val="00B233BF"/>
    <w:rsid w:val="00B75A77"/>
    <w:rsid w:val="00BC22B1"/>
    <w:rsid w:val="00C254BE"/>
    <w:rsid w:val="00CD134E"/>
    <w:rsid w:val="00CE415E"/>
    <w:rsid w:val="00CE6A09"/>
    <w:rsid w:val="00D23A3B"/>
    <w:rsid w:val="00D51BA8"/>
    <w:rsid w:val="00E036BF"/>
    <w:rsid w:val="00F1164D"/>
    <w:rsid w:val="00F559C1"/>
    <w:rsid w:val="00FE669D"/>
    <w:rsid w:val="03245D30"/>
    <w:rsid w:val="043F33F6"/>
    <w:rsid w:val="04C24B29"/>
    <w:rsid w:val="04CA537E"/>
    <w:rsid w:val="05C8053B"/>
    <w:rsid w:val="0665379A"/>
    <w:rsid w:val="070D1C67"/>
    <w:rsid w:val="07BB737A"/>
    <w:rsid w:val="07C26F98"/>
    <w:rsid w:val="094A5CC9"/>
    <w:rsid w:val="09F4300A"/>
    <w:rsid w:val="0BED7237"/>
    <w:rsid w:val="0D0F7033"/>
    <w:rsid w:val="14DF3F7C"/>
    <w:rsid w:val="17B567BD"/>
    <w:rsid w:val="18421CC7"/>
    <w:rsid w:val="19246DA5"/>
    <w:rsid w:val="19653299"/>
    <w:rsid w:val="19BB004A"/>
    <w:rsid w:val="1B1C1EA6"/>
    <w:rsid w:val="1B4E7AEA"/>
    <w:rsid w:val="1BFF6C1F"/>
    <w:rsid w:val="1D6B3ADA"/>
    <w:rsid w:val="201D5774"/>
    <w:rsid w:val="20585809"/>
    <w:rsid w:val="2332688C"/>
    <w:rsid w:val="24256DC6"/>
    <w:rsid w:val="250C111B"/>
    <w:rsid w:val="266C544C"/>
    <w:rsid w:val="26B77A6F"/>
    <w:rsid w:val="26C23C28"/>
    <w:rsid w:val="285C6CF6"/>
    <w:rsid w:val="2A03778B"/>
    <w:rsid w:val="2DBC0DF1"/>
    <w:rsid w:val="2DF1181E"/>
    <w:rsid w:val="2E5A1416"/>
    <w:rsid w:val="2E964489"/>
    <w:rsid w:val="33316805"/>
    <w:rsid w:val="34B423C5"/>
    <w:rsid w:val="35673FC8"/>
    <w:rsid w:val="364935E4"/>
    <w:rsid w:val="3A031CAD"/>
    <w:rsid w:val="3D605DF8"/>
    <w:rsid w:val="4230371D"/>
    <w:rsid w:val="43C80988"/>
    <w:rsid w:val="466947FF"/>
    <w:rsid w:val="485D0489"/>
    <w:rsid w:val="4916745D"/>
    <w:rsid w:val="492647E0"/>
    <w:rsid w:val="4A5B7A20"/>
    <w:rsid w:val="4AD53FA9"/>
    <w:rsid w:val="4BAC4A3D"/>
    <w:rsid w:val="4E795F9E"/>
    <w:rsid w:val="507A687E"/>
    <w:rsid w:val="516250D8"/>
    <w:rsid w:val="54BF2F30"/>
    <w:rsid w:val="564D1CFB"/>
    <w:rsid w:val="587D6CF9"/>
    <w:rsid w:val="59020E1C"/>
    <w:rsid w:val="598B6F6C"/>
    <w:rsid w:val="5D4B1842"/>
    <w:rsid w:val="5FDF284C"/>
    <w:rsid w:val="61A26E7C"/>
    <w:rsid w:val="634B2377"/>
    <w:rsid w:val="66E41654"/>
    <w:rsid w:val="66F14966"/>
    <w:rsid w:val="69F317FC"/>
    <w:rsid w:val="6B19348B"/>
    <w:rsid w:val="6B787127"/>
    <w:rsid w:val="6CDF1C0B"/>
    <w:rsid w:val="6D535020"/>
    <w:rsid w:val="6D5765D4"/>
    <w:rsid w:val="6DBC14EF"/>
    <w:rsid w:val="70220F26"/>
    <w:rsid w:val="723B590F"/>
    <w:rsid w:val="732C07BC"/>
    <w:rsid w:val="73F91324"/>
    <w:rsid w:val="75B40963"/>
    <w:rsid w:val="7776577C"/>
    <w:rsid w:val="7B5254BE"/>
    <w:rsid w:val="7BD05520"/>
    <w:rsid w:val="7D157943"/>
    <w:rsid w:val="7F0E479D"/>
    <w:rsid w:val="7F0E4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240" w:lineRule="auto"/>
      <w:ind w:left="420" w:leftChars="200"/>
    </w:pPr>
    <w:rPr>
      <w:rFonts w:ascii="Calibri" w:hAnsi="Calibri" w:eastAsia="仿宋_GB2312"/>
      <w:spacing w:val="0"/>
      <w:sz w:val="21"/>
      <w:szCs w:val="24"/>
    </w:rPr>
  </w:style>
  <w:style w:type="paragraph" w:styleId="3">
    <w:name w:val="Balloon Text"/>
    <w:basedOn w:val="1"/>
    <w:link w:val="13"/>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qFormat/>
    <w:uiPriority w:val="0"/>
    <w:pPr>
      <w:snapToGrid w:val="0"/>
      <w:jc w:val="left"/>
    </w:pPr>
    <w:rPr>
      <w:rFonts w:ascii="Times New Roman" w:hAnsi="Times New Roman" w:eastAsia="宋体" w:cs="Times New Roman"/>
      <w:sz w:val="18"/>
      <w:szCs w:val="18"/>
    </w:rPr>
  </w:style>
  <w:style w:type="table" w:styleId="8">
    <w:name w:val="Table Grid"/>
    <w:basedOn w:val="7"/>
    <w:qFormat/>
    <w:uiPriority w:val="5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otnote reference"/>
    <w:basedOn w:val="9"/>
    <w:qFormat/>
    <w:uiPriority w:val="0"/>
    <w:rPr>
      <w:vertAlign w:val="superscript"/>
    </w:rPr>
  </w:style>
  <w:style w:type="paragraph" w:customStyle="1" w:styleId="11">
    <w:name w:val="[Normal]"/>
    <w:qFormat/>
    <w:uiPriority w:val="99"/>
    <w:pPr>
      <w:widowControl w:val="0"/>
      <w:autoSpaceDE w:val="0"/>
      <w:autoSpaceDN w:val="0"/>
      <w:adjustRightInd w:val="0"/>
    </w:pPr>
    <w:rPr>
      <w:rFonts w:ascii="宋体" w:hAnsi="Times New Roman" w:cs="宋体" w:eastAsiaTheme="minorEastAsia"/>
      <w:sz w:val="24"/>
      <w:szCs w:val="24"/>
      <w:lang w:val="en-US" w:eastAsia="zh-CN" w:bidi="ar-SA"/>
    </w:rPr>
  </w:style>
  <w:style w:type="paragraph" w:styleId="12">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3">
    <w:name w:val="批注框文本 Char"/>
    <w:basedOn w:val="9"/>
    <w:link w:val="3"/>
    <w:qFormat/>
    <w:uiPriority w:val="0"/>
    <w:rPr>
      <w:kern w:val="2"/>
      <w:sz w:val="18"/>
      <w:szCs w:val="18"/>
    </w:rPr>
  </w:style>
  <w:style w:type="character" w:customStyle="1" w:styleId="14">
    <w:name w:val="脚注文本 Char"/>
    <w:basedOn w:val="9"/>
    <w:link w:val="6"/>
    <w:qFormat/>
    <w:uiPriority w:val="0"/>
    <w:rPr>
      <w:rFonts w:ascii="Times New Roman" w:hAnsi="Times New Roman" w:eastAsia="宋体" w:cs="Times New Roman"/>
      <w:kern w:val="2"/>
      <w:sz w:val="18"/>
      <w:szCs w:val="18"/>
    </w:rPr>
  </w:style>
  <w:style w:type="character" w:customStyle="1" w:styleId="15">
    <w:name w:val="页眉 Char"/>
    <w:basedOn w:val="9"/>
    <w:link w:val="5"/>
    <w:qFormat/>
    <w:uiPriority w:val="0"/>
    <w:rPr>
      <w:kern w:val="2"/>
      <w:sz w:val="18"/>
      <w:szCs w:val="18"/>
    </w:rPr>
  </w:style>
  <w:style w:type="character" w:customStyle="1" w:styleId="16">
    <w:name w:val="页脚 Char"/>
    <w:basedOn w:val="9"/>
    <w:link w:val="4"/>
    <w:qFormat/>
    <w:uiPriority w:val="0"/>
    <w:rPr>
      <w:kern w:val="2"/>
      <w:sz w:val="18"/>
      <w:szCs w:val="18"/>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12</Pages>
  <Words>1025</Words>
  <Characters>5847</Characters>
  <Lines>48</Lines>
  <Paragraphs>13</Paragraphs>
  <TotalTime>39</TotalTime>
  <ScaleCrop>false</ScaleCrop>
  <LinksUpToDate>false</LinksUpToDate>
  <CharactersWithSpaces>6859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2019-03-19T09:19:00Z</dcterms:created>
  <dc:creator>lenovo</dc:creator>
  <cp:lastModifiedBy>Administrator</cp:lastModifiedBy>
  <cp:lastPrinted>2019-03-19T09:23:00Z</cp:lastPrinted>
  <dcterms:modified xsi:type="dcterms:W3CDTF">2024-01-03T07:52:40Z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E407CCB576844517A0824E1EAC093EF0</vt:lpwstr>
  </property>
</Properties>
</file>