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986" w:type="dxa"/>
        <w:tblInd w:w="-2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95" w:hRule="atLeast"/>
        </w:trPr>
        <w:tc>
          <w:tcPr>
            <w:tcW w:w="8986" w:type="dxa"/>
          </w:tcPr>
          <w:p>
            <w:pPr>
              <w:keepNext w:val="0"/>
              <w:keepLines w:val="0"/>
              <w:pageBreakBefore w:val="0"/>
              <w:widowControl w:val="0"/>
              <w:tabs>
                <w:tab w:val="left" w:pos="3960"/>
              </w:tabs>
              <w:kinsoku/>
              <w:wordWrap/>
              <w:overflowPunct/>
              <w:topLinePunct w:val="0"/>
              <w:autoSpaceDE/>
              <w:autoSpaceDN/>
              <w:bidi w:val="0"/>
              <w:adjustRightInd/>
              <w:snapToGrid/>
              <w:spacing w:line="520" w:lineRule="exact"/>
              <w:ind w:left="105" w:leftChars="50" w:right="115" w:rightChars="55"/>
              <w:textAlignment w:val="auto"/>
              <w:rPr>
                <w:rFonts w:hint="eastAsia" w:ascii="宋体" w:hAnsi="宋体"/>
                <w:kern w:val="0"/>
                <w:sz w:val="28"/>
                <w:szCs w:val="28"/>
              </w:rPr>
            </w:pPr>
            <w:r>
              <w:rPr>
                <w:rFonts w:hint="eastAsia" w:ascii="宋体" w:hAnsi="宋体" w:eastAsia="宋体" w:cs="宋体"/>
                <w:b w:val="0"/>
                <w:bCs w:val="0"/>
                <w:kern w:val="0"/>
                <w:sz w:val="28"/>
                <w:szCs w:val="28"/>
              </w:rPr>
              <w:t>审批意见</w:t>
            </w:r>
            <w:r>
              <w:rPr>
                <w:rFonts w:hint="eastAsia" w:ascii="宋体" w:hAnsi="宋体"/>
                <w:b w:val="0"/>
                <w:bCs w:val="0"/>
                <w:kern w:val="0"/>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178" w:leftChars="85" w:right="71" w:rightChars="34" w:firstLine="540" w:firstLineChars="193"/>
              <w:jc w:val="right"/>
              <w:textAlignment w:val="auto"/>
              <w:rPr>
                <w:rFonts w:hint="eastAsia" w:ascii="宋体" w:hAnsi="宋体"/>
                <w:kern w:val="0"/>
                <w:sz w:val="28"/>
                <w:szCs w:val="28"/>
              </w:rPr>
            </w:pPr>
            <w:r>
              <w:rPr>
                <w:rFonts w:hint="eastAsia" w:ascii="宋体" w:hAnsi="宋体"/>
                <w:kern w:val="0"/>
                <w:sz w:val="28"/>
                <w:szCs w:val="28"/>
              </w:rPr>
              <w:t>保满审环表字〔202</w:t>
            </w:r>
            <w:r>
              <w:rPr>
                <w:rFonts w:hint="eastAsia" w:ascii="宋体" w:hAnsi="宋体"/>
                <w:kern w:val="0"/>
                <w:sz w:val="28"/>
                <w:szCs w:val="28"/>
                <w:lang w:val="en-US" w:eastAsia="zh-CN"/>
              </w:rPr>
              <w:t>4</w:t>
            </w:r>
            <w:r>
              <w:rPr>
                <w:rFonts w:hint="eastAsia" w:ascii="宋体" w:hAnsi="宋体"/>
                <w:kern w:val="0"/>
                <w:sz w:val="28"/>
                <w:szCs w:val="28"/>
              </w:rPr>
              <w:t>〕</w:t>
            </w:r>
            <w:r>
              <w:rPr>
                <w:rFonts w:hint="eastAsia" w:ascii="宋体" w:hAnsi="宋体"/>
                <w:kern w:val="0"/>
                <w:sz w:val="28"/>
                <w:szCs w:val="28"/>
                <w:lang w:val="en-US" w:eastAsia="zh-CN"/>
              </w:rPr>
              <w:t>08</w:t>
            </w:r>
            <w:r>
              <w:rPr>
                <w:rFonts w:hint="eastAsia" w:ascii="宋体" w:hAnsi="宋体"/>
                <w:kern w:val="0"/>
                <w:sz w:val="28"/>
                <w:szCs w:val="28"/>
              </w:rPr>
              <w:t>号</w:t>
            </w:r>
          </w:p>
          <w:p>
            <w:pPr>
              <w:pStyle w:val="2"/>
              <w:rPr>
                <w:rFonts w:hint="eastAsia"/>
                <w:sz w:val="28"/>
                <w:szCs w:val="28"/>
              </w:rPr>
            </w:pPr>
          </w:p>
          <w:p>
            <w:pPr>
              <w:keepNext w:val="0"/>
              <w:keepLines w:val="0"/>
              <w:pageBreakBefore w:val="0"/>
              <w:widowControl/>
              <w:suppressLineNumbers w:val="0"/>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rPr>
              <w:t>所报《</w:t>
            </w:r>
            <w:r>
              <w:rPr>
                <w:rFonts w:hint="eastAsia" w:ascii="宋体" w:hAnsi="宋体" w:cs="宋体"/>
                <w:kern w:val="0"/>
                <w:sz w:val="28"/>
                <w:szCs w:val="28"/>
                <w:lang w:val="en-US" w:eastAsia="zh-CN"/>
              </w:rPr>
              <w:t>水泥电线杆生产线扩建项目</w:t>
            </w:r>
            <w:r>
              <w:rPr>
                <w:rFonts w:hint="eastAsia" w:ascii="宋体" w:hAnsi="宋体" w:eastAsia="宋体" w:cs="宋体"/>
                <w:kern w:val="0"/>
                <w:sz w:val="28"/>
                <w:szCs w:val="28"/>
              </w:rPr>
              <w:t>环境影响报告表》收</w:t>
            </w:r>
            <w:r>
              <w:rPr>
                <w:rFonts w:hint="eastAsia" w:ascii="宋体" w:hAnsi="宋体" w:eastAsia="宋体" w:cs="宋体"/>
                <w:kern w:val="0"/>
                <w:sz w:val="28"/>
                <w:szCs w:val="28"/>
                <w:lang w:val="en-US" w:eastAsia="zh-CN"/>
              </w:rPr>
              <w:t>悉，根据报告表结论，经局领导审核通过后，研究批复如下：</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cs="宋体"/>
                <w:kern w:val="0"/>
                <w:sz w:val="28"/>
                <w:szCs w:val="28"/>
                <w:lang w:val="en-US" w:eastAsia="zh-CN"/>
              </w:rPr>
            </w:pPr>
            <w:r>
              <w:rPr>
                <w:rFonts w:hint="eastAsia" w:ascii="宋体" w:hAnsi="宋体" w:eastAsia="宋体" w:cs="宋体"/>
                <w:kern w:val="0"/>
                <w:sz w:val="28"/>
                <w:szCs w:val="28"/>
                <w:lang w:val="en-US" w:eastAsia="zh-CN"/>
              </w:rPr>
              <w:t>项目位于</w:t>
            </w:r>
            <w:r>
              <w:rPr>
                <w:rFonts w:hint="eastAsia" w:ascii="宋体" w:hAnsi="宋体" w:cs="宋体"/>
                <w:kern w:val="0"/>
                <w:sz w:val="28"/>
                <w:szCs w:val="28"/>
                <w:lang w:val="en-US" w:eastAsia="zh-CN"/>
              </w:rPr>
              <w:t>保定市</w:t>
            </w:r>
            <w:r>
              <w:rPr>
                <w:rFonts w:hint="eastAsia" w:ascii="宋体" w:hAnsi="宋体" w:eastAsia="宋体" w:cs="宋体"/>
                <w:kern w:val="0"/>
                <w:sz w:val="28"/>
                <w:szCs w:val="28"/>
                <w:lang w:val="en-US" w:eastAsia="zh-CN"/>
              </w:rPr>
              <w:t>满城区</w:t>
            </w:r>
            <w:r>
              <w:rPr>
                <w:rFonts w:hint="eastAsia" w:ascii="宋体" w:hAnsi="宋体" w:cs="宋体"/>
                <w:kern w:val="0"/>
                <w:sz w:val="28"/>
                <w:szCs w:val="28"/>
                <w:lang w:val="en-US" w:eastAsia="zh-CN"/>
              </w:rPr>
              <w:t>南韩村镇尹固村现有厂区内</w:t>
            </w:r>
            <w:r>
              <w:rPr>
                <w:rFonts w:hint="eastAsia" w:ascii="宋体" w:hAnsi="宋体" w:eastAsia="宋体" w:cs="宋体"/>
                <w:kern w:val="0"/>
                <w:sz w:val="28"/>
                <w:szCs w:val="28"/>
                <w:lang w:val="en-US" w:eastAsia="zh-CN"/>
              </w:rPr>
              <w:t>，</w:t>
            </w:r>
            <w:r>
              <w:rPr>
                <w:rFonts w:hint="eastAsia" w:ascii="宋体" w:hAnsi="宋体" w:cs="宋体"/>
                <w:kern w:val="0"/>
                <w:sz w:val="28"/>
                <w:szCs w:val="28"/>
                <w:lang w:val="en-US" w:eastAsia="zh-CN"/>
              </w:rPr>
              <w:t>厂区</w:t>
            </w:r>
            <w:r>
              <w:rPr>
                <w:rFonts w:hint="eastAsia" w:ascii="宋体" w:hAnsi="宋体" w:eastAsia="宋体" w:cs="宋体"/>
                <w:kern w:val="0"/>
                <w:sz w:val="28"/>
                <w:szCs w:val="28"/>
                <w:lang w:val="en-US" w:eastAsia="zh-CN"/>
              </w:rPr>
              <w:t>中心</w:t>
            </w:r>
            <w:r>
              <w:rPr>
                <w:rFonts w:hint="eastAsia" w:ascii="宋体" w:hAnsi="宋体" w:cs="宋体"/>
                <w:kern w:val="0"/>
                <w:sz w:val="28"/>
                <w:szCs w:val="28"/>
                <w:lang w:val="en-US" w:eastAsia="zh-CN"/>
              </w:rPr>
              <w:t>地理</w:t>
            </w:r>
            <w:r>
              <w:rPr>
                <w:rFonts w:hint="eastAsia" w:ascii="宋体" w:hAnsi="宋体" w:eastAsia="宋体" w:cs="宋体"/>
                <w:kern w:val="0"/>
                <w:sz w:val="28"/>
                <w:szCs w:val="28"/>
                <w:lang w:val="en-US" w:eastAsia="zh-CN"/>
              </w:rPr>
              <w:t>坐标为东经 115°</w:t>
            </w:r>
            <w:r>
              <w:rPr>
                <w:rFonts w:hint="eastAsia" w:ascii="宋体" w:hAnsi="宋体" w:cs="宋体"/>
                <w:kern w:val="0"/>
                <w:sz w:val="28"/>
                <w:szCs w:val="28"/>
                <w:lang w:val="en-US" w:eastAsia="zh-CN"/>
              </w:rPr>
              <w:t>16</w:t>
            </w:r>
            <w:r>
              <w:rPr>
                <w:rFonts w:hint="eastAsia" w:ascii="宋体" w:hAnsi="宋体" w:eastAsia="宋体" w:cs="宋体"/>
                <w:kern w:val="0"/>
                <w:sz w:val="28"/>
                <w:szCs w:val="28"/>
                <w:lang w:val="en-US" w:eastAsia="zh-CN"/>
              </w:rPr>
              <w:t>′</w:t>
            </w:r>
            <w:r>
              <w:rPr>
                <w:rFonts w:hint="eastAsia" w:ascii="宋体" w:hAnsi="宋体" w:cs="宋体"/>
                <w:kern w:val="0"/>
                <w:sz w:val="28"/>
                <w:szCs w:val="28"/>
                <w:lang w:val="en-US" w:eastAsia="zh-CN"/>
              </w:rPr>
              <w:t>29.52</w:t>
            </w:r>
            <w:r>
              <w:rPr>
                <w:rFonts w:hint="eastAsia" w:ascii="宋体" w:hAnsi="宋体" w:eastAsia="宋体" w:cs="宋体"/>
                <w:kern w:val="0"/>
                <w:sz w:val="28"/>
                <w:szCs w:val="28"/>
                <w:lang w:val="en-US" w:eastAsia="zh-CN"/>
              </w:rPr>
              <w:t>″，北纬</w:t>
            </w:r>
            <w:r>
              <w:rPr>
                <w:rFonts w:hint="eastAsia" w:ascii="宋体" w:hAnsi="宋体" w:cs="宋体"/>
                <w:kern w:val="0"/>
                <w:sz w:val="28"/>
                <w:szCs w:val="28"/>
                <w:lang w:val="en-US" w:eastAsia="zh-CN"/>
              </w:rPr>
              <w:t>38</w:t>
            </w:r>
            <w:r>
              <w:rPr>
                <w:rFonts w:hint="default" w:ascii="宋体" w:hAnsi="宋体" w:eastAsia="宋体" w:cs="宋体"/>
                <w:kern w:val="0"/>
                <w:sz w:val="28"/>
                <w:szCs w:val="28"/>
                <w:lang w:val="en-US" w:eastAsia="zh-CN"/>
              </w:rPr>
              <w:t>°</w:t>
            </w:r>
            <w:r>
              <w:rPr>
                <w:rFonts w:hint="eastAsia" w:ascii="宋体" w:hAnsi="宋体" w:cs="宋体"/>
                <w:kern w:val="0"/>
                <w:sz w:val="28"/>
                <w:szCs w:val="28"/>
                <w:lang w:val="en-US" w:eastAsia="zh-CN"/>
              </w:rPr>
              <w:t>50</w:t>
            </w:r>
            <w:r>
              <w:rPr>
                <w:rFonts w:hint="default" w:ascii="宋体" w:hAnsi="宋体" w:eastAsia="宋体" w:cs="宋体"/>
                <w:kern w:val="0"/>
                <w:sz w:val="28"/>
                <w:szCs w:val="28"/>
                <w:lang w:val="en-US" w:eastAsia="zh-CN"/>
              </w:rPr>
              <w:t>′</w:t>
            </w:r>
            <w:r>
              <w:rPr>
                <w:rFonts w:hint="eastAsia" w:ascii="宋体" w:hAnsi="宋体" w:cs="宋体"/>
                <w:kern w:val="0"/>
                <w:sz w:val="28"/>
                <w:szCs w:val="28"/>
                <w:lang w:val="en-US" w:eastAsia="zh-CN"/>
              </w:rPr>
              <w:t>30.90</w:t>
            </w:r>
            <w:r>
              <w:rPr>
                <w:rFonts w:hint="default" w:ascii="宋体" w:hAnsi="宋体" w:eastAsia="宋体" w:cs="宋体"/>
                <w:kern w:val="0"/>
                <w:sz w:val="28"/>
                <w:szCs w:val="28"/>
                <w:lang w:val="en-US" w:eastAsia="zh-CN"/>
              </w:rPr>
              <w:t>″</w:t>
            </w:r>
            <w:r>
              <w:rPr>
                <w:rFonts w:hint="eastAsia" w:ascii="宋体" w:hAnsi="宋体" w:cs="宋体"/>
                <w:kern w:val="0"/>
                <w:sz w:val="28"/>
                <w:szCs w:val="28"/>
                <w:lang w:val="en-US" w:eastAsia="zh-CN"/>
              </w:rPr>
              <w:t>。</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520" w:lineRule="exact"/>
              <w:ind w:left="0" w:leftChars="0" w:firstLine="560" w:firstLineChars="200"/>
              <w:jc w:val="both"/>
              <w:textAlignment w:val="auto"/>
              <w:rPr>
                <w:rFonts w:hint="eastAsia" w:ascii="宋体" w:hAnsi="宋体" w:cs="宋体"/>
                <w:kern w:val="0"/>
                <w:sz w:val="28"/>
                <w:szCs w:val="28"/>
                <w:lang w:val="en-US" w:eastAsia="zh-CN"/>
              </w:rPr>
            </w:pPr>
            <w:r>
              <w:rPr>
                <w:rFonts w:hint="eastAsia" w:ascii="宋体" w:hAnsi="宋体" w:eastAsia="宋体" w:cs="宋体"/>
                <w:kern w:val="0"/>
                <w:sz w:val="28"/>
                <w:szCs w:val="28"/>
                <w:lang w:val="en-US" w:eastAsia="zh-CN"/>
              </w:rPr>
              <w:t>项目总投资</w:t>
            </w:r>
            <w:r>
              <w:rPr>
                <w:rFonts w:hint="eastAsia" w:ascii="宋体" w:hAnsi="宋体" w:cs="宋体"/>
                <w:kern w:val="0"/>
                <w:sz w:val="28"/>
                <w:szCs w:val="28"/>
                <w:lang w:val="en-US" w:eastAsia="zh-CN"/>
              </w:rPr>
              <w:t>200</w:t>
            </w:r>
            <w:r>
              <w:rPr>
                <w:rFonts w:hint="eastAsia" w:ascii="宋体" w:hAnsi="宋体" w:eastAsia="宋体" w:cs="宋体"/>
                <w:kern w:val="0"/>
                <w:sz w:val="28"/>
                <w:szCs w:val="28"/>
                <w:lang w:val="en-US" w:eastAsia="zh-CN"/>
              </w:rPr>
              <w:t>万元，其中环保投资</w:t>
            </w:r>
            <w:r>
              <w:rPr>
                <w:rFonts w:hint="eastAsia" w:ascii="宋体" w:hAnsi="宋体" w:cs="宋体"/>
                <w:kern w:val="0"/>
                <w:sz w:val="28"/>
                <w:szCs w:val="28"/>
                <w:lang w:val="en-US" w:eastAsia="zh-CN"/>
              </w:rPr>
              <w:t>18</w:t>
            </w:r>
            <w:r>
              <w:rPr>
                <w:rFonts w:hint="eastAsia" w:ascii="宋体" w:hAnsi="宋体" w:eastAsia="宋体" w:cs="宋体"/>
                <w:kern w:val="0"/>
                <w:sz w:val="28"/>
                <w:szCs w:val="28"/>
                <w:lang w:val="en-US" w:eastAsia="zh-CN"/>
              </w:rPr>
              <w:t>万元。</w:t>
            </w:r>
            <w:r>
              <w:rPr>
                <w:rFonts w:hint="eastAsia" w:ascii="宋体" w:hAnsi="宋体" w:cs="宋体"/>
                <w:kern w:val="0"/>
                <w:sz w:val="28"/>
                <w:szCs w:val="28"/>
                <w:lang w:val="en-US" w:eastAsia="zh-CN"/>
              </w:rPr>
              <w:t>本次扩建项目在原有厂区进行，不新增占地。主要新增生产设备为：配料机1台、搅拌机1台、双混8组离心机组1套、钢筋调直机1台、滚焊机1台及相关辅助设备，共计93台（套）。原年产水泥电线杆2万根，扩建项目完成后年产水泥电线杆4万根。</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520" w:lineRule="exact"/>
              <w:ind w:left="0" w:leftChars="0" w:firstLine="560" w:firstLineChars="200"/>
              <w:jc w:val="both"/>
              <w:textAlignment w:val="auto"/>
              <w:rPr>
                <w:rFonts w:hint="eastAsia" w:ascii="宋体" w:hAnsi="宋体"/>
                <w:kern w:val="0"/>
                <w:sz w:val="28"/>
                <w:szCs w:val="28"/>
              </w:rPr>
            </w:pPr>
            <w:r>
              <w:rPr>
                <w:rFonts w:hint="eastAsia" w:ascii="宋体" w:hAnsi="宋体" w:eastAsia="宋体" w:cs="宋体"/>
                <w:kern w:val="0"/>
                <w:sz w:val="28"/>
                <w:szCs w:val="28"/>
                <w:lang w:val="en-US" w:eastAsia="zh-CN"/>
              </w:rPr>
              <w:t>你单位在建设及运营过程中要严格按本项目环境影响报告表规定的内容，认真落实各项污染防治措施，确保</w:t>
            </w:r>
            <w:r>
              <w:rPr>
                <w:rFonts w:hint="eastAsia" w:ascii="宋体" w:hAnsi="宋体"/>
                <w:kern w:val="0"/>
                <w:sz w:val="28"/>
                <w:szCs w:val="28"/>
              </w:rPr>
              <w:t>污染物稳定达标排放。</w:t>
            </w:r>
          </w:p>
          <w:p>
            <w:pPr>
              <w:pStyle w:val="8"/>
              <w:keepNext w:val="0"/>
              <w:keepLines w:val="0"/>
              <w:pageBreakBefore w:val="0"/>
              <w:widowControl w:val="0"/>
              <w:kinsoku/>
              <w:wordWrap/>
              <w:overflowPunct/>
              <w:topLinePunct w:val="0"/>
              <w:autoSpaceDE/>
              <w:autoSpaceDN/>
              <w:bidi w:val="0"/>
              <w:adjustRightInd/>
              <w:snapToGrid/>
              <w:spacing w:line="520" w:lineRule="exact"/>
              <w:ind w:firstLine="560"/>
              <w:jc w:val="both"/>
              <w:textAlignment w:val="auto"/>
              <w:outlineLvl w:val="9"/>
              <w:rPr>
                <w:rFonts w:hint="eastAsia" w:ascii="宋体" w:hAnsi="宋体" w:eastAsia="宋体" w:cs="宋体"/>
                <w:kern w:val="0"/>
                <w:sz w:val="28"/>
                <w:szCs w:val="28"/>
                <w:lang w:val="en-US" w:eastAsia="zh-CN" w:bidi="ar-SA"/>
              </w:rPr>
            </w:pPr>
            <w:r>
              <w:rPr>
                <w:rFonts w:hint="eastAsia" w:ascii="宋体" w:hAnsi="宋体" w:eastAsia="宋体" w:cs="宋体"/>
                <w:kern w:val="0"/>
                <w:sz w:val="28"/>
                <w:szCs w:val="28"/>
                <w:lang w:val="en-US" w:eastAsia="zh-CN" w:bidi="ar-SA"/>
              </w:rPr>
              <w:t>（一）废气</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560" w:firstLineChars="200"/>
              <w:jc w:val="both"/>
              <w:textAlignment w:val="auto"/>
              <w:rPr>
                <w:rFonts w:hint="default" w:ascii="宋体" w:hAnsi="宋体"/>
                <w:sz w:val="28"/>
                <w:szCs w:val="28"/>
                <w:highlight w:val="none"/>
                <w:vertAlign w:val="baseline"/>
                <w:lang w:val="en-US" w:eastAsia="zh-CN"/>
              </w:rPr>
            </w:pPr>
            <w:r>
              <w:rPr>
                <w:rFonts w:hint="eastAsia" w:ascii="宋体" w:hAnsi="宋体"/>
                <w:sz w:val="28"/>
                <w:szCs w:val="28"/>
                <w:highlight w:val="none"/>
                <w:lang w:val="en-US" w:eastAsia="zh-CN"/>
              </w:rPr>
              <w:t>水泥筒仓进料过程产生的废气经仓顶布袋除尘器处理后通过1根15米高排气筒（DA005）排放，上料、配料、搅拌工序产生的废气经集气罩收集，共用1套布袋除尘器，经布袋除尘器处理后通过1根15米高排气筒（DA006）排放，排放标准执行《水泥工业大气污染物超低排放标准》（DB13/2167-2020）表1水泥仓及其他通风生产设备排放限值；焊接工序在焊接车间进行，焊接车间顶部、焊接工位上方设置集气罩，焊接烟尘使用集气罩收集，经布袋除尘器处理后通过1根15米高排气筒（DA007）排放，排放标准执行《大气污染物综合排放标准》（GB16297-1996）表2二级标准要求（排气筒15米高）。无组织废气执行《水泥工业大气污染物超低排放标准》（DB13/2167-2020）表2大气污染物无组织排放限值。</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sz w:val="28"/>
                <w:szCs w:val="28"/>
                <w:highlight w:val="none"/>
                <w:lang w:val="en-US" w:eastAsia="zh-CN"/>
              </w:rPr>
            </w:pPr>
            <w:r>
              <w:rPr>
                <w:rFonts w:hint="eastAsia" w:ascii="宋体" w:hAnsi="宋体"/>
                <w:sz w:val="28"/>
                <w:szCs w:val="28"/>
                <w:highlight w:val="none"/>
                <w:lang w:val="en-US" w:eastAsia="zh-CN"/>
              </w:rPr>
              <w:t>（二）废水</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Times New Roman"/>
                <w:sz w:val="28"/>
                <w:szCs w:val="28"/>
                <w:highlight w:val="none"/>
                <w:lang w:val="en-US" w:eastAsia="zh-CN"/>
              </w:rPr>
            </w:pPr>
            <w:r>
              <w:rPr>
                <w:rFonts w:hint="eastAsia" w:ascii="宋体" w:hAnsi="宋体" w:cs="Times New Roman"/>
                <w:sz w:val="28"/>
                <w:szCs w:val="28"/>
                <w:highlight w:val="none"/>
                <w:lang w:val="en-US" w:eastAsia="zh-CN"/>
              </w:rPr>
              <w:t>扩建项目无生产废水产生。搅拌机清洗用水经沉淀池沉淀后上清水回用于生产，车辆清洗废水经沉淀池沉淀后循环利用，不外排；职工生活污水排入防渗旱厕，定期清掏，外运用作农肥</w:t>
            </w:r>
            <w:r>
              <w:rPr>
                <w:rFonts w:hint="eastAsia" w:ascii="宋体" w:hAnsi="宋体" w:eastAsia="宋体" w:cs="Times New Roman"/>
                <w:sz w:val="28"/>
                <w:szCs w:val="28"/>
                <w:highlight w:val="none"/>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sz w:val="28"/>
                <w:szCs w:val="28"/>
                <w:highlight w:val="none"/>
                <w:lang w:val="en-US" w:eastAsia="zh-CN"/>
              </w:rPr>
            </w:pPr>
            <w:r>
              <w:rPr>
                <w:rFonts w:hint="eastAsia" w:ascii="宋体" w:hAnsi="宋体"/>
                <w:sz w:val="28"/>
                <w:szCs w:val="28"/>
                <w:highlight w:val="none"/>
                <w:lang w:val="en-US" w:eastAsia="zh-CN"/>
              </w:rPr>
              <w:t>（三）噪声</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sz w:val="28"/>
                <w:szCs w:val="28"/>
                <w:highlight w:val="none"/>
                <w:lang w:val="en-US" w:eastAsia="zh-CN"/>
              </w:rPr>
            </w:pPr>
            <w:r>
              <w:rPr>
                <w:rFonts w:hint="eastAsia" w:ascii="宋体" w:hAnsi="宋体"/>
                <w:sz w:val="28"/>
                <w:szCs w:val="28"/>
                <w:highlight w:val="none"/>
                <w:lang w:val="en-US" w:eastAsia="zh-CN"/>
              </w:rPr>
              <w:t>扩建项目选用基础减震、厂房隔声及距离衰减等降噪措施。满足《工业企业厂界环境噪声排放标准》（GB12348-2008)表1中2类标准。</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eastAsia="宋体" w:cs="Times New Roman"/>
                <w:sz w:val="28"/>
                <w:szCs w:val="28"/>
                <w:highlight w:val="none"/>
                <w:lang w:val="en-US" w:eastAsia="zh-CN"/>
              </w:rPr>
            </w:pPr>
            <w:r>
              <w:rPr>
                <w:rFonts w:hint="eastAsia" w:ascii="宋体" w:hAnsi="宋体" w:eastAsia="宋体" w:cs="Times New Roman"/>
                <w:sz w:val="28"/>
                <w:szCs w:val="28"/>
                <w:highlight w:val="none"/>
                <w:lang w:val="en-US" w:eastAsia="zh-CN"/>
              </w:rPr>
              <w:t>（四）固体废物</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560" w:firstLineChars="200"/>
              <w:jc w:val="both"/>
              <w:textAlignment w:val="auto"/>
              <w:rPr>
                <w:rFonts w:hint="default" w:ascii="宋体" w:hAnsi="宋体" w:eastAsia="宋体" w:cs="Times New Roman"/>
                <w:sz w:val="28"/>
                <w:szCs w:val="28"/>
                <w:highlight w:val="none"/>
                <w:lang w:val="en-US" w:eastAsia="zh-CN"/>
              </w:rPr>
            </w:pPr>
            <w:r>
              <w:rPr>
                <w:rFonts w:hint="eastAsia" w:ascii="宋体" w:hAnsi="宋体"/>
                <w:sz w:val="28"/>
                <w:szCs w:val="28"/>
                <w:highlight w:val="none"/>
                <w:lang w:val="en-US" w:eastAsia="zh-CN"/>
              </w:rPr>
              <w:t>废水泥浆由满城县昊达水泥砖厂拉走制砖综合利用，钢筋下脚料、焊接工序焊渣收集后全部外售；废密封绳交由环卫部门处理；反洗废盐收集后暂存，作为道路冬季融雪剂使用；沉淀池污泥全部用于厂区绿化使用；职工生活垃圾统一收集后交环卫部门处置，不外排；除尘器收集的除尘灰全部回用于生产；脱模剂桶为周转桶，由厂家回收循环利用， 不作为固体废物进行管理；</w:t>
            </w:r>
            <w:bookmarkStart w:id="0" w:name="_GoBack"/>
            <w:bookmarkEnd w:id="0"/>
            <w:r>
              <w:rPr>
                <w:rFonts w:hint="eastAsia" w:ascii="宋体" w:hAnsi="宋体"/>
                <w:sz w:val="28"/>
                <w:szCs w:val="28"/>
                <w:highlight w:val="none"/>
                <w:lang w:val="en-US" w:eastAsia="zh-CN"/>
              </w:rPr>
              <w:t>废离子交换树脂统一收集后交环卫部门处置，不外排</w:t>
            </w:r>
            <w:r>
              <w:rPr>
                <w:rFonts w:hint="eastAsia" w:ascii="宋体" w:hAnsi="宋体" w:cs="Times New Roman"/>
                <w:sz w:val="28"/>
                <w:szCs w:val="28"/>
                <w:highlight w:val="none"/>
                <w:lang w:val="en-US"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right="115" w:rightChars="55" w:firstLine="560" w:firstLineChars="200"/>
              <w:jc w:val="both"/>
              <w:textAlignment w:val="auto"/>
              <w:rPr>
                <w:rFonts w:hint="eastAsia" w:ascii="宋体" w:hAnsi="宋体" w:eastAsia="宋体" w:cs="Times New Roman"/>
                <w:kern w:val="0"/>
                <w:sz w:val="28"/>
                <w:szCs w:val="28"/>
              </w:rPr>
            </w:pPr>
            <w:r>
              <w:rPr>
                <w:rFonts w:hint="eastAsia" w:ascii="宋体" w:hAnsi="宋体"/>
                <w:kern w:val="0"/>
                <w:sz w:val="28"/>
                <w:szCs w:val="28"/>
                <w:lang w:val="en-US" w:eastAsia="zh-CN"/>
              </w:rPr>
              <w:t>扩建完成后全厂</w:t>
            </w:r>
            <w:r>
              <w:rPr>
                <w:rFonts w:hint="eastAsia" w:ascii="宋体" w:hAnsi="宋体"/>
                <w:sz w:val="28"/>
                <w:szCs w:val="28"/>
              </w:rPr>
              <w:t>污染物排放总量控制指标为</w:t>
            </w:r>
            <w:r>
              <w:rPr>
                <w:rFonts w:hint="eastAsia" w:ascii="宋体" w:hAnsi="宋体"/>
                <w:kern w:val="0"/>
                <w:sz w:val="28"/>
                <w:szCs w:val="28"/>
              </w:rPr>
              <w:t>：</w:t>
            </w:r>
            <w:r>
              <w:rPr>
                <w:rFonts w:hint="eastAsia" w:ascii="宋体" w:hAnsi="宋体"/>
                <w:kern w:val="0"/>
                <w:sz w:val="28"/>
                <w:szCs w:val="28"/>
                <w:vertAlign w:val="baseline"/>
                <w:lang w:val="en-US" w:eastAsia="zh-CN"/>
              </w:rPr>
              <w:t>COD：0t/a、氨氮：0t/a、</w:t>
            </w:r>
            <w:r>
              <w:rPr>
                <w:rFonts w:hint="eastAsia" w:ascii="宋体" w:hAnsi="宋体"/>
                <w:kern w:val="0"/>
                <w:sz w:val="28"/>
                <w:szCs w:val="28"/>
                <w:lang w:val="en-US" w:eastAsia="zh-CN"/>
              </w:rPr>
              <w:t>总氮：</w:t>
            </w:r>
            <w:r>
              <w:rPr>
                <w:rFonts w:hint="eastAsia" w:ascii="宋体" w:hAnsi="宋体"/>
                <w:kern w:val="0"/>
                <w:sz w:val="28"/>
                <w:szCs w:val="28"/>
              </w:rPr>
              <w:t>0t/a</w:t>
            </w:r>
            <w:r>
              <w:rPr>
                <w:rFonts w:hint="eastAsia" w:ascii="宋体" w:hAnsi="宋体"/>
                <w:kern w:val="0"/>
                <w:sz w:val="28"/>
                <w:szCs w:val="28"/>
                <w:lang w:eastAsia="zh-CN"/>
              </w:rPr>
              <w:t>，</w:t>
            </w:r>
            <w:r>
              <w:rPr>
                <w:rFonts w:hint="eastAsia" w:ascii="宋体" w:hAnsi="宋体"/>
                <w:kern w:val="0"/>
                <w:sz w:val="28"/>
                <w:szCs w:val="28"/>
                <w:lang w:val="en-US" w:eastAsia="zh-CN"/>
              </w:rPr>
              <w:t>总磷：</w:t>
            </w:r>
            <w:r>
              <w:rPr>
                <w:rFonts w:hint="eastAsia" w:ascii="宋体" w:hAnsi="宋体"/>
                <w:kern w:val="0"/>
                <w:sz w:val="28"/>
                <w:szCs w:val="28"/>
              </w:rPr>
              <w:t>0t/a</w:t>
            </w:r>
            <w:r>
              <w:rPr>
                <w:rFonts w:hint="eastAsia" w:ascii="宋体" w:hAnsi="宋体"/>
                <w:kern w:val="0"/>
                <w:sz w:val="28"/>
                <w:szCs w:val="28"/>
                <w:lang w:eastAsia="zh-CN"/>
              </w:rPr>
              <w:t>、</w:t>
            </w:r>
            <w:r>
              <w:rPr>
                <w:rFonts w:hint="eastAsia" w:ascii="宋体" w:hAnsi="宋体"/>
                <w:kern w:val="0"/>
                <w:sz w:val="28"/>
                <w:szCs w:val="28"/>
                <w:lang w:val="en-US" w:eastAsia="zh-CN"/>
              </w:rPr>
              <w:t>SO</w:t>
            </w:r>
            <w:r>
              <w:rPr>
                <w:rFonts w:hint="eastAsia" w:ascii="宋体" w:hAnsi="宋体"/>
                <w:kern w:val="0"/>
                <w:sz w:val="28"/>
                <w:szCs w:val="28"/>
                <w:vertAlign w:val="subscript"/>
                <w:lang w:val="en-US" w:eastAsia="zh-CN"/>
              </w:rPr>
              <w:t>2</w:t>
            </w:r>
            <w:r>
              <w:rPr>
                <w:rFonts w:hint="eastAsia" w:ascii="宋体" w:hAnsi="宋体"/>
                <w:kern w:val="0"/>
                <w:sz w:val="28"/>
                <w:szCs w:val="28"/>
                <w:lang w:val="en-US" w:eastAsia="zh-CN"/>
              </w:rPr>
              <w:t>：0.046t/a、NO</w:t>
            </w:r>
            <w:r>
              <w:rPr>
                <w:rFonts w:hint="eastAsia" w:ascii="宋体" w:hAnsi="宋体"/>
                <w:kern w:val="0"/>
                <w:sz w:val="28"/>
                <w:szCs w:val="28"/>
                <w:vertAlign w:val="subscript"/>
                <w:lang w:val="en-US" w:eastAsia="zh-CN"/>
              </w:rPr>
              <w:t>X</w:t>
            </w:r>
            <w:r>
              <w:rPr>
                <w:rFonts w:hint="eastAsia" w:ascii="宋体" w:hAnsi="宋体"/>
                <w:kern w:val="0"/>
                <w:sz w:val="28"/>
                <w:szCs w:val="28"/>
                <w:lang w:val="en-US" w:eastAsia="zh-CN"/>
              </w:rPr>
              <w:t>：0.226t/a、</w:t>
            </w:r>
            <w:r>
              <w:rPr>
                <w:rFonts w:hint="eastAsia" w:ascii="宋体" w:hAnsi="宋体"/>
                <w:kern w:val="0"/>
                <w:sz w:val="28"/>
                <w:szCs w:val="28"/>
                <w:vertAlign w:val="baseline"/>
                <w:lang w:val="en-US" w:eastAsia="zh-CN"/>
              </w:rPr>
              <w:t>VOC</w:t>
            </w:r>
            <w:r>
              <w:rPr>
                <w:rFonts w:hint="eastAsia" w:ascii="宋体" w:hAnsi="宋体"/>
                <w:kern w:val="0"/>
                <w:sz w:val="28"/>
                <w:szCs w:val="28"/>
                <w:vertAlign w:val="subscript"/>
                <w:lang w:val="en-US" w:eastAsia="zh-CN"/>
              </w:rPr>
              <w:t>s</w:t>
            </w:r>
            <w:r>
              <w:rPr>
                <w:rFonts w:hint="eastAsia" w:ascii="宋体" w:hAnsi="宋体"/>
                <w:kern w:val="0"/>
                <w:sz w:val="28"/>
                <w:szCs w:val="28"/>
                <w:vertAlign w:val="baseline"/>
                <w:lang w:val="en-US" w:eastAsia="zh-CN"/>
              </w:rPr>
              <w:t>：0t/a、</w:t>
            </w:r>
            <w:r>
              <w:rPr>
                <w:rFonts w:hint="eastAsia" w:ascii="宋体" w:hAnsi="宋体"/>
                <w:kern w:val="0"/>
                <w:sz w:val="28"/>
                <w:szCs w:val="28"/>
                <w:lang w:val="en-US" w:eastAsia="zh-CN"/>
              </w:rPr>
              <w:t>颗粒物：0.534</w:t>
            </w:r>
            <w:r>
              <w:rPr>
                <w:rFonts w:hint="eastAsia" w:ascii="宋体" w:hAnsi="宋体"/>
                <w:kern w:val="0"/>
                <w:sz w:val="28"/>
                <w:szCs w:val="28"/>
              </w:rPr>
              <w:t>t/a</w:t>
            </w:r>
            <w:r>
              <w:rPr>
                <w:rFonts w:hint="eastAsia" w:ascii="宋体" w:hAnsi="宋体"/>
                <w:kern w:val="0"/>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115" w:rightChars="55" w:firstLine="560" w:firstLineChars="200"/>
              <w:jc w:val="both"/>
              <w:textAlignment w:val="auto"/>
              <w:rPr>
                <w:rFonts w:hint="eastAsia" w:ascii="宋体" w:hAnsi="宋体"/>
                <w:kern w:val="0"/>
                <w:sz w:val="28"/>
                <w:szCs w:val="28"/>
              </w:rPr>
            </w:pPr>
            <w:r>
              <w:rPr>
                <w:rFonts w:hint="eastAsia" w:ascii="宋体" w:hAnsi="宋体"/>
                <w:kern w:val="0"/>
                <w:sz w:val="28"/>
                <w:szCs w:val="28"/>
                <w:lang w:eastAsia="zh-CN"/>
              </w:rPr>
              <w:t>五、</w:t>
            </w:r>
            <w:r>
              <w:rPr>
                <w:rFonts w:hint="eastAsia" w:ascii="宋体" w:hAnsi="宋体"/>
                <w:kern w:val="0"/>
                <w:sz w:val="28"/>
                <w:szCs w:val="28"/>
              </w:rPr>
              <w:t>项目建成后应先行按照排污许可管理要求，办理排污许可证，并按照《建设项目环境保护管理条例》（国令第682号）及相关文件要求落实竣工环境保护验收工作。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115" w:rightChars="55"/>
              <w:jc w:val="both"/>
              <w:textAlignment w:val="auto"/>
              <w:rPr>
                <w:rFonts w:hint="eastAsia" w:ascii="宋体" w:hAnsi="宋体"/>
                <w:kern w:val="0"/>
                <w:sz w:val="28"/>
                <w:szCs w:val="28"/>
                <w:lang w:val="en-US" w:eastAsia="zh-CN"/>
              </w:rPr>
            </w:pPr>
            <w:r>
              <w:rPr>
                <w:rFonts w:hint="eastAsia" w:ascii="宋体" w:hAnsi="宋体"/>
                <w:kern w:val="0"/>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115" w:rightChars="55"/>
              <w:jc w:val="both"/>
              <w:textAlignment w:val="auto"/>
              <w:rPr>
                <w:rFonts w:hint="eastAsia" w:ascii="宋体" w:hAnsi="宋体"/>
                <w:kern w:val="0"/>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115" w:rightChars="55" w:firstLine="5600" w:firstLineChars="2000"/>
              <w:jc w:val="both"/>
              <w:textAlignment w:val="auto"/>
              <w:rPr>
                <w:rFonts w:hint="eastAsia" w:ascii="宋体" w:hAnsi="宋体"/>
                <w:kern w:val="0"/>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115" w:rightChars="55"/>
              <w:jc w:val="both"/>
              <w:textAlignment w:val="auto"/>
              <w:rPr>
                <w:rFonts w:hint="eastAsia" w:ascii="宋体" w:hAnsi="宋体"/>
                <w:kern w:val="0"/>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115" w:rightChars="55" w:firstLine="5880" w:firstLineChars="2100"/>
              <w:jc w:val="both"/>
              <w:textAlignment w:val="auto"/>
              <w:rPr>
                <w:rFonts w:hint="eastAsia" w:ascii="宋体" w:hAnsi="宋体"/>
                <w:kern w:val="0"/>
                <w:sz w:val="28"/>
                <w:szCs w:val="28"/>
              </w:rPr>
            </w:pPr>
            <w:r>
              <w:rPr>
                <w:rFonts w:hint="eastAsia" w:ascii="宋体" w:hAnsi="宋体"/>
                <w:kern w:val="0"/>
                <w:sz w:val="28"/>
                <w:szCs w:val="28"/>
              </w:rPr>
              <w:t xml:space="preserve">公   章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115" w:rightChars="55" w:firstLine="5320" w:firstLineChars="1900"/>
              <w:jc w:val="both"/>
              <w:textAlignment w:val="auto"/>
              <w:rPr>
                <w:rFonts w:hint="eastAsia" w:ascii="宋体" w:hAnsi="宋体"/>
                <w:kern w:val="0"/>
                <w:sz w:val="24"/>
                <w:szCs w:val="24"/>
              </w:rPr>
            </w:pPr>
            <w:r>
              <w:rPr>
                <w:rFonts w:hint="eastAsia" w:ascii="宋体" w:hAnsi="宋体"/>
                <w:kern w:val="0"/>
                <w:sz w:val="28"/>
                <w:szCs w:val="28"/>
              </w:rPr>
              <w:t>202</w:t>
            </w:r>
            <w:r>
              <w:rPr>
                <w:rFonts w:hint="eastAsia" w:ascii="宋体" w:hAnsi="宋体"/>
                <w:kern w:val="0"/>
                <w:sz w:val="28"/>
                <w:szCs w:val="28"/>
                <w:lang w:val="en-US" w:eastAsia="zh-CN"/>
              </w:rPr>
              <w:t>4</w:t>
            </w:r>
            <w:r>
              <w:rPr>
                <w:rFonts w:hint="eastAsia" w:ascii="宋体" w:hAnsi="宋体"/>
                <w:kern w:val="0"/>
                <w:sz w:val="28"/>
                <w:szCs w:val="28"/>
              </w:rPr>
              <w:t>年</w:t>
            </w:r>
            <w:r>
              <w:rPr>
                <w:rFonts w:hint="eastAsia" w:ascii="宋体" w:hAnsi="宋体"/>
                <w:kern w:val="0"/>
                <w:sz w:val="28"/>
                <w:szCs w:val="28"/>
                <w:lang w:val="en-US" w:eastAsia="zh-CN"/>
              </w:rPr>
              <w:t>3</w:t>
            </w:r>
            <w:r>
              <w:rPr>
                <w:rFonts w:hint="eastAsia" w:ascii="宋体" w:hAnsi="宋体"/>
                <w:kern w:val="0"/>
                <w:sz w:val="28"/>
                <w:szCs w:val="28"/>
              </w:rPr>
              <w:t>月</w:t>
            </w:r>
            <w:r>
              <w:rPr>
                <w:rFonts w:hint="eastAsia" w:ascii="宋体" w:hAnsi="宋体"/>
                <w:kern w:val="0"/>
                <w:sz w:val="28"/>
                <w:szCs w:val="28"/>
                <w:lang w:val="en-US" w:eastAsia="zh-CN"/>
              </w:rPr>
              <w:t>6</w:t>
            </w:r>
            <w:r>
              <w:rPr>
                <w:rFonts w:hint="eastAsia" w:ascii="宋体" w:hAnsi="宋体"/>
                <w:kern w:val="0"/>
                <w:sz w:val="28"/>
                <w:szCs w:val="28"/>
              </w:rPr>
              <w:t xml:space="preserve">日               </w:t>
            </w:r>
            <w:r>
              <w:rPr>
                <w:rFonts w:hint="eastAsia" w:ascii="宋体" w:hAnsi="宋体"/>
                <w:kern w:val="0"/>
                <w:sz w:val="24"/>
                <w:szCs w:val="24"/>
              </w:rPr>
              <w:t xml:space="preserve">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EE7329"/>
    <w:multiLevelType w:val="singleLevel"/>
    <w:tmpl w:val="A5EE7329"/>
    <w:lvl w:ilvl="0" w:tentative="0">
      <w:start w:val="1"/>
      <w:numFmt w:val="chineseCounting"/>
      <w:suff w:val="nothing"/>
      <w:lvlText w:val="%1、"/>
      <w:lvlJc w:val="left"/>
      <w:rPr>
        <w:rFonts w:hint="eastAsia"/>
      </w:rPr>
    </w:lvl>
  </w:abstractNum>
  <w:abstractNum w:abstractNumId="1">
    <w:nsid w:val="56597C07"/>
    <w:multiLevelType w:val="singleLevel"/>
    <w:tmpl w:val="56597C07"/>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A4716"/>
    <w:rsid w:val="012832B8"/>
    <w:rsid w:val="02C02766"/>
    <w:rsid w:val="02EA7B19"/>
    <w:rsid w:val="03824766"/>
    <w:rsid w:val="03971ADE"/>
    <w:rsid w:val="0566754E"/>
    <w:rsid w:val="06061C46"/>
    <w:rsid w:val="06A452F3"/>
    <w:rsid w:val="07C40FCD"/>
    <w:rsid w:val="081D5FDD"/>
    <w:rsid w:val="091B7034"/>
    <w:rsid w:val="0A8D39DF"/>
    <w:rsid w:val="0D1B43DE"/>
    <w:rsid w:val="0DA72878"/>
    <w:rsid w:val="0DCD38ED"/>
    <w:rsid w:val="0F0C63FF"/>
    <w:rsid w:val="0F272626"/>
    <w:rsid w:val="12100780"/>
    <w:rsid w:val="14AD43EA"/>
    <w:rsid w:val="1538044B"/>
    <w:rsid w:val="163F0F8C"/>
    <w:rsid w:val="1818127D"/>
    <w:rsid w:val="182D46C7"/>
    <w:rsid w:val="18486FDA"/>
    <w:rsid w:val="199F7CE3"/>
    <w:rsid w:val="1B666D00"/>
    <w:rsid w:val="1CF72838"/>
    <w:rsid w:val="1E1B62F5"/>
    <w:rsid w:val="213D39D3"/>
    <w:rsid w:val="25024F94"/>
    <w:rsid w:val="250E4D31"/>
    <w:rsid w:val="26D94133"/>
    <w:rsid w:val="26F0785C"/>
    <w:rsid w:val="2AB71FF2"/>
    <w:rsid w:val="2ADE14E1"/>
    <w:rsid w:val="2AF11A39"/>
    <w:rsid w:val="2B1B697F"/>
    <w:rsid w:val="2C524131"/>
    <w:rsid w:val="2C610CF3"/>
    <w:rsid w:val="2D0265E5"/>
    <w:rsid w:val="2DB15CAE"/>
    <w:rsid w:val="2ED758E9"/>
    <w:rsid w:val="30186C02"/>
    <w:rsid w:val="3115503D"/>
    <w:rsid w:val="32BF6348"/>
    <w:rsid w:val="34060A6A"/>
    <w:rsid w:val="34A03943"/>
    <w:rsid w:val="35201E7C"/>
    <w:rsid w:val="35C94DE1"/>
    <w:rsid w:val="36625046"/>
    <w:rsid w:val="38B45F56"/>
    <w:rsid w:val="39BA7202"/>
    <w:rsid w:val="39E369CD"/>
    <w:rsid w:val="3A752260"/>
    <w:rsid w:val="3ADE123E"/>
    <w:rsid w:val="3BC3771B"/>
    <w:rsid w:val="3EC63CED"/>
    <w:rsid w:val="3ECB3C78"/>
    <w:rsid w:val="3F00761E"/>
    <w:rsid w:val="3F137220"/>
    <w:rsid w:val="3F983F42"/>
    <w:rsid w:val="40401A4C"/>
    <w:rsid w:val="40585073"/>
    <w:rsid w:val="40B44D1D"/>
    <w:rsid w:val="410031B9"/>
    <w:rsid w:val="44BF3856"/>
    <w:rsid w:val="453B263A"/>
    <w:rsid w:val="4631072E"/>
    <w:rsid w:val="488A5A4F"/>
    <w:rsid w:val="489626EC"/>
    <w:rsid w:val="48A80F78"/>
    <w:rsid w:val="48FA6B24"/>
    <w:rsid w:val="49AD016C"/>
    <w:rsid w:val="4AE40FF5"/>
    <w:rsid w:val="4C3D2024"/>
    <w:rsid w:val="4D050856"/>
    <w:rsid w:val="4D3919C1"/>
    <w:rsid w:val="4D8D144B"/>
    <w:rsid w:val="4DF773C8"/>
    <w:rsid w:val="4E116D69"/>
    <w:rsid w:val="4E4E2FEF"/>
    <w:rsid w:val="4E632B75"/>
    <w:rsid w:val="4ED70AF3"/>
    <w:rsid w:val="4F964C9E"/>
    <w:rsid w:val="50241B6E"/>
    <w:rsid w:val="50881791"/>
    <w:rsid w:val="50E6485F"/>
    <w:rsid w:val="50F12ED2"/>
    <w:rsid w:val="51616283"/>
    <w:rsid w:val="52DE207B"/>
    <w:rsid w:val="53151358"/>
    <w:rsid w:val="539F5766"/>
    <w:rsid w:val="5494169E"/>
    <w:rsid w:val="54B73083"/>
    <w:rsid w:val="58395C1E"/>
    <w:rsid w:val="59A11E3C"/>
    <w:rsid w:val="5BB2630E"/>
    <w:rsid w:val="5DC22821"/>
    <w:rsid w:val="5DDE0E6F"/>
    <w:rsid w:val="5DEB125C"/>
    <w:rsid w:val="5E8A741D"/>
    <w:rsid w:val="605F012B"/>
    <w:rsid w:val="60D86C2E"/>
    <w:rsid w:val="60ED68FB"/>
    <w:rsid w:val="6332564A"/>
    <w:rsid w:val="64AD75AE"/>
    <w:rsid w:val="64BE0654"/>
    <w:rsid w:val="6541149F"/>
    <w:rsid w:val="65BF1702"/>
    <w:rsid w:val="66D97640"/>
    <w:rsid w:val="67D802F2"/>
    <w:rsid w:val="681C6F4B"/>
    <w:rsid w:val="68CC04F2"/>
    <w:rsid w:val="69151074"/>
    <w:rsid w:val="6A8F43AC"/>
    <w:rsid w:val="6C9701C6"/>
    <w:rsid w:val="6D04247D"/>
    <w:rsid w:val="6F710337"/>
    <w:rsid w:val="6F765C38"/>
    <w:rsid w:val="75D479FE"/>
    <w:rsid w:val="785A79DE"/>
    <w:rsid w:val="78D577EB"/>
    <w:rsid w:val="7A330C0C"/>
    <w:rsid w:val="7F2000BE"/>
    <w:rsid w:val="7F700D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Default"/>
    <w:basedOn w:val="3"/>
    <w:next w:val="1"/>
    <w:qFormat/>
    <w:uiPriority w:val="0"/>
    <w:pPr>
      <w:widowControl w:val="0"/>
      <w:autoSpaceDE w:val="0"/>
      <w:autoSpaceDN w:val="0"/>
      <w:adjustRightInd w:val="0"/>
    </w:pPr>
    <w:rPr>
      <w:rFonts w:ascii="宋体" w:hAnsi="宋体" w:cs="宋体"/>
      <w:color w:val="000000"/>
      <w:sz w:val="24"/>
      <w:szCs w:val="24"/>
      <w:lang w:val="en-US" w:eastAsia="zh-CN" w:bidi="ar-SA"/>
    </w:rPr>
  </w:style>
  <w:style w:type="paragraph" w:customStyle="1" w:styleId="3">
    <w:name w:val="纯文本1"/>
    <w:basedOn w:val="1"/>
    <w:qFormat/>
    <w:uiPriority w:val="0"/>
    <w:pPr>
      <w:adjustRightInd w:val="0"/>
      <w:snapToGrid w:val="0"/>
      <w:spacing w:line="312" w:lineRule="atLeast"/>
      <w:textAlignment w:val="baseline"/>
    </w:pPr>
    <w:rPr>
      <w:rFonts w:hAnsi="Courier New"/>
      <w:kern w:val="0"/>
    </w:rPr>
  </w:style>
  <w:style w:type="table" w:styleId="5">
    <w:name w:val="Table Grid"/>
    <w:basedOn w:val="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Hyperlink"/>
    <w:basedOn w:val="6"/>
    <w:qFormat/>
    <w:uiPriority w:val="0"/>
    <w:rPr>
      <w:color w:val="0000FF"/>
      <w:u w:val="single"/>
    </w:rPr>
  </w:style>
  <w:style w:type="paragraph" w:customStyle="1" w:styleId="8">
    <w:name w:val="正文内容"/>
    <w:basedOn w:val="1"/>
    <w:qFormat/>
    <w:uiPriority w:val="0"/>
    <w:pPr>
      <w:spacing w:line="360" w:lineRule="auto"/>
      <w:ind w:firstLine="200" w:firstLineChars="200"/>
    </w:pPr>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202</TotalTime>
  <ScaleCrop>false</ScaleCrop>
  <LinksUpToDate>false</LinksUpToDate>
  <CharactersWithSpaces>0</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2022-08-19T01:18:00Z</dcterms:created>
  <dc:creator>Administrator</dc:creator>
  <cp:lastModifiedBy>123</cp:lastModifiedBy>
  <cp:lastPrinted>2024-02-04T01:25:00Z</cp:lastPrinted>
  <dcterms:modified xsi:type="dcterms:W3CDTF">2024-03-05T06:38:28Z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B0E0B01449FC427490C1AFB652D9991C</vt:lpwstr>
  </property>
</Properties>
</file>