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11</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保定市多辉水泥制品制造有限公司技改扩建项目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w:t>
            </w:r>
            <w:r>
              <w:rPr>
                <w:rFonts w:hint="eastAsia" w:ascii="宋体" w:hAnsi="宋体" w:cs="宋体"/>
                <w:kern w:val="0"/>
                <w:sz w:val="28"/>
                <w:szCs w:val="28"/>
                <w:lang w:val="en-US" w:eastAsia="zh-CN"/>
              </w:rPr>
              <w:t>保定市</w:t>
            </w:r>
            <w:r>
              <w:rPr>
                <w:rFonts w:hint="eastAsia" w:ascii="宋体" w:hAnsi="宋体" w:eastAsia="宋体" w:cs="宋体"/>
                <w:kern w:val="0"/>
                <w:sz w:val="28"/>
                <w:szCs w:val="28"/>
                <w:lang w:val="en-US" w:eastAsia="zh-CN"/>
              </w:rPr>
              <w:t>满城区</w:t>
            </w:r>
            <w:r>
              <w:rPr>
                <w:rFonts w:hint="eastAsia" w:ascii="宋体" w:hAnsi="宋体" w:cs="宋体"/>
                <w:kern w:val="0"/>
                <w:sz w:val="28"/>
                <w:szCs w:val="28"/>
                <w:lang w:val="en-US" w:eastAsia="zh-CN"/>
              </w:rPr>
              <w:t>南韩村镇尹固村东侧现有厂区内</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厂区</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17</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48.280</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49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48.720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，厂区东侧为农田和企业，南侧隔村路为农田，西侧为闲置土地和企业，北侧为闲置土地。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32</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2</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本次技改扩建项目在原有厂区进行，不新增占地。全厂</w:t>
            </w:r>
            <w:r>
              <w:rPr>
                <w:rFonts w:hint="eastAsia" w:ascii="宋体" w:hAnsi="宋体" w:eastAsia="宋体" w:cs="宋体"/>
                <w:kern w:val="0"/>
                <w:sz w:val="28"/>
                <w:szCs w:val="28"/>
                <w:lang w:val="en-US" w:eastAsia="zh-CN"/>
              </w:rPr>
              <w:t>原年产电线杆2万根，</w:t>
            </w:r>
            <w:r>
              <w:rPr>
                <w:rFonts w:hint="eastAsia" w:ascii="宋体" w:hAnsi="宋体" w:cs="宋体"/>
                <w:kern w:val="0"/>
                <w:sz w:val="28"/>
                <w:szCs w:val="28"/>
                <w:lang w:val="en-US" w:eastAsia="zh-CN"/>
              </w:rPr>
              <w:t>技改扩建项目</w:t>
            </w:r>
            <w:r>
              <w:rPr>
                <w:rFonts w:hint="eastAsia" w:ascii="宋体" w:hAnsi="宋体" w:eastAsia="宋体" w:cs="宋体"/>
                <w:kern w:val="0"/>
                <w:sz w:val="28"/>
                <w:szCs w:val="28"/>
                <w:lang w:val="en-US" w:eastAsia="zh-CN"/>
              </w:rPr>
              <w:t>淘汰现有DT-15002-A型墩头机1台、模具12套、蒸养池1个，对现有布袋除尘器进行技术改造，电线杆产能降至1.5万根</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在现有电杆车间北侧新建300 平方米水泥制品车间1座，购置350型搅拌机1台、PL600配料机1台、铲车1台（18型）、60T水泥仓1个、电焊机1台（400型）及相应配套设备。技改扩建项目完成后，全厂年产电线杆1.5万根，电力配套底盘、卡盘、拉盘15000块、电缆沟盖板10000块，电缆沟槽500套，标示桩20</w:t>
            </w:r>
            <w:r>
              <w:rPr>
                <w:rFonts w:hint="eastAsia" w:ascii="宋体" w:hAnsi="宋体" w:cs="宋体"/>
                <w:kern w:val="0"/>
                <w:sz w:val="28"/>
                <w:szCs w:val="28"/>
                <w:lang w:val="en-US" w:eastAsia="zh-CN"/>
              </w:rPr>
              <w:t>00个</w:t>
            </w:r>
            <w:r>
              <w:rPr>
                <w:rFonts w:hint="eastAsia" w:ascii="宋体" w:hAnsi="宋体" w:eastAsia="宋体" w:cs="宋体"/>
                <w:kern w:val="0"/>
                <w:sz w:val="28"/>
                <w:szCs w:val="28"/>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砂石配料、上料废气、搅拌废气经同</w:t>
            </w:r>
            <w:r>
              <w:rPr>
                <w:rFonts w:hint="eastAsia" w:ascii="宋体" w:hAnsi="宋体"/>
                <w:sz w:val="28"/>
                <w:szCs w:val="28"/>
                <w:highlight w:val="none"/>
                <w:lang w:val="en-US" w:eastAsia="zh-CN"/>
              </w:rPr>
              <w:t>1套布袋除尘器处理后通过1根15米高排气筒（DA001）排放，筒仓进料废气经同1套</w:t>
            </w:r>
            <w:r>
              <w:rPr>
                <w:rFonts w:hint="eastAsia" w:ascii="宋体" w:hAnsi="宋体"/>
                <w:sz w:val="28"/>
                <w:szCs w:val="28"/>
                <w:highlight w:val="none"/>
                <w:lang w:val="en-US" w:eastAsia="zh-CN"/>
              </w:rPr>
              <w:t>布袋除尘器处理后通过1根15米高排气筒（DA002）排放，水泥制品车间废产生的筒仓进料废气、砂石转运废气、上料废气、搅拌废气经同1套布袋除尘器处理后通过1根15米高排气筒（DA004）排放，排放标准执行《水泥工业大气污染物超低排放标准》（DB13/2167-2020）表1散装水泥中转站及水泥制品生产大气污染物最高允许排放限值；锅炉烟气经1根15米高排气筒（DA003）排放，排放标准执行《锅炉大气污染物排放标准》（DB13/5161-2020）表1大气污染物排放限值；无组织废气执行《水泥工业大气污染物超低排放标准》（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项目无生产废水产生。设备冲洗废水经沉淀池沉淀后回用于生产；软水制备系统废水用于喷淋；生活污水排入防渗旱厕，定期清掏，外运用作农肥</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项目选用低噪声设备、基础减震、厂房隔声等降噪措施。满足《工业企业厂界环境噪声排放标准》（GB12348-2008)表1中2类标准。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技改扩建项目产生的沉淀池沉渣、除尘灰、离心工序废水泥浆料收集后回用于生产，钢筋下脚料收集后外售；脱模剂废桶全部由厂家回收再利用；职工生活垃圾定期交环卫部门清运。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技改扩建项目完成后全厂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：0.04t/a、NO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：0.187t/a、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颗粒物：0.145</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pStyle w:val="2"/>
              <w:rPr>
                <w:rFonts w:hint="eastAsia"/>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22</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7B60D70"/>
    <w:rsid w:val="1818127D"/>
    <w:rsid w:val="182D46C7"/>
    <w:rsid w:val="18486FDA"/>
    <w:rsid w:val="199F7CE3"/>
    <w:rsid w:val="1B666D00"/>
    <w:rsid w:val="1CF72838"/>
    <w:rsid w:val="1E1B62F5"/>
    <w:rsid w:val="213D39D3"/>
    <w:rsid w:val="25024F94"/>
    <w:rsid w:val="250E4D31"/>
    <w:rsid w:val="26D94133"/>
    <w:rsid w:val="26F0785C"/>
    <w:rsid w:val="29617A00"/>
    <w:rsid w:val="2AB71FF2"/>
    <w:rsid w:val="2ADE14E1"/>
    <w:rsid w:val="2AF11A39"/>
    <w:rsid w:val="2B1B697F"/>
    <w:rsid w:val="2C524131"/>
    <w:rsid w:val="2C610CF3"/>
    <w:rsid w:val="2D0265E5"/>
    <w:rsid w:val="2DB15CAE"/>
    <w:rsid w:val="2ED758E9"/>
    <w:rsid w:val="3115503D"/>
    <w:rsid w:val="32BF6348"/>
    <w:rsid w:val="34060A6A"/>
    <w:rsid w:val="34A03943"/>
    <w:rsid w:val="35201E7C"/>
    <w:rsid w:val="35C94DE1"/>
    <w:rsid w:val="36625046"/>
    <w:rsid w:val="36730406"/>
    <w:rsid w:val="38B45F56"/>
    <w:rsid w:val="39BA7202"/>
    <w:rsid w:val="39E369CD"/>
    <w:rsid w:val="3A752260"/>
    <w:rsid w:val="3ADE123E"/>
    <w:rsid w:val="3BC3771B"/>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3225A2D"/>
    <w:rsid w:val="539F5766"/>
    <w:rsid w:val="5494169E"/>
    <w:rsid w:val="54B73083"/>
    <w:rsid w:val="58395C1E"/>
    <w:rsid w:val="59A11E3C"/>
    <w:rsid w:val="5BB2630E"/>
    <w:rsid w:val="5DC22821"/>
    <w:rsid w:val="5DDE0E6F"/>
    <w:rsid w:val="5DEB125C"/>
    <w:rsid w:val="5E8A741D"/>
    <w:rsid w:val="605F012B"/>
    <w:rsid w:val="60D86C2E"/>
    <w:rsid w:val="60ED68FB"/>
    <w:rsid w:val="6332564A"/>
    <w:rsid w:val="64AD75AE"/>
    <w:rsid w:val="64BE0654"/>
    <w:rsid w:val="6541149F"/>
    <w:rsid w:val="65BF1702"/>
    <w:rsid w:val="66AB26EF"/>
    <w:rsid w:val="66D97640"/>
    <w:rsid w:val="672966AE"/>
    <w:rsid w:val="67D802F2"/>
    <w:rsid w:val="68CC04F2"/>
    <w:rsid w:val="69151074"/>
    <w:rsid w:val="6A8F43AC"/>
    <w:rsid w:val="6C9701C6"/>
    <w:rsid w:val="6D04247D"/>
    <w:rsid w:val="6ECA757C"/>
    <w:rsid w:val="6F710337"/>
    <w:rsid w:val="6F765C38"/>
    <w:rsid w:val="70BB233C"/>
    <w:rsid w:val="75D479FE"/>
    <w:rsid w:val="785A79DE"/>
    <w:rsid w:val="78D577EB"/>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2024-02-04T01:25:00Z</cp:lastPrinted>
  <dcterms:modified xsi:type="dcterms:W3CDTF">2024-03-21T02:45:40Z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