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20</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所报《保定市满城区昊达水泥制品厂技改扩建项目环境影响报告表》收悉，根据报告表结论，经局领导审核通过后，研究批复如下：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项目位于保定市满城区大册营镇大册村现有厂区内，厂区中心地理坐标为东经115°21'30.390"，北纬39°1'2.960"，厂区东侧为永红铸造厂，南侧为彩印厂，西侧为保定市利安道路工程有限公司，北侧为京昆高速。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项目总投资300万元，其中环保投资20万元。本次技改扩建项目在原有厂区进行，不新增占地，扩建生产车间1座，安装水泥稳定碎石生产线1条及其它相关配套辅助设备，</w:t>
            </w:r>
            <w:r>
              <w:rPr>
                <w:rFonts w:hint="eastAsia" w:ascii="宋体" w:hAnsi="宋体" w:cs="宋体"/>
                <w:kern w:val="0"/>
                <w:sz w:val="28"/>
                <w:szCs w:val="28"/>
                <w:lang w:val="en-US" w:eastAsia="zh-CN"/>
              </w:rPr>
              <w:t>主要生产设施包括：配料仓1套、运输带2个、WCZ800搅拌机1台、储料斗1个、150t水泥仓2个，</w:t>
            </w:r>
            <w:r>
              <w:rPr>
                <w:rFonts w:hint="eastAsia" w:ascii="宋体" w:hAnsi="宋体" w:eastAsia="宋体" w:cs="宋体"/>
                <w:kern w:val="0"/>
                <w:sz w:val="28"/>
                <w:szCs w:val="28"/>
                <w:lang w:val="en-US" w:eastAsia="zh-CN"/>
              </w:rPr>
              <w:t>新增水泥稳定碎石产能30万吨/年；同时对原水泥砖生产线进行技术改造，淘汰原QT5-20A3砌块成型机，更新为THQM12-15砌块成型机，并减少水泥标砖产能1000万块/年。技改扩建项目完成后，水泥稳定碎石产能为30万吨/年，水泥标砖产能为1000万块/年，其他产能保持不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上料仓设置软帘+三面围挡+集气罩，上料废气经集气罩收集，原料破碎筛分在封闭车间进行，破碎过程产生的废气集气罩收集，筛分过程产生的废气经筛分机顶集气管道</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入料端和出料端设置的集气罩收集，经集气罩收集的上料废气、一次破碎废气、二次破碎废气、筛分废气一并送入袋式除尘器处理</w:t>
            </w:r>
            <w:r>
              <w:rPr>
                <w:rFonts w:hint="eastAsia" w:ascii="宋体" w:hAnsi="宋体" w:cs="宋体"/>
                <w:kern w:val="0"/>
                <w:sz w:val="28"/>
                <w:szCs w:val="28"/>
                <w:lang w:val="en-US" w:eastAsia="zh-CN"/>
              </w:rPr>
              <w:t>后</w:t>
            </w:r>
            <w:r>
              <w:rPr>
                <w:rFonts w:hint="eastAsia" w:ascii="宋体" w:hAnsi="宋体" w:eastAsia="宋体" w:cs="宋体"/>
                <w:kern w:val="0"/>
                <w:sz w:val="28"/>
                <w:szCs w:val="28"/>
                <w:lang w:val="en-US" w:eastAsia="zh-CN"/>
              </w:rPr>
              <w:t>通过1根15米高排气筒（DA001）排放；上料粉尘废气经料斗上方集气罩收集，制砂机破碎加料及破碎过程产生的废气经集气罩收集，筛分给料过程产生的废气经振动筛分给料机上方集气罩收集</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筛分废气经封闭集气管道和出料端集气罩收集</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经集气罩及集气管道收集的上料废气、制砂机破碎废气、筛分给料废气、筛分废气一并送入袋式除尘器处理后通过1根15米高排气筒（DA002）排放；配料粉尘、搅拌粉尘经相应的集气罩收集后进入高效袋式除尘器处理</w:t>
            </w:r>
            <w:r>
              <w:rPr>
                <w:rFonts w:hint="eastAsia" w:ascii="宋体" w:hAnsi="宋体" w:cs="宋体"/>
                <w:kern w:val="0"/>
                <w:sz w:val="28"/>
                <w:szCs w:val="28"/>
                <w:lang w:val="en-US" w:eastAsia="zh-CN"/>
              </w:rPr>
              <w:t>，处理</w:t>
            </w:r>
            <w:r>
              <w:rPr>
                <w:rFonts w:hint="eastAsia" w:ascii="宋体" w:hAnsi="宋体" w:eastAsia="宋体" w:cs="宋体"/>
                <w:kern w:val="0"/>
                <w:sz w:val="28"/>
                <w:szCs w:val="28"/>
                <w:lang w:val="en-US" w:eastAsia="zh-CN"/>
              </w:rPr>
              <w:t>后废气经1根15米高排气筒（DA003）排放；水泥仓粉尘经仓顶高效袋式除尘器处理</w:t>
            </w:r>
            <w:r>
              <w:rPr>
                <w:rFonts w:hint="eastAsia" w:ascii="宋体" w:hAnsi="宋体" w:cs="宋体"/>
                <w:kern w:val="0"/>
                <w:sz w:val="28"/>
                <w:szCs w:val="28"/>
                <w:lang w:val="en-US" w:eastAsia="zh-CN"/>
              </w:rPr>
              <w:t>后</w:t>
            </w:r>
            <w:r>
              <w:rPr>
                <w:rFonts w:hint="eastAsia" w:ascii="宋体" w:hAnsi="宋体" w:eastAsia="宋体" w:cs="宋体"/>
                <w:kern w:val="0"/>
                <w:sz w:val="28"/>
                <w:szCs w:val="28"/>
                <w:lang w:val="en-US" w:eastAsia="zh-CN"/>
              </w:rPr>
              <w:t>通过1根22米高排气筒（DA004）排放；水泥仓粉尘经仓顶高效袋式除尘器处理后通过1根25米高排气筒（DA005）排放；水泥仓粉尘经仓顶高效袋式除尘器处理后通过1根25米高排气筒（DA006）排放；落料粉尘、搅拌粉尘经相应的集气罩收集</w:t>
            </w:r>
            <w:r>
              <w:rPr>
                <w:rFonts w:hint="eastAsia" w:ascii="宋体" w:hAnsi="宋体" w:cs="宋体"/>
                <w:kern w:val="0"/>
                <w:sz w:val="28"/>
                <w:szCs w:val="28"/>
                <w:lang w:val="en-US" w:eastAsia="zh-CN"/>
              </w:rPr>
              <w:t>后</w:t>
            </w:r>
            <w:r>
              <w:rPr>
                <w:rFonts w:hint="eastAsia" w:ascii="宋体" w:hAnsi="宋体" w:eastAsia="宋体" w:cs="宋体"/>
                <w:kern w:val="0"/>
                <w:sz w:val="28"/>
                <w:szCs w:val="28"/>
                <w:lang w:val="en-US" w:eastAsia="zh-CN"/>
              </w:rPr>
              <w:t>，经管道一并送入高效袋式除尘器处理后通过1根15米高排气筒（DA007）排放；有组织废气排放标准均执行《水泥工业大气污染物超低排放标准》 （DB13/2167-2020）表1大气污染物排放限值。厂界无组织废气执行《水泥工业大气污染物超低排放标准》（DB13/2167-2020）表2大气污染物无组织排放限值。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本项目无生产废水外排，车辆冲洗废水经过沉淀处理后</w:t>
            </w:r>
            <w:bookmarkStart w:id="0" w:name="_GoBack"/>
            <w:bookmarkEnd w:id="0"/>
            <w:r>
              <w:rPr>
                <w:rFonts w:hint="eastAsia" w:ascii="宋体" w:hAnsi="宋体" w:eastAsia="宋体" w:cs="宋体"/>
                <w:kern w:val="0"/>
                <w:sz w:val="28"/>
                <w:szCs w:val="28"/>
                <w:lang w:val="en-US" w:eastAsia="zh-CN"/>
              </w:rPr>
              <w:t>上清液循环利用于车辆冲洗；职工生活污水全部进入厂区防渗旱厕，定期清掏，用作农肥，不外排。</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除尘灰、不合格品统一收集后回用于生产；废滤袋收集后统一外售；废液压油、废机油、废油桶暂存危废间，定期交有资质单位处置；职工生活垃圾定期交由环卫部门统一处置。</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颗粒物：0.721</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25</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6C6F4B"/>
    <w:rsid w:val="07C40FCD"/>
    <w:rsid w:val="081D5FDD"/>
    <w:rsid w:val="091B7034"/>
    <w:rsid w:val="0A5F075F"/>
    <w:rsid w:val="0A8D39DF"/>
    <w:rsid w:val="0D1B43DE"/>
    <w:rsid w:val="0DA72878"/>
    <w:rsid w:val="0DCD38ED"/>
    <w:rsid w:val="0F0C63FF"/>
    <w:rsid w:val="0F272626"/>
    <w:rsid w:val="12100780"/>
    <w:rsid w:val="14173EA1"/>
    <w:rsid w:val="14AD43EA"/>
    <w:rsid w:val="1538044B"/>
    <w:rsid w:val="163F0F8C"/>
    <w:rsid w:val="1818127D"/>
    <w:rsid w:val="182D46C7"/>
    <w:rsid w:val="18486FDA"/>
    <w:rsid w:val="199F7CE3"/>
    <w:rsid w:val="1B666D00"/>
    <w:rsid w:val="1CF72838"/>
    <w:rsid w:val="1E1B62F5"/>
    <w:rsid w:val="213D39D3"/>
    <w:rsid w:val="25024F94"/>
    <w:rsid w:val="250E4D31"/>
    <w:rsid w:val="25D37246"/>
    <w:rsid w:val="26D94133"/>
    <w:rsid w:val="26F0785C"/>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B45F56"/>
    <w:rsid w:val="393C1427"/>
    <w:rsid w:val="39BA7202"/>
    <w:rsid w:val="39E369CD"/>
    <w:rsid w:val="3A752260"/>
    <w:rsid w:val="3ADE123E"/>
    <w:rsid w:val="3B966D7D"/>
    <w:rsid w:val="3BC3771B"/>
    <w:rsid w:val="3C420A88"/>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39F5766"/>
    <w:rsid w:val="5494169E"/>
    <w:rsid w:val="54B73083"/>
    <w:rsid w:val="58395C1E"/>
    <w:rsid w:val="59A11E3C"/>
    <w:rsid w:val="5BB2630E"/>
    <w:rsid w:val="5D810890"/>
    <w:rsid w:val="5DC22821"/>
    <w:rsid w:val="5DDE0E6F"/>
    <w:rsid w:val="5DEB125C"/>
    <w:rsid w:val="5E8A741D"/>
    <w:rsid w:val="605F012B"/>
    <w:rsid w:val="60D86C2E"/>
    <w:rsid w:val="60ED68FB"/>
    <w:rsid w:val="6332564A"/>
    <w:rsid w:val="64AD75AE"/>
    <w:rsid w:val="64BE0654"/>
    <w:rsid w:val="6541149F"/>
    <w:rsid w:val="65BF1702"/>
    <w:rsid w:val="66D97640"/>
    <w:rsid w:val="672966AE"/>
    <w:rsid w:val="67D802F2"/>
    <w:rsid w:val="68CC04F2"/>
    <w:rsid w:val="69151074"/>
    <w:rsid w:val="694A193A"/>
    <w:rsid w:val="6A8F43AC"/>
    <w:rsid w:val="6BE374CA"/>
    <w:rsid w:val="6C9701C6"/>
    <w:rsid w:val="6D04247D"/>
    <w:rsid w:val="6F710337"/>
    <w:rsid w:val="6F765C38"/>
    <w:rsid w:val="70AE0582"/>
    <w:rsid w:val="73DE3CE7"/>
    <w:rsid w:val="74A138D5"/>
    <w:rsid w:val="75D479FE"/>
    <w:rsid w:val="76AF6C17"/>
    <w:rsid w:val="785A79DE"/>
    <w:rsid w:val="78D577EB"/>
    <w:rsid w:val="7A330C0C"/>
    <w:rsid w:val="7DB976B4"/>
    <w:rsid w:val="7F2000BE"/>
    <w:rsid w:val="7F700D9A"/>
    <w:rsid w:val="7FEF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2024-04-10T03:54:00Z</cp:lastPrinted>
  <dcterms:modified xsi:type="dcterms:W3CDTF">2024-04-25T01:17:26Z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059BF5615E624F5CB8BD9A78283F5399</vt:lpwstr>
  </property>
</Properties>
</file>