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黑体" w:hAnsi="Courier New" w:eastAsia="黑体"/>
          <w:bCs/>
          <w:sz w:val="28"/>
          <w:szCs w:val="20"/>
        </w:rPr>
      </w:pPr>
    </w:p>
    <w:p>
      <w:pPr>
        <w:spacing w:line="800" w:lineRule="exact"/>
        <w:jc w:val="center"/>
        <w:rPr>
          <w:rFonts w:ascii="黑体" w:hAnsi="Courier New" w:eastAsia="黑体"/>
          <w:bCs/>
          <w:sz w:val="28"/>
          <w:szCs w:val="20"/>
        </w:rPr>
      </w:pPr>
    </w:p>
    <w:p>
      <w:pPr>
        <w:spacing w:line="800" w:lineRule="exact"/>
        <w:jc w:val="center"/>
        <w:rPr>
          <w:rFonts w:ascii="黑体" w:hAnsi="Courier New" w:eastAsia="黑体"/>
          <w:bCs/>
          <w:sz w:val="28"/>
          <w:szCs w:val="20"/>
        </w:rPr>
      </w:pPr>
    </w:p>
    <w:p>
      <w:pPr>
        <w:spacing w:line="800" w:lineRule="exact"/>
        <w:jc w:val="center"/>
        <w:rPr>
          <w:rFonts w:ascii="方正小标宋简体" w:hAnsi="方正小标宋简体" w:eastAsia="方正小标宋简体" w:cs="方正小标宋简体"/>
          <w:bCs/>
          <w:sz w:val="50"/>
          <w:szCs w:val="50"/>
        </w:rPr>
      </w:pPr>
      <w:r>
        <w:rPr>
          <w:rFonts w:hint="eastAsia" w:ascii="方正小标宋简体" w:hAnsi="方正小标宋简体" w:eastAsia="方正小标宋简体" w:cs="方正小标宋简体"/>
          <w:bCs/>
          <w:sz w:val="50"/>
          <w:szCs w:val="50"/>
        </w:rPr>
        <w:t>保定市满城区国民经济和社会发展</w:t>
      </w:r>
    </w:p>
    <w:p>
      <w:pPr>
        <w:spacing w:line="800" w:lineRule="exact"/>
        <w:jc w:val="center"/>
        <w:rPr>
          <w:rFonts w:ascii="方正小标宋简体" w:hAnsi="方正小标宋简体" w:eastAsia="方正小标宋简体" w:cs="方正小标宋简体"/>
          <w:bCs/>
          <w:sz w:val="50"/>
          <w:szCs w:val="50"/>
        </w:rPr>
      </w:pPr>
      <w:r>
        <w:rPr>
          <w:rFonts w:hint="eastAsia" w:ascii="方正小标宋简体" w:hAnsi="方正小标宋简体" w:eastAsia="方正小标宋简体" w:cs="方正小标宋简体"/>
          <w:bCs/>
          <w:sz w:val="50"/>
          <w:szCs w:val="50"/>
        </w:rPr>
        <w:t>第十四个五年规划和二</w:t>
      </w:r>
      <w:r>
        <w:rPr>
          <w:rFonts w:hint="eastAsia" w:ascii="宋体" w:hAnsi="宋体" w:cs="宋体"/>
          <w:bCs/>
          <w:sz w:val="50"/>
          <w:szCs w:val="50"/>
        </w:rPr>
        <w:t>〇</w:t>
      </w:r>
      <w:r>
        <w:rPr>
          <w:rFonts w:hint="eastAsia" w:ascii="方正小标宋简体" w:hAnsi="方正小标宋简体" w:eastAsia="方正小标宋简体" w:cs="方正小标宋简体"/>
          <w:bCs/>
          <w:sz w:val="50"/>
          <w:szCs w:val="50"/>
        </w:rPr>
        <w:t>三五年</w:t>
      </w:r>
    </w:p>
    <w:p>
      <w:pPr>
        <w:spacing w:line="800" w:lineRule="exact"/>
        <w:jc w:val="center"/>
        <w:rPr>
          <w:rFonts w:ascii="仿宋" w:eastAsia="仿宋" w:cs="仿宋"/>
          <w:bCs/>
          <w:sz w:val="50"/>
          <w:szCs w:val="50"/>
        </w:rPr>
      </w:pPr>
      <w:r>
        <w:rPr>
          <w:rFonts w:hint="eastAsia" w:ascii="方正小标宋简体" w:hAnsi="方正小标宋简体" w:eastAsia="方正小标宋简体" w:cs="方正小标宋简体"/>
          <w:bCs/>
          <w:sz w:val="50"/>
          <w:szCs w:val="50"/>
        </w:rPr>
        <w:t>远景目标纲要</w:t>
      </w:r>
    </w:p>
    <w:p>
      <w:pPr>
        <w:spacing w:line="240" w:lineRule="exact"/>
        <w:jc w:val="center"/>
        <w:rPr>
          <w:rFonts w:ascii="方正小标宋简体" w:eastAsia="方正小标宋简体"/>
          <w:sz w:val="44"/>
          <w:szCs w:val="44"/>
        </w:rPr>
      </w:pPr>
    </w:p>
    <w:p>
      <w:pPr>
        <w:spacing w:line="240" w:lineRule="exact"/>
        <w:jc w:val="center"/>
        <w:rPr>
          <w:rFonts w:ascii="宋体"/>
          <w:b/>
          <w:sz w:val="44"/>
        </w:rPr>
      </w:pPr>
    </w:p>
    <w:p>
      <w:pPr>
        <w:spacing w:line="480" w:lineRule="auto"/>
        <w:jc w:val="center"/>
        <w:rPr>
          <w:rFonts w:ascii="楷体_GB2312" w:hAnsi="楷体_GB2312" w:eastAsia="楷体_GB2312" w:cs="楷体_GB2312"/>
          <w:b/>
          <w:bCs/>
          <w:sz w:val="48"/>
          <w:szCs w:val="48"/>
        </w:rPr>
      </w:pPr>
    </w:p>
    <w:p>
      <w:pPr>
        <w:spacing w:line="600" w:lineRule="exact"/>
        <w:jc w:val="center"/>
        <w:rPr>
          <w:rFonts w:ascii="方正楷体简体" w:eastAsia="方正楷体简体"/>
          <w:sz w:val="44"/>
          <w:szCs w:val="44"/>
        </w:rPr>
      </w:pPr>
    </w:p>
    <w:p>
      <w:pPr>
        <w:spacing w:line="600" w:lineRule="exact"/>
        <w:ind w:left="420" w:leftChars="200"/>
      </w:pPr>
    </w:p>
    <w:p>
      <w:pPr>
        <w:spacing w:line="600" w:lineRule="exact"/>
      </w:pPr>
    </w:p>
    <w:p>
      <w:pPr>
        <w:spacing w:line="600" w:lineRule="exact"/>
        <w:ind w:left="420" w:leftChars="200"/>
      </w:pPr>
    </w:p>
    <w:p>
      <w:pPr>
        <w:spacing w:line="600" w:lineRule="exact"/>
      </w:pPr>
    </w:p>
    <w:p>
      <w:pPr>
        <w:spacing w:line="600" w:lineRule="exact"/>
      </w:pPr>
    </w:p>
    <w:p/>
    <w:p/>
    <w:p>
      <w:pPr>
        <w:ind w:left="420" w:leftChars="200"/>
      </w:pPr>
    </w:p>
    <w:p/>
    <w:p>
      <w:pPr>
        <w:spacing w:line="800" w:lineRule="exact"/>
        <w:jc w:val="center"/>
        <w:rPr>
          <w:rFonts w:ascii="黑体" w:eastAsia="黑体"/>
          <w:sz w:val="40"/>
          <w:szCs w:val="40"/>
        </w:rPr>
      </w:pPr>
      <w:r>
        <w:rPr>
          <w:rFonts w:ascii="黑体" w:eastAsia="黑体"/>
          <w:sz w:val="40"/>
          <w:szCs w:val="40"/>
        </w:rPr>
        <w:t>2021</w:t>
      </w:r>
      <w:r>
        <w:rPr>
          <w:rFonts w:hint="eastAsia" w:ascii="黑体" w:eastAsia="黑体"/>
          <w:sz w:val="40"/>
          <w:szCs w:val="40"/>
        </w:rPr>
        <w:t>年2月</w:t>
      </w:r>
    </w:p>
    <w:p>
      <w:pPr>
        <w:spacing w:line="220" w:lineRule="atLeast"/>
        <w:rPr>
          <w:rFonts w:ascii="黑体" w:eastAsia="黑体"/>
          <w:sz w:val="40"/>
          <w:szCs w:val="40"/>
        </w:rPr>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701" w:gutter="0"/>
          <w:pgNumType w:fmt="numberInDash" w:start="85"/>
          <w:cols w:space="708" w:num="1"/>
          <w:titlePg/>
          <w:docGrid w:linePitch="360" w:charSpace="0"/>
        </w:sectPr>
      </w:pPr>
    </w:p>
    <w:p>
      <w:pPr>
        <w:pStyle w:val="3"/>
        <w:tabs>
          <w:tab w:val="left" w:pos="536"/>
          <w:tab w:val="center" w:pos="4156"/>
        </w:tabs>
        <w:spacing w:line="570" w:lineRule="exact"/>
        <w:jc w:val="center"/>
        <w:rPr>
          <w:rFonts w:ascii="方正小标宋简体" w:eastAsia="方正小标宋简体"/>
          <w:b w:val="0"/>
          <w:szCs w:val="44"/>
        </w:rPr>
      </w:pPr>
      <w:bookmarkStart w:id="0" w:name="_Toc63009709"/>
      <w:bookmarkStart w:id="1" w:name="_Toc23203"/>
      <w:r>
        <w:rPr>
          <w:rFonts w:hint="eastAsia" w:ascii="方正小标宋简体" w:eastAsia="方正小标宋简体"/>
          <w:b w:val="0"/>
          <w:szCs w:val="44"/>
        </w:rPr>
        <w:t>前言</w:t>
      </w:r>
      <w:bookmarkEnd w:id="0"/>
      <w:bookmarkEnd w:id="1"/>
    </w:p>
    <w:p>
      <w:pPr>
        <w:spacing w:line="570" w:lineRule="exact"/>
        <w:ind w:firstLine="600" w:firstLineChars="200"/>
        <w:rPr>
          <w:rFonts w:ascii="仿宋_GB2312" w:eastAsia="仿宋_GB2312" w:cs="仿宋_GB2312"/>
          <w:spacing w:val="-10"/>
          <w:sz w:val="32"/>
          <w:szCs w:val="32"/>
        </w:rPr>
      </w:pPr>
      <w:r>
        <w:rPr>
          <w:rFonts w:hint="eastAsia" w:ascii="仿宋_GB2312" w:eastAsia="仿宋_GB2312" w:cs="仿宋_GB2312"/>
          <w:spacing w:val="-10"/>
          <w:sz w:val="32"/>
          <w:szCs w:val="32"/>
        </w:rPr>
        <w:t>“十四五”时期，是我区全面深化改革、加快转变经济发展方式的关键期，是建设实力满城、文明满城、生态满城、法治满城的攻坚期，是实现全面巩固小康社会成果和实现社会主义现代化新征程的关键期。科学编制并有效实施《保定市满城区国民经济和社会发展第十四个五年规划和二〇三五年远景目标纲要》</w:t>
      </w:r>
      <w:r>
        <w:rPr>
          <w:rFonts w:hint="eastAsia" w:ascii="楷体_GB2312" w:eastAsia="楷体_GB2312" w:cs="仿宋_GB2312"/>
          <w:spacing w:val="-10"/>
          <w:sz w:val="32"/>
          <w:szCs w:val="32"/>
        </w:rPr>
        <w:t>（以下简称《纲要》）</w:t>
      </w:r>
      <w:r>
        <w:rPr>
          <w:rFonts w:hint="eastAsia" w:ascii="仿宋_GB2312" w:eastAsia="仿宋_GB2312" w:cs="仿宋_GB2312"/>
          <w:spacing w:val="-10"/>
          <w:sz w:val="32"/>
          <w:szCs w:val="32"/>
        </w:rPr>
        <w:t>，对于加快推进全区经济社会持续健康发展，巩固社会主义改革开放成果具有重大现实意义。</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本规划纲要根据《中共保定市满城区委关于制定国民经济和社会发展第十四个五年规划和二〇三五年远景目标的建议》编制，主要阐明全区经济社会发展战略意图，明确政府工作重点，引导市场主体行为，是未来五年全区经济社会发展的宏伟蓝图，是全区人民共同的行动纲领，是区政府更好地履行职责的重要依据。</w:t>
      </w:r>
    </w:p>
    <w:p>
      <w:pPr>
        <w:spacing w:line="570" w:lineRule="exact"/>
        <w:ind w:firstLine="608" w:firstLineChars="200"/>
        <w:rPr>
          <w:rFonts w:ascii="仿宋_GB2312" w:cs="仿宋_GB2312"/>
          <w:spacing w:val="-8"/>
          <w:sz w:val="32"/>
          <w:szCs w:val="32"/>
        </w:rPr>
      </w:pPr>
      <w:r>
        <w:rPr>
          <w:rFonts w:hint="eastAsia" w:ascii="仿宋_GB2312" w:eastAsia="仿宋_GB2312" w:cs="仿宋_GB2312"/>
          <w:spacing w:val="-8"/>
          <w:sz w:val="32"/>
          <w:szCs w:val="32"/>
        </w:rPr>
        <w:t>规划期限为</w:t>
      </w:r>
      <w:r>
        <w:rPr>
          <w:rFonts w:ascii="仿宋_GB2312" w:eastAsia="仿宋_GB2312" w:cs="仿宋_GB2312"/>
          <w:spacing w:val="-8"/>
          <w:sz w:val="32"/>
          <w:szCs w:val="32"/>
        </w:rPr>
        <w:t>2021</w:t>
      </w:r>
      <w:r>
        <w:rPr>
          <w:rFonts w:hint="eastAsia" w:ascii="仿宋_GB2312" w:eastAsia="仿宋_GB2312" w:cs="仿宋_GB2312"/>
          <w:spacing w:val="-8"/>
          <w:sz w:val="32"/>
          <w:szCs w:val="32"/>
        </w:rPr>
        <w:t>年—</w:t>
      </w:r>
      <w:r>
        <w:rPr>
          <w:rFonts w:ascii="仿宋_GB2312" w:eastAsia="仿宋_GB2312" w:cs="仿宋_GB2312"/>
          <w:spacing w:val="-8"/>
          <w:sz w:val="32"/>
          <w:szCs w:val="32"/>
        </w:rPr>
        <w:t>2025</w:t>
      </w:r>
      <w:r>
        <w:rPr>
          <w:rFonts w:hint="eastAsia" w:ascii="仿宋_GB2312" w:eastAsia="仿宋_GB2312" w:cs="仿宋_GB2312"/>
          <w:spacing w:val="-8"/>
          <w:sz w:val="32"/>
          <w:szCs w:val="32"/>
        </w:rPr>
        <w:t>年，并对</w:t>
      </w:r>
      <w:r>
        <w:rPr>
          <w:rFonts w:ascii="仿宋_GB2312" w:eastAsia="仿宋_GB2312" w:cs="仿宋_GB2312"/>
          <w:spacing w:val="-8"/>
          <w:sz w:val="32"/>
          <w:szCs w:val="32"/>
        </w:rPr>
        <w:t>2035</w:t>
      </w:r>
      <w:r>
        <w:rPr>
          <w:rFonts w:hint="eastAsia" w:ascii="仿宋_GB2312" w:eastAsia="仿宋_GB2312" w:cs="仿宋_GB2312"/>
          <w:spacing w:val="-8"/>
          <w:sz w:val="32"/>
          <w:szCs w:val="32"/>
        </w:rPr>
        <w:t>年远景目标进行展望。</w:t>
      </w:r>
    </w:p>
    <w:p>
      <w:pPr>
        <w:tabs>
          <w:tab w:val="left" w:pos="4911"/>
        </w:tabs>
        <w:spacing w:line="570" w:lineRule="exact"/>
        <w:jc w:val="left"/>
        <w:rPr>
          <w:rFonts w:ascii="宋体"/>
          <w:sz w:val="32"/>
          <w:szCs w:val="32"/>
        </w:rPr>
      </w:pPr>
      <w:r>
        <w:rPr>
          <w:rFonts w:ascii="宋体"/>
          <w:sz w:val="32"/>
          <w:szCs w:val="32"/>
        </w:rPr>
        <w:tab/>
      </w:r>
    </w:p>
    <w:p>
      <w:pPr>
        <w:spacing w:line="570" w:lineRule="exact"/>
        <w:jc w:val="center"/>
        <w:rPr>
          <w:rFonts w:ascii="宋体"/>
          <w:sz w:val="32"/>
          <w:szCs w:val="32"/>
        </w:rPr>
      </w:pPr>
    </w:p>
    <w:p>
      <w:pPr>
        <w:spacing w:line="570" w:lineRule="exact"/>
        <w:jc w:val="center"/>
        <w:rPr>
          <w:rFonts w:ascii="宋体"/>
          <w:sz w:val="32"/>
          <w:szCs w:val="32"/>
        </w:rPr>
      </w:pPr>
    </w:p>
    <w:p>
      <w:pPr>
        <w:spacing w:line="570" w:lineRule="exact"/>
        <w:jc w:val="center"/>
        <w:rPr>
          <w:rFonts w:ascii="宋体"/>
          <w:sz w:val="32"/>
          <w:szCs w:val="32"/>
        </w:rPr>
      </w:pPr>
    </w:p>
    <w:p>
      <w:pPr>
        <w:spacing w:line="570" w:lineRule="exact"/>
        <w:ind w:firstLine="3520" w:firstLineChars="800"/>
        <w:rPr>
          <w:rFonts w:ascii="方正小标宋简体" w:hAnsi="方正小标宋简体" w:eastAsia="方正小标宋简体" w:cs="方正小标宋简体"/>
          <w:sz w:val="44"/>
          <w:szCs w:val="44"/>
        </w:rPr>
        <w:sectPr>
          <w:footerReference r:id="rId9" w:type="default"/>
          <w:pgSz w:w="11906" w:h="16838"/>
          <w:pgMar w:top="1701" w:right="1701" w:bottom="1701" w:left="1701" w:header="851" w:footer="1701" w:gutter="0"/>
          <w:pgNumType w:fmt="upperRoman" w:start="1"/>
          <w:cols w:space="720" w:num="1"/>
          <w:docGrid w:type="lines" w:linePitch="312" w:charSpace="0"/>
        </w:sectPr>
      </w:pPr>
    </w:p>
    <w:p>
      <w:pPr>
        <w:spacing w:line="570" w:lineRule="exact"/>
        <w:ind w:firstLine="3520" w:firstLineChars="8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spacing w:line="570" w:lineRule="exact"/>
        <w:jc w:val="center"/>
        <w:rPr>
          <w:rFonts w:ascii="方正小标宋简体" w:hAnsi="方正小标宋简体" w:eastAsia="方正小标宋简体" w:cs="方正小标宋简体"/>
          <w:sz w:val="44"/>
          <w:szCs w:val="44"/>
        </w:rPr>
      </w:pPr>
    </w:p>
    <w:p>
      <w:pPr>
        <w:jc w:val="center"/>
      </w:pPr>
    </w:p>
    <w:p>
      <w:pPr>
        <w:pStyle w:val="18"/>
        <w:tabs>
          <w:tab w:val="right" w:leader="dot" w:pos="8504"/>
        </w:tabs>
        <w:spacing w:line="480" w:lineRule="exact"/>
        <w:rPr>
          <w:rFonts w:ascii="仿宋" w:hAnsi="仿宋" w:eastAsia="仿宋" w:cs="仿宋"/>
          <w:sz w:val="30"/>
          <w:szCs w:val="30"/>
        </w:rPr>
      </w:pPr>
      <w:r>
        <w:rPr>
          <w:rFonts w:hint="eastAsia" w:ascii="仿宋" w:hAnsi="仿宋" w:eastAsia="仿宋" w:cs="仿宋"/>
          <w:spacing w:val="-8"/>
          <w:sz w:val="30"/>
          <w:szCs w:val="30"/>
        </w:rPr>
        <w:fldChar w:fldCharType="begin"/>
      </w:r>
      <w:r>
        <w:rPr>
          <w:rFonts w:hint="eastAsia" w:ascii="仿宋" w:hAnsi="仿宋" w:eastAsia="仿宋" w:cs="仿宋"/>
          <w:spacing w:val="-8"/>
          <w:sz w:val="30"/>
          <w:szCs w:val="30"/>
        </w:rPr>
        <w:instrText xml:space="preserve">TOC \o "1-2" \h \u </w:instrText>
      </w:r>
      <w:r>
        <w:rPr>
          <w:rFonts w:hint="eastAsia" w:ascii="仿宋" w:hAnsi="仿宋" w:eastAsia="仿宋" w:cs="仿宋"/>
          <w:spacing w:val="-8"/>
          <w:sz w:val="30"/>
          <w:szCs w:val="30"/>
        </w:rPr>
        <w:fldChar w:fldCharType="separate"/>
      </w:r>
      <w:r>
        <w:fldChar w:fldCharType="begin"/>
      </w:r>
      <w:r>
        <w:instrText xml:space="preserve"> HYPERLINK \l "_Toc16697" </w:instrText>
      </w:r>
      <w:r>
        <w:fldChar w:fldCharType="separate"/>
      </w:r>
      <w:r>
        <w:rPr>
          <w:rFonts w:hint="eastAsia" w:ascii="仿宋" w:hAnsi="仿宋" w:eastAsia="仿宋" w:cs="仿宋"/>
          <w:sz w:val="30"/>
          <w:szCs w:val="30"/>
        </w:rPr>
        <w:t>第一章 总结过去审视形势,巩固小康社会实现根基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_Toc16697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"_Toc19851" </w:instrText>
      </w:r>
      <w:r>
        <w:fldChar w:fldCharType="separate"/>
      </w:r>
      <w:r>
        <w:rPr>
          <w:rFonts w:hint="eastAsia" w:ascii="仿宋" w:hAnsi="仿宋" w:eastAsia="仿宋" w:cs="仿宋"/>
          <w:spacing w:val="-8"/>
          <w:sz w:val="30"/>
          <w:szCs w:val="30"/>
        </w:rPr>
        <w:t>第一节 巩固“十三五”时期经济社会发展取得成就</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_Toc19851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"_Toc31816" </w:instrText>
      </w:r>
      <w:r>
        <w:fldChar w:fldCharType="separate"/>
      </w:r>
      <w:r>
        <w:rPr>
          <w:rFonts w:hint="eastAsia" w:ascii="仿宋" w:hAnsi="仿宋" w:eastAsia="仿宋" w:cs="仿宋"/>
          <w:spacing w:val="-8"/>
          <w:sz w:val="30"/>
          <w:szCs w:val="30"/>
        </w:rPr>
        <w:t>第二节  迎接“十四五”时期面临的新机遇与新挑战</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_Toc31816 \h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"_Toc31013" </w:instrText>
      </w:r>
      <w:r>
        <w:fldChar w:fldCharType="separate"/>
      </w:r>
      <w:r>
        <w:rPr>
          <w:rFonts w:hint="eastAsia" w:ascii="仿宋" w:hAnsi="仿宋" w:eastAsia="仿宋" w:cs="仿宋"/>
          <w:spacing w:val="-8"/>
          <w:sz w:val="30"/>
          <w:szCs w:val="30"/>
        </w:rPr>
        <w:t>第三节  2035年经济社会发展的远景目标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_Toc31013 \h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"_Toc6844" </w:instrText>
      </w:r>
      <w:r>
        <w:fldChar w:fldCharType="separate"/>
      </w:r>
      <w:r>
        <w:rPr>
          <w:rFonts w:hint="eastAsia" w:ascii="仿宋" w:hAnsi="仿宋" w:eastAsia="仿宋" w:cs="仿宋"/>
          <w:spacing w:val="-8"/>
          <w:kern w:val="2"/>
          <w:sz w:val="30"/>
          <w:szCs w:val="30"/>
        </w:rPr>
        <w:t>第二章 构造未来创新思维，准确定位绘制发展蓝图</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_Toc6844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"_Toc4895" </w:instrText>
      </w:r>
      <w:r>
        <w:fldChar w:fldCharType="separate"/>
      </w:r>
      <w:r>
        <w:rPr>
          <w:rFonts w:hint="eastAsia" w:ascii="仿宋" w:hAnsi="仿宋" w:eastAsia="仿宋" w:cs="仿宋"/>
          <w:spacing w:val="-8"/>
          <w:sz w:val="30"/>
          <w:szCs w:val="30"/>
        </w:rPr>
        <w:t>第一节  指导思想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"_Toc24946" </w:instrText>
      </w:r>
      <w:r>
        <w:fldChar w:fldCharType="separate"/>
      </w:r>
      <w:r>
        <w:rPr>
          <w:rFonts w:hint="eastAsia" w:ascii="仿宋" w:hAnsi="仿宋" w:eastAsia="仿宋" w:cs="仿宋"/>
          <w:spacing w:val="-8"/>
          <w:sz w:val="30"/>
          <w:szCs w:val="30"/>
        </w:rPr>
        <w:t>第二节  基本原则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_Toc24946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"_Toc9016" </w:instrText>
      </w:r>
      <w:r>
        <w:fldChar w:fldCharType="separate"/>
      </w:r>
      <w:r>
        <w:rPr>
          <w:rFonts w:hint="eastAsia" w:ascii="仿宋" w:hAnsi="仿宋" w:eastAsia="仿宋" w:cs="仿宋"/>
          <w:spacing w:val="-8"/>
          <w:sz w:val="30"/>
          <w:szCs w:val="30"/>
        </w:rPr>
        <w:t>第三节  发展目标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_Toc9016 \h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"_Toc7706" </w:instrText>
      </w:r>
      <w:r>
        <w:fldChar w:fldCharType="separate"/>
      </w:r>
      <w:r>
        <w:rPr>
          <w:rFonts w:hint="eastAsia" w:ascii="仿宋" w:hAnsi="仿宋" w:eastAsia="仿宋" w:cs="仿宋"/>
          <w:spacing w:val="-8"/>
          <w:kern w:val="2"/>
          <w:sz w:val="30"/>
          <w:szCs w:val="30"/>
        </w:rPr>
        <w:t>第三章 实施创新驱动发展战略，增强区域发展活力</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_Toc7706 \h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"_Toc22921" </w:instrText>
      </w:r>
      <w:r>
        <w:fldChar w:fldCharType="separate"/>
      </w:r>
      <w:r>
        <w:rPr>
          <w:rFonts w:hint="eastAsia" w:ascii="仿宋" w:hAnsi="仿宋" w:eastAsia="仿宋" w:cs="仿宋"/>
          <w:spacing w:val="-8"/>
          <w:sz w:val="30"/>
          <w:szCs w:val="30"/>
        </w:rPr>
        <w:t>第一节  提升科技创新能力</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_Toc22921 \h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"_Toc7402" </w:instrText>
      </w:r>
      <w:r>
        <w:fldChar w:fldCharType="separate"/>
      </w:r>
      <w:r>
        <w:rPr>
          <w:rFonts w:hint="eastAsia" w:ascii="仿宋" w:hAnsi="仿宋" w:eastAsia="仿宋" w:cs="仿宋"/>
          <w:spacing w:val="-8"/>
          <w:sz w:val="30"/>
          <w:szCs w:val="30"/>
        </w:rPr>
        <w:t>第二节  强化人才资源支撑</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_Toc7402 \h </w:instrText>
      </w:r>
      <w:r>
        <w:rPr>
          <w:rFonts w:hint="eastAsia" w:ascii="仿宋" w:hAnsi="仿宋" w:eastAsia="仿宋" w:cs="仿宋"/>
          <w:sz w:val="30"/>
          <w:szCs w:val="30"/>
        </w:rPr>
        <w:fldChar w:fldCharType="separate"/>
      </w:r>
      <w:r>
        <w:rPr>
          <w:rFonts w:hint="eastAsia" w:ascii="仿宋" w:hAnsi="仿宋" w:eastAsia="仿宋" w:cs="仿宋"/>
          <w:sz w:val="30"/>
          <w:szCs w:val="30"/>
        </w:rPr>
        <w:t>21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"_Toc17386" </w:instrText>
      </w:r>
      <w:r>
        <w:fldChar w:fldCharType="separate"/>
      </w:r>
      <w:r>
        <w:rPr>
          <w:rFonts w:hint="eastAsia" w:ascii="仿宋" w:hAnsi="仿宋" w:eastAsia="仿宋" w:cs="仿宋"/>
          <w:spacing w:val="-8"/>
          <w:sz w:val="30"/>
          <w:szCs w:val="30"/>
        </w:rPr>
        <w:t>第三节  大力推进金融创新</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_Toc17386 \h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"_Toc17648" </w:instrText>
      </w:r>
      <w:r>
        <w:fldChar w:fldCharType="separate"/>
      </w:r>
      <w:r>
        <w:rPr>
          <w:rFonts w:hint="eastAsia" w:ascii="仿宋" w:hAnsi="仿宋" w:eastAsia="仿宋" w:cs="仿宋"/>
          <w:spacing w:val="-8"/>
          <w:sz w:val="30"/>
          <w:szCs w:val="30"/>
        </w:rPr>
        <w:t>第四节  营造全民创新创业新生态</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_Toc17648 \h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"_Toc17277" </w:instrText>
      </w:r>
      <w:r>
        <w:fldChar w:fldCharType="separate"/>
      </w:r>
      <w:r>
        <w:rPr>
          <w:rFonts w:hint="eastAsia" w:ascii="仿宋" w:hAnsi="仿宋" w:eastAsia="仿宋" w:cs="仿宋"/>
          <w:spacing w:val="-8"/>
          <w:kern w:val="2"/>
          <w:sz w:val="30"/>
          <w:szCs w:val="30"/>
        </w:rPr>
        <w:t>第四章  积极对接雄安新区,承接京津功能疏解</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_Toc17277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"_Toc22501" </w:instrText>
      </w:r>
      <w:r>
        <w:fldChar w:fldCharType="separate"/>
      </w:r>
      <w:r>
        <w:rPr>
          <w:rFonts w:hint="eastAsia" w:ascii="仿宋" w:hAnsi="仿宋" w:eastAsia="仿宋" w:cs="仿宋"/>
          <w:spacing w:val="-8"/>
          <w:sz w:val="30"/>
          <w:szCs w:val="30"/>
        </w:rPr>
        <w:t>第一节  推进与雄安新区常态化对接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_Toc22501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"_Toc27569" </w:instrText>
      </w:r>
      <w:r>
        <w:fldChar w:fldCharType="separate"/>
      </w:r>
      <w:r>
        <w:rPr>
          <w:rFonts w:hint="eastAsia" w:ascii="仿宋" w:hAnsi="仿宋" w:eastAsia="仿宋" w:cs="仿宋"/>
          <w:spacing w:val="-8"/>
          <w:sz w:val="30"/>
          <w:szCs w:val="30"/>
        </w:rPr>
        <w:t>第二节  积极承接京津功能疏解</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_Toc27569 \h </w:instrText>
      </w:r>
      <w:r>
        <w:rPr>
          <w:rFonts w:hint="eastAsia" w:ascii="仿宋" w:hAnsi="仿宋" w:eastAsia="仿宋" w:cs="仿宋"/>
          <w:sz w:val="30"/>
          <w:szCs w:val="30"/>
        </w:rPr>
        <w:fldChar w:fldCharType="separate"/>
      </w:r>
      <w:r>
        <w:rPr>
          <w:rFonts w:hint="eastAsia" w:ascii="仿宋" w:hAnsi="仿宋" w:eastAsia="仿宋" w:cs="仿宋"/>
          <w:sz w:val="30"/>
          <w:szCs w:val="30"/>
        </w:rPr>
        <w:t>26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"_Toc31154" </w:instrText>
      </w:r>
      <w:r>
        <w:fldChar w:fldCharType="separate"/>
      </w:r>
      <w:r>
        <w:rPr>
          <w:rFonts w:hint="eastAsia" w:ascii="仿宋" w:hAnsi="仿宋" w:eastAsia="仿宋" w:cs="仿宋"/>
          <w:spacing w:val="-8"/>
          <w:sz w:val="30"/>
          <w:szCs w:val="30"/>
        </w:rPr>
        <w:t>第三节  建设区域协同发展平台</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_Toc31154 \h </w:instrText>
      </w:r>
      <w:r>
        <w:rPr>
          <w:rFonts w:hint="eastAsia" w:ascii="仿宋" w:hAnsi="仿宋" w:eastAsia="仿宋" w:cs="仿宋"/>
          <w:sz w:val="30"/>
          <w:szCs w:val="30"/>
        </w:rPr>
        <w:fldChar w:fldCharType="separate"/>
      </w:r>
      <w:r>
        <w:rPr>
          <w:rFonts w:hint="eastAsia" w:ascii="仿宋" w:hAnsi="仿宋" w:eastAsia="仿宋" w:cs="仿宋"/>
          <w:sz w:val="30"/>
          <w:szCs w:val="30"/>
        </w:rPr>
        <w:t>28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"_Toc32310" </w:instrText>
      </w:r>
      <w:r>
        <w:fldChar w:fldCharType="separate"/>
      </w:r>
      <w:r>
        <w:rPr>
          <w:rFonts w:hint="eastAsia" w:ascii="仿宋" w:hAnsi="仿宋" w:eastAsia="仿宋" w:cs="仿宋"/>
          <w:spacing w:val="-8"/>
          <w:sz w:val="30"/>
          <w:szCs w:val="30"/>
        </w:rPr>
        <w:t>第四节  优化区域协同发展环境</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_Toc32310 \h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"_Toc1284" </w:instrText>
      </w:r>
      <w:r>
        <w:fldChar w:fldCharType="separate"/>
      </w:r>
      <w:r>
        <w:rPr>
          <w:rFonts w:hint="eastAsia" w:ascii="仿宋" w:hAnsi="仿宋" w:eastAsia="仿宋" w:cs="仿宋"/>
          <w:spacing w:val="-8"/>
          <w:kern w:val="2"/>
          <w:sz w:val="30"/>
          <w:szCs w:val="30"/>
        </w:rPr>
        <w:t>第五章  推动区域产业转型升级，构建“2+3”产业体系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_Toc1284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pos="6800"/>
          <w:tab w:val="right" w:leader="dot" w:pos="8504"/>
        </w:tabs>
        <w:spacing w:line="480" w:lineRule="exact"/>
        <w:rPr>
          <w:rFonts w:ascii="仿宋" w:hAnsi="仿宋" w:eastAsia="仿宋" w:cs="仿宋"/>
          <w:sz w:val="30"/>
          <w:szCs w:val="30"/>
        </w:rPr>
      </w:pPr>
      <w:r>
        <w:fldChar w:fldCharType="begin"/>
      </w:r>
      <w:r>
        <w:instrText xml:space="preserve"> HYPERLINK \l "_Toc5049" </w:instrText>
      </w:r>
      <w:r>
        <w:fldChar w:fldCharType="separate"/>
      </w:r>
      <w:r>
        <w:rPr>
          <w:rFonts w:hint="eastAsia" w:ascii="仿宋" w:hAnsi="仿宋" w:eastAsia="仿宋" w:cs="仿宋"/>
          <w:spacing w:val="-8"/>
          <w:sz w:val="30"/>
          <w:szCs w:val="30"/>
        </w:rPr>
        <w:t>第一节  改造提升传统产业，释放优势产业潜能</w:t>
      </w:r>
      <w:r>
        <w:rPr>
          <w:rFonts w:hint="eastAsia" w:ascii="仿宋" w:hAnsi="仿宋" w:eastAsia="仿宋" w:cs="仿宋"/>
          <w:spacing w:val="-8"/>
          <w:sz w:val="30"/>
          <w:szCs w:val="30"/>
        </w:rPr>
        <w:tab/>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_Toc5049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"_Toc7591" </w:instrText>
      </w:r>
      <w:r>
        <w:fldChar w:fldCharType="separate"/>
      </w:r>
      <w:r>
        <w:rPr>
          <w:rFonts w:hint="eastAsia" w:ascii="仿宋" w:hAnsi="仿宋" w:eastAsia="仿宋" w:cs="仿宋"/>
          <w:spacing w:val="-8"/>
          <w:sz w:val="30"/>
          <w:szCs w:val="30"/>
        </w:rPr>
        <w:t>第二节  打造生物产业集群，培育特色工业增长级</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_Toc7591 \h </w:instrText>
      </w:r>
      <w:r>
        <w:rPr>
          <w:rFonts w:hint="eastAsia" w:ascii="仿宋" w:hAnsi="仿宋" w:eastAsia="仿宋" w:cs="仿宋"/>
          <w:sz w:val="30"/>
          <w:szCs w:val="30"/>
        </w:rPr>
        <w:fldChar w:fldCharType="separate"/>
      </w:r>
      <w:r>
        <w:rPr>
          <w:rFonts w:hint="eastAsia" w:ascii="仿宋" w:hAnsi="仿宋" w:eastAsia="仿宋" w:cs="仿宋"/>
          <w:sz w:val="30"/>
          <w:szCs w:val="30"/>
        </w:rPr>
        <w:t>33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"_Toc16231" </w:instrText>
      </w:r>
      <w:r>
        <w:fldChar w:fldCharType="separate"/>
      </w:r>
      <w:r>
        <w:rPr>
          <w:rFonts w:hint="eastAsia" w:ascii="仿宋" w:hAnsi="仿宋" w:eastAsia="仿宋" w:cs="仿宋"/>
          <w:spacing w:val="-8"/>
          <w:sz w:val="30"/>
          <w:szCs w:val="30"/>
        </w:rPr>
        <w:t>第三节  延伸高端制造产业，优化产业链条发展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_Toc16231 \h </w:instrText>
      </w:r>
      <w:r>
        <w:rPr>
          <w:rFonts w:hint="eastAsia" w:ascii="仿宋" w:hAnsi="仿宋" w:eastAsia="仿宋" w:cs="仿宋"/>
          <w:sz w:val="30"/>
          <w:szCs w:val="30"/>
        </w:rPr>
        <w:fldChar w:fldCharType="separate"/>
      </w:r>
      <w:r>
        <w:rPr>
          <w:rFonts w:hint="eastAsia" w:ascii="仿宋" w:hAnsi="仿宋" w:eastAsia="仿宋" w:cs="仿宋"/>
          <w:sz w:val="30"/>
          <w:szCs w:val="30"/>
        </w:rPr>
        <w:t>34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"_Toc13945" </w:instrText>
      </w:r>
      <w:r>
        <w:fldChar w:fldCharType="separate"/>
      </w:r>
      <w:r>
        <w:rPr>
          <w:rFonts w:hint="eastAsia" w:ascii="仿宋" w:hAnsi="仿宋" w:eastAsia="仿宋" w:cs="仿宋"/>
          <w:spacing w:val="-8"/>
          <w:sz w:val="30"/>
          <w:szCs w:val="30"/>
        </w:rPr>
        <w:t>第四节  优化提升新材料产业，推动绿色产业发展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_Toc13945 \h </w:instrText>
      </w:r>
      <w:r>
        <w:rPr>
          <w:rFonts w:hint="eastAsia" w:ascii="仿宋" w:hAnsi="仿宋" w:eastAsia="仿宋" w:cs="仿宋"/>
          <w:sz w:val="30"/>
          <w:szCs w:val="30"/>
        </w:rPr>
        <w:fldChar w:fldCharType="separate"/>
      </w:r>
      <w:r>
        <w:rPr>
          <w:rFonts w:hint="eastAsia" w:ascii="仿宋" w:hAnsi="仿宋" w:eastAsia="仿宋" w:cs="仿宋"/>
          <w:sz w:val="30"/>
          <w:szCs w:val="30"/>
        </w:rPr>
        <w:t>35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"_Toc11133" </w:instrText>
      </w:r>
      <w:r>
        <w:fldChar w:fldCharType="separate"/>
      </w:r>
      <w:r>
        <w:rPr>
          <w:rFonts w:hint="eastAsia" w:ascii="仿宋" w:hAnsi="仿宋" w:eastAsia="仿宋" w:cs="仿宋"/>
          <w:spacing w:val="-8"/>
          <w:sz w:val="30"/>
          <w:szCs w:val="30"/>
        </w:rPr>
        <w:t>第五节  发展现代服务产业，强化要素支撑体系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_Toc11133 \h </w:instrText>
      </w:r>
      <w:r>
        <w:rPr>
          <w:rFonts w:hint="eastAsia" w:ascii="仿宋" w:hAnsi="仿宋" w:eastAsia="仿宋" w:cs="仿宋"/>
          <w:sz w:val="30"/>
          <w:szCs w:val="30"/>
        </w:rPr>
        <w:fldChar w:fldCharType="separate"/>
      </w:r>
      <w:r>
        <w:rPr>
          <w:rFonts w:hint="eastAsia" w:ascii="仿宋" w:hAnsi="仿宋" w:eastAsia="仿宋" w:cs="仿宋"/>
          <w:sz w:val="30"/>
          <w:szCs w:val="30"/>
        </w:rPr>
        <w:t>36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"_Toc12341" </w:instrText>
      </w:r>
      <w:r>
        <w:fldChar w:fldCharType="separate"/>
      </w:r>
      <w:r>
        <w:rPr>
          <w:rFonts w:hint="eastAsia" w:ascii="仿宋" w:hAnsi="仿宋" w:eastAsia="仿宋" w:cs="仿宋"/>
          <w:spacing w:val="-8"/>
          <w:kern w:val="2"/>
          <w:sz w:val="30"/>
          <w:szCs w:val="30"/>
        </w:rPr>
        <w:t>第六章  加快产业园区建设步伐，促进项目集聚发展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_Toc12341 \h </w:instrText>
      </w:r>
      <w:r>
        <w:rPr>
          <w:rFonts w:hint="eastAsia" w:ascii="仿宋" w:hAnsi="仿宋" w:eastAsia="仿宋" w:cs="仿宋"/>
          <w:sz w:val="30"/>
          <w:szCs w:val="30"/>
        </w:rPr>
        <w:fldChar w:fldCharType="separate"/>
      </w:r>
      <w:r>
        <w:rPr>
          <w:rFonts w:hint="eastAsia" w:ascii="仿宋" w:hAnsi="仿宋" w:eastAsia="仿宋" w:cs="仿宋"/>
          <w:sz w:val="30"/>
          <w:szCs w:val="30"/>
        </w:rPr>
        <w:t>39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"_Toc24437" </w:instrText>
      </w:r>
      <w:r>
        <w:fldChar w:fldCharType="separate"/>
      </w:r>
      <w:r>
        <w:rPr>
          <w:rFonts w:hint="eastAsia" w:ascii="仿宋" w:hAnsi="仿宋" w:eastAsia="仿宋" w:cs="仿宋"/>
          <w:spacing w:val="-8"/>
          <w:sz w:val="30"/>
          <w:szCs w:val="30"/>
        </w:rPr>
        <w:t>第一节  优化园区空间格局，构建“一区四园”布局</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_Toc24437 \h </w:instrText>
      </w:r>
      <w:r>
        <w:rPr>
          <w:rFonts w:hint="eastAsia" w:ascii="仿宋" w:hAnsi="仿宋" w:eastAsia="仿宋" w:cs="仿宋"/>
          <w:sz w:val="30"/>
          <w:szCs w:val="30"/>
        </w:rPr>
        <w:fldChar w:fldCharType="separate"/>
      </w:r>
      <w:r>
        <w:rPr>
          <w:rFonts w:hint="eastAsia" w:ascii="仿宋" w:hAnsi="仿宋" w:eastAsia="仿宋" w:cs="仿宋"/>
          <w:sz w:val="30"/>
          <w:szCs w:val="30"/>
        </w:rPr>
        <w:t>39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"_Toc8044" </w:instrText>
      </w:r>
      <w:r>
        <w:fldChar w:fldCharType="separate"/>
      </w:r>
      <w:r>
        <w:rPr>
          <w:rFonts w:hint="eastAsia" w:ascii="仿宋" w:hAnsi="仿宋" w:eastAsia="仿宋" w:cs="仿宋"/>
          <w:spacing w:val="-8"/>
          <w:sz w:val="30"/>
          <w:szCs w:val="30"/>
        </w:rPr>
        <w:t>第二节  加强项目运行管理，保障园区有序运行</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_Toc8044 \h </w:instrText>
      </w:r>
      <w:r>
        <w:rPr>
          <w:rFonts w:hint="eastAsia" w:ascii="仿宋" w:hAnsi="仿宋" w:eastAsia="仿宋" w:cs="仿宋"/>
          <w:sz w:val="30"/>
          <w:szCs w:val="30"/>
        </w:rPr>
        <w:fldChar w:fldCharType="separate"/>
      </w:r>
      <w:r>
        <w:rPr>
          <w:rFonts w:hint="eastAsia" w:ascii="仿宋" w:hAnsi="仿宋" w:eastAsia="仿宋" w:cs="仿宋"/>
          <w:sz w:val="30"/>
          <w:szCs w:val="30"/>
        </w:rPr>
        <w:t>40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"_Toc9365" </w:instrText>
      </w:r>
      <w:r>
        <w:fldChar w:fldCharType="separate"/>
      </w:r>
      <w:r>
        <w:rPr>
          <w:rFonts w:hint="eastAsia" w:ascii="仿宋" w:hAnsi="仿宋" w:eastAsia="仿宋" w:cs="仿宋"/>
          <w:spacing w:val="-8"/>
          <w:sz w:val="30"/>
          <w:szCs w:val="30"/>
        </w:rPr>
        <w:t>第三节  优化招商层次方式，完善园区产业供应</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_Toc9365 \h </w:instrText>
      </w:r>
      <w:r>
        <w:rPr>
          <w:rFonts w:hint="eastAsia" w:ascii="仿宋" w:hAnsi="仿宋" w:eastAsia="仿宋" w:cs="仿宋"/>
          <w:sz w:val="30"/>
          <w:szCs w:val="30"/>
        </w:rPr>
        <w:fldChar w:fldCharType="separate"/>
      </w:r>
      <w:r>
        <w:rPr>
          <w:rFonts w:hint="eastAsia" w:ascii="仿宋" w:hAnsi="仿宋" w:eastAsia="仿宋" w:cs="仿宋"/>
          <w:sz w:val="30"/>
          <w:szCs w:val="30"/>
        </w:rPr>
        <w:t>41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"_Toc31583" </w:instrText>
      </w:r>
      <w:r>
        <w:fldChar w:fldCharType="separate"/>
      </w:r>
      <w:r>
        <w:rPr>
          <w:rFonts w:hint="eastAsia" w:ascii="仿宋" w:hAnsi="仿宋" w:eastAsia="仿宋" w:cs="仿宋"/>
          <w:spacing w:val="-8"/>
          <w:sz w:val="30"/>
          <w:szCs w:val="30"/>
        </w:rPr>
        <w:t>第四节  提升“软硬”环境，服务项目发展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_Toc31583 \h </w:instrText>
      </w:r>
      <w:r>
        <w:rPr>
          <w:rFonts w:hint="eastAsia" w:ascii="仿宋" w:hAnsi="仿宋" w:eastAsia="仿宋" w:cs="仿宋"/>
          <w:sz w:val="30"/>
          <w:szCs w:val="30"/>
        </w:rPr>
        <w:fldChar w:fldCharType="separate"/>
      </w:r>
      <w:r>
        <w:rPr>
          <w:rFonts w:hint="eastAsia" w:ascii="仿宋" w:hAnsi="仿宋" w:eastAsia="仿宋" w:cs="仿宋"/>
          <w:sz w:val="30"/>
          <w:szCs w:val="30"/>
        </w:rPr>
        <w:t>41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"_Toc25571" </w:instrText>
      </w:r>
      <w:r>
        <w:fldChar w:fldCharType="separate"/>
      </w:r>
      <w:r>
        <w:rPr>
          <w:rFonts w:hint="eastAsia" w:ascii="仿宋" w:hAnsi="仿宋" w:eastAsia="仿宋" w:cs="仿宋"/>
          <w:spacing w:val="-8"/>
          <w:sz w:val="30"/>
          <w:szCs w:val="30"/>
        </w:rPr>
        <w:t>第五节  提高产业链现代化水平，开展精准招商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_Toc25571 \h </w:instrText>
      </w:r>
      <w:r>
        <w:rPr>
          <w:rFonts w:hint="eastAsia" w:ascii="仿宋" w:hAnsi="仿宋" w:eastAsia="仿宋" w:cs="仿宋"/>
          <w:sz w:val="30"/>
          <w:szCs w:val="30"/>
        </w:rPr>
        <w:fldChar w:fldCharType="separate"/>
      </w:r>
      <w:r>
        <w:rPr>
          <w:rFonts w:hint="eastAsia" w:ascii="仿宋" w:hAnsi="仿宋" w:eastAsia="仿宋" w:cs="仿宋"/>
          <w:sz w:val="30"/>
          <w:szCs w:val="30"/>
        </w:rPr>
        <w:t>42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"_Toc17565" </w:instrText>
      </w:r>
      <w:r>
        <w:fldChar w:fldCharType="separate"/>
      </w:r>
      <w:r>
        <w:rPr>
          <w:rFonts w:hint="eastAsia" w:ascii="仿宋" w:hAnsi="仿宋" w:eastAsia="仿宋" w:cs="仿宋"/>
          <w:spacing w:val="-8"/>
          <w:kern w:val="2"/>
          <w:sz w:val="30"/>
          <w:szCs w:val="30"/>
        </w:rPr>
        <w:t>第七章  优化国土空间开发格局，推进区域协调互动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_Toc17565 \h </w:instrText>
      </w:r>
      <w:r>
        <w:rPr>
          <w:rFonts w:hint="eastAsia" w:ascii="仿宋" w:hAnsi="仿宋" w:eastAsia="仿宋" w:cs="仿宋"/>
          <w:sz w:val="30"/>
          <w:szCs w:val="30"/>
        </w:rPr>
        <w:fldChar w:fldCharType="separate"/>
      </w:r>
      <w:r>
        <w:rPr>
          <w:rFonts w:hint="eastAsia" w:ascii="仿宋" w:hAnsi="仿宋" w:eastAsia="仿宋" w:cs="仿宋"/>
          <w:sz w:val="30"/>
          <w:szCs w:val="30"/>
        </w:rPr>
        <w:t>44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"_Toc28878" </w:instrText>
      </w:r>
      <w:r>
        <w:fldChar w:fldCharType="separate"/>
      </w:r>
      <w:r>
        <w:rPr>
          <w:rFonts w:hint="eastAsia" w:ascii="仿宋" w:hAnsi="仿宋" w:eastAsia="仿宋" w:cs="仿宋"/>
          <w:spacing w:val="-8"/>
          <w:sz w:val="30"/>
          <w:szCs w:val="30"/>
        </w:rPr>
        <w:t>第一节  优化主体空间结构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_Toc28878 \h </w:instrText>
      </w:r>
      <w:r>
        <w:rPr>
          <w:rFonts w:hint="eastAsia" w:ascii="仿宋" w:hAnsi="仿宋" w:eastAsia="仿宋" w:cs="仿宋"/>
          <w:sz w:val="30"/>
          <w:szCs w:val="30"/>
        </w:rPr>
        <w:fldChar w:fldCharType="separate"/>
      </w:r>
      <w:r>
        <w:rPr>
          <w:rFonts w:hint="eastAsia" w:ascii="仿宋" w:hAnsi="仿宋" w:eastAsia="仿宋" w:cs="仿宋"/>
          <w:sz w:val="30"/>
          <w:szCs w:val="30"/>
        </w:rPr>
        <w:t xml:space="preserve"> 44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"_Toc27020" </w:instrText>
      </w:r>
      <w:r>
        <w:fldChar w:fldCharType="separate"/>
      </w:r>
      <w:r>
        <w:rPr>
          <w:rFonts w:hint="eastAsia" w:ascii="仿宋" w:hAnsi="仿宋" w:eastAsia="仿宋" w:cs="仿宋"/>
          <w:spacing w:val="-8"/>
          <w:sz w:val="30"/>
          <w:szCs w:val="30"/>
        </w:rPr>
        <w:t>第二节  构建多点支撑体系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_Toc27020 \h </w:instrText>
      </w:r>
      <w:r>
        <w:rPr>
          <w:rFonts w:hint="eastAsia" w:ascii="仿宋" w:hAnsi="仿宋" w:eastAsia="仿宋" w:cs="仿宋"/>
          <w:sz w:val="30"/>
          <w:szCs w:val="30"/>
        </w:rPr>
        <w:fldChar w:fldCharType="separate"/>
      </w:r>
      <w:r>
        <w:rPr>
          <w:rFonts w:hint="eastAsia" w:ascii="仿宋" w:hAnsi="仿宋" w:eastAsia="仿宋" w:cs="仿宋"/>
          <w:sz w:val="30"/>
          <w:szCs w:val="30"/>
        </w:rPr>
        <w:t>46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"_Toc3598" </w:instrText>
      </w:r>
      <w:r>
        <w:fldChar w:fldCharType="separate"/>
      </w:r>
      <w:r>
        <w:rPr>
          <w:rFonts w:hint="eastAsia" w:ascii="仿宋" w:hAnsi="仿宋" w:eastAsia="仿宋" w:cs="仿宋"/>
          <w:spacing w:val="-8"/>
          <w:sz w:val="30"/>
          <w:szCs w:val="30"/>
        </w:rPr>
        <w:t>第三节  加快产城融合进程</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_Toc3598 \h </w:instrText>
      </w:r>
      <w:r>
        <w:rPr>
          <w:rFonts w:hint="eastAsia" w:ascii="仿宋" w:hAnsi="仿宋" w:eastAsia="仿宋" w:cs="仿宋"/>
          <w:sz w:val="30"/>
          <w:szCs w:val="30"/>
        </w:rPr>
        <w:fldChar w:fldCharType="separate"/>
      </w:r>
      <w:r>
        <w:rPr>
          <w:rFonts w:hint="eastAsia" w:ascii="仿宋" w:hAnsi="仿宋" w:eastAsia="仿宋" w:cs="仿宋"/>
          <w:sz w:val="30"/>
          <w:szCs w:val="30"/>
        </w:rPr>
        <w:t>48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"_Toc8266" </w:instrText>
      </w:r>
      <w:r>
        <w:fldChar w:fldCharType="separate"/>
      </w:r>
      <w:r>
        <w:rPr>
          <w:rFonts w:hint="eastAsia" w:ascii="仿宋" w:hAnsi="仿宋" w:eastAsia="仿宋" w:cs="仿宋"/>
          <w:spacing w:val="-8"/>
          <w:kern w:val="2"/>
          <w:sz w:val="30"/>
          <w:szCs w:val="30"/>
        </w:rPr>
        <w:t>第八章  推进城乡统筹协调发展，实现城乡共同繁荣</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_Toc8266 \h </w:instrText>
      </w:r>
      <w:r>
        <w:rPr>
          <w:rFonts w:hint="eastAsia" w:ascii="仿宋" w:hAnsi="仿宋" w:eastAsia="仿宋" w:cs="仿宋"/>
          <w:sz w:val="30"/>
          <w:szCs w:val="30"/>
        </w:rPr>
        <w:fldChar w:fldCharType="separate"/>
      </w:r>
      <w:r>
        <w:rPr>
          <w:rFonts w:hint="eastAsia"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"_Toc9856" </w:instrText>
      </w:r>
      <w:r>
        <w:fldChar w:fldCharType="separate"/>
      </w:r>
      <w:r>
        <w:rPr>
          <w:rFonts w:hint="eastAsia" w:ascii="仿宋" w:hAnsi="仿宋" w:eastAsia="仿宋" w:cs="仿宋"/>
          <w:spacing w:val="-8"/>
          <w:sz w:val="30"/>
          <w:szCs w:val="30"/>
        </w:rPr>
        <w:t>第一节  提升面貌打造一流城区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_Toc9856 \h </w:instrText>
      </w:r>
      <w:r>
        <w:rPr>
          <w:rFonts w:hint="eastAsia" w:ascii="仿宋" w:hAnsi="仿宋" w:eastAsia="仿宋" w:cs="仿宋"/>
          <w:sz w:val="30"/>
          <w:szCs w:val="30"/>
        </w:rPr>
        <w:fldChar w:fldCharType="separate"/>
      </w:r>
      <w:r>
        <w:rPr>
          <w:rFonts w:hint="eastAsia"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"_Toc26762" </w:instrText>
      </w:r>
      <w:r>
        <w:fldChar w:fldCharType="separate"/>
      </w:r>
      <w:r>
        <w:rPr>
          <w:rFonts w:hint="eastAsia" w:ascii="仿宋" w:hAnsi="仿宋" w:eastAsia="仿宋" w:cs="仿宋"/>
          <w:spacing w:val="-8"/>
          <w:sz w:val="30"/>
          <w:szCs w:val="30"/>
        </w:rPr>
        <w:t>第二节  加快发展重点特色城镇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_Toc26762 \h </w:instrText>
      </w:r>
      <w:r>
        <w:rPr>
          <w:rFonts w:hint="eastAsia" w:ascii="仿宋" w:hAnsi="仿宋" w:eastAsia="仿宋" w:cs="仿宋"/>
          <w:sz w:val="30"/>
          <w:szCs w:val="30"/>
        </w:rPr>
        <w:fldChar w:fldCharType="separate"/>
      </w:r>
      <w:r>
        <w:rPr>
          <w:rFonts w:hint="eastAsia" w:ascii="仿宋" w:hAnsi="仿宋" w:eastAsia="仿宋" w:cs="仿宋"/>
          <w:sz w:val="30"/>
          <w:szCs w:val="30"/>
        </w:rPr>
        <w:t>53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"_Toc16922" </w:instrText>
      </w:r>
      <w:r>
        <w:fldChar w:fldCharType="separate"/>
      </w:r>
      <w:r>
        <w:rPr>
          <w:rFonts w:hint="eastAsia" w:ascii="仿宋" w:hAnsi="仿宋" w:eastAsia="仿宋" w:cs="仿宋"/>
          <w:spacing w:val="-8"/>
          <w:sz w:val="30"/>
          <w:szCs w:val="30"/>
        </w:rPr>
        <w:t>第三节  加快促进乡村振兴发展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_Toc16922 \h </w:instrText>
      </w:r>
      <w:r>
        <w:rPr>
          <w:rFonts w:hint="eastAsia" w:ascii="仿宋" w:hAnsi="仿宋" w:eastAsia="仿宋" w:cs="仿宋"/>
          <w:sz w:val="30"/>
          <w:szCs w:val="30"/>
        </w:rPr>
        <w:fldChar w:fldCharType="separate"/>
      </w:r>
      <w:r>
        <w:rPr>
          <w:rFonts w:hint="eastAsia" w:ascii="仿宋" w:hAnsi="仿宋" w:eastAsia="仿宋" w:cs="仿宋"/>
          <w:sz w:val="30"/>
          <w:szCs w:val="30"/>
        </w:rPr>
        <w:t>54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"_Toc15699" </w:instrText>
      </w:r>
      <w:r>
        <w:fldChar w:fldCharType="separate"/>
      </w:r>
      <w:r>
        <w:rPr>
          <w:rFonts w:hint="eastAsia" w:ascii="仿宋" w:hAnsi="仿宋" w:eastAsia="仿宋" w:cs="仿宋"/>
          <w:spacing w:val="-8"/>
          <w:sz w:val="30"/>
          <w:szCs w:val="30"/>
        </w:rPr>
        <w:t>第四节  高效打造现代特色农业</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_Toc15699 \h </w:instrText>
      </w:r>
      <w:r>
        <w:rPr>
          <w:rFonts w:hint="eastAsia" w:ascii="仿宋" w:hAnsi="仿宋" w:eastAsia="仿宋" w:cs="仿宋"/>
          <w:sz w:val="30"/>
          <w:szCs w:val="30"/>
        </w:rPr>
        <w:fldChar w:fldCharType="separate"/>
      </w:r>
      <w:r>
        <w:rPr>
          <w:rFonts w:hint="eastAsia" w:ascii="仿宋" w:hAnsi="仿宋" w:eastAsia="仿宋" w:cs="仿宋"/>
          <w:sz w:val="30"/>
          <w:szCs w:val="30"/>
        </w:rPr>
        <w:t>55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"_Toc16156" </w:instrText>
      </w:r>
      <w:r>
        <w:fldChar w:fldCharType="separate"/>
      </w:r>
      <w:r>
        <w:rPr>
          <w:rFonts w:hint="eastAsia" w:ascii="仿宋" w:hAnsi="仿宋" w:eastAsia="仿宋" w:cs="仿宋"/>
          <w:spacing w:val="-8"/>
          <w:sz w:val="30"/>
          <w:szCs w:val="30"/>
        </w:rPr>
        <w:t>第五节  推进城乡协调互动发展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_Toc16156 \h </w:instrText>
      </w:r>
      <w:r>
        <w:rPr>
          <w:rFonts w:hint="eastAsia" w:ascii="仿宋" w:hAnsi="仿宋" w:eastAsia="仿宋" w:cs="仿宋"/>
          <w:sz w:val="30"/>
          <w:szCs w:val="30"/>
        </w:rPr>
        <w:fldChar w:fldCharType="separate"/>
      </w:r>
      <w:r>
        <w:rPr>
          <w:rFonts w:hint="eastAsia" w:ascii="仿宋" w:hAnsi="仿宋" w:eastAsia="仿宋" w:cs="仿宋"/>
          <w:sz w:val="30"/>
          <w:szCs w:val="30"/>
        </w:rPr>
        <w:t>57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"_Toc32210" </w:instrText>
      </w:r>
      <w:r>
        <w:fldChar w:fldCharType="separate"/>
      </w:r>
      <w:r>
        <w:rPr>
          <w:rFonts w:hint="eastAsia" w:ascii="仿宋" w:hAnsi="仿宋" w:eastAsia="仿宋" w:cs="仿宋"/>
          <w:spacing w:val="-8"/>
          <w:kern w:val="2"/>
          <w:sz w:val="30"/>
          <w:szCs w:val="30"/>
        </w:rPr>
        <w:t>第九章  深入发掘文化内涵潜力，创建满城区文化品牌</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_Toc32210 \h </w:instrText>
      </w:r>
      <w:r>
        <w:rPr>
          <w:rFonts w:hint="eastAsia" w:ascii="仿宋" w:hAnsi="仿宋" w:eastAsia="仿宋" w:cs="仿宋"/>
          <w:sz w:val="30"/>
          <w:szCs w:val="30"/>
        </w:rPr>
        <w:fldChar w:fldCharType="separate"/>
      </w:r>
      <w:r>
        <w:rPr>
          <w:rFonts w:hint="eastAsia" w:ascii="仿宋" w:hAnsi="仿宋" w:eastAsia="仿宋" w:cs="仿宋"/>
          <w:sz w:val="30"/>
          <w:szCs w:val="30"/>
        </w:rPr>
        <w:t>60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"_Toc23084" </w:instrText>
      </w:r>
      <w:r>
        <w:fldChar w:fldCharType="separate"/>
      </w:r>
      <w:r>
        <w:rPr>
          <w:rFonts w:hint="eastAsia" w:ascii="仿宋" w:hAnsi="仿宋" w:eastAsia="仿宋" w:cs="仿宋"/>
          <w:spacing w:val="-8"/>
          <w:sz w:val="30"/>
          <w:szCs w:val="30"/>
        </w:rPr>
        <w:t>第一节  加强精神文明建设</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_Toc23084 \h </w:instrText>
      </w:r>
      <w:r>
        <w:rPr>
          <w:rFonts w:hint="eastAsia" w:ascii="仿宋" w:hAnsi="仿宋" w:eastAsia="仿宋" w:cs="仿宋"/>
          <w:sz w:val="30"/>
          <w:szCs w:val="30"/>
        </w:rPr>
        <w:fldChar w:fldCharType="separate"/>
      </w:r>
      <w:r>
        <w:rPr>
          <w:rFonts w:hint="eastAsia" w:ascii="仿宋" w:hAnsi="仿宋" w:eastAsia="仿宋" w:cs="仿宋"/>
          <w:sz w:val="30"/>
          <w:szCs w:val="30"/>
        </w:rPr>
        <w:t>60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"_Toc3484" </w:instrText>
      </w:r>
      <w:r>
        <w:fldChar w:fldCharType="separate"/>
      </w:r>
      <w:r>
        <w:rPr>
          <w:rFonts w:hint="eastAsia" w:ascii="仿宋" w:hAnsi="仿宋" w:eastAsia="仿宋" w:cs="仿宋"/>
          <w:spacing w:val="-8"/>
          <w:sz w:val="30"/>
          <w:szCs w:val="30"/>
        </w:rPr>
        <w:t>第二节  健全公共文化服务体系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_Toc3484 \h </w:instrText>
      </w:r>
      <w:r>
        <w:rPr>
          <w:rFonts w:hint="eastAsia" w:ascii="仿宋" w:hAnsi="仿宋" w:eastAsia="仿宋" w:cs="仿宋"/>
          <w:sz w:val="30"/>
          <w:szCs w:val="30"/>
        </w:rPr>
        <w:fldChar w:fldCharType="separate"/>
      </w:r>
      <w:r>
        <w:rPr>
          <w:rFonts w:hint="eastAsia" w:ascii="仿宋" w:hAnsi="仿宋" w:eastAsia="仿宋" w:cs="仿宋"/>
          <w:sz w:val="30"/>
          <w:szCs w:val="30"/>
        </w:rPr>
        <w:t>61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"_Toc9221" </w:instrText>
      </w:r>
      <w:r>
        <w:fldChar w:fldCharType="separate"/>
      </w:r>
      <w:r>
        <w:rPr>
          <w:rFonts w:hint="eastAsia" w:ascii="仿宋" w:hAnsi="仿宋" w:eastAsia="仿宋" w:cs="仿宋"/>
          <w:spacing w:val="-8"/>
          <w:sz w:val="30"/>
          <w:szCs w:val="30"/>
        </w:rPr>
        <w:t>第三节  打造特色鲜明的文化旅游产业</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_Toc9221 \h </w:instrText>
      </w:r>
      <w:r>
        <w:rPr>
          <w:rFonts w:hint="eastAsia" w:ascii="仿宋" w:hAnsi="仿宋" w:eastAsia="仿宋" w:cs="仿宋"/>
          <w:sz w:val="30"/>
          <w:szCs w:val="30"/>
        </w:rPr>
        <w:fldChar w:fldCharType="separate"/>
      </w:r>
      <w:r>
        <w:rPr>
          <w:rFonts w:hint="eastAsia" w:ascii="仿宋" w:hAnsi="仿宋" w:eastAsia="仿宋" w:cs="仿宋"/>
          <w:sz w:val="30"/>
          <w:szCs w:val="30"/>
        </w:rPr>
        <w:t>62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"_Toc28686" </w:instrText>
      </w:r>
      <w:r>
        <w:fldChar w:fldCharType="separate"/>
      </w:r>
      <w:r>
        <w:rPr>
          <w:rFonts w:hint="eastAsia" w:ascii="仿宋" w:hAnsi="仿宋" w:eastAsia="仿宋" w:cs="仿宋"/>
          <w:spacing w:val="-8"/>
          <w:sz w:val="30"/>
          <w:szCs w:val="30"/>
        </w:rPr>
        <w:t>第四节  打造“一城山水，满城文化”品牌</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_Toc28686 \h </w:instrText>
      </w:r>
      <w:r>
        <w:rPr>
          <w:rFonts w:hint="eastAsia" w:ascii="仿宋" w:hAnsi="仿宋" w:eastAsia="仿宋" w:cs="仿宋"/>
          <w:sz w:val="30"/>
          <w:szCs w:val="30"/>
        </w:rPr>
        <w:fldChar w:fldCharType="separate"/>
      </w:r>
      <w:r>
        <w:rPr>
          <w:rFonts w:hint="eastAsia" w:ascii="仿宋" w:hAnsi="仿宋" w:eastAsia="仿宋" w:cs="仿宋"/>
          <w:sz w:val="30"/>
          <w:szCs w:val="30"/>
        </w:rPr>
        <w:t>63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"_Toc14809" </w:instrText>
      </w:r>
      <w:r>
        <w:fldChar w:fldCharType="separate"/>
      </w:r>
      <w:r>
        <w:rPr>
          <w:rFonts w:hint="eastAsia" w:ascii="仿宋" w:hAnsi="仿宋" w:eastAsia="仿宋" w:cs="仿宋"/>
          <w:spacing w:val="-8"/>
          <w:kern w:val="2"/>
          <w:sz w:val="30"/>
          <w:szCs w:val="30"/>
        </w:rPr>
        <w:t>第十章  加大生态文明建设力度，创建大美满城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_Toc14809 \h </w:instrText>
      </w:r>
      <w:r>
        <w:rPr>
          <w:rFonts w:hint="eastAsia" w:ascii="仿宋" w:hAnsi="仿宋" w:eastAsia="仿宋" w:cs="仿宋"/>
          <w:sz w:val="30"/>
          <w:szCs w:val="30"/>
        </w:rPr>
        <w:fldChar w:fldCharType="separate"/>
      </w:r>
      <w:r>
        <w:rPr>
          <w:rFonts w:hint="eastAsia" w:ascii="仿宋" w:hAnsi="仿宋" w:eastAsia="仿宋" w:cs="仿宋"/>
          <w:sz w:val="30"/>
          <w:szCs w:val="30"/>
        </w:rPr>
        <w:t>65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"_Toc32691" </w:instrText>
      </w:r>
      <w:r>
        <w:fldChar w:fldCharType="separate"/>
      </w:r>
      <w:r>
        <w:rPr>
          <w:rFonts w:hint="eastAsia" w:ascii="仿宋" w:hAnsi="仿宋" w:eastAsia="仿宋" w:cs="仿宋"/>
          <w:spacing w:val="-8"/>
          <w:sz w:val="30"/>
          <w:szCs w:val="30"/>
        </w:rPr>
        <w:t>第一节  加强污染治理修复，强化资源保护力度</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_Toc32691 \h </w:instrText>
      </w:r>
      <w:r>
        <w:rPr>
          <w:rFonts w:hint="eastAsia" w:ascii="仿宋" w:hAnsi="仿宋" w:eastAsia="仿宋" w:cs="仿宋"/>
          <w:sz w:val="30"/>
          <w:szCs w:val="30"/>
        </w:rPr>
        <w:fldChar w:fldCharType="separate"/>
      </w:r>
      <w:r>
        <w:rPr>
          <w:rFonts w:hint="eastAsia" w:ascii="仿宋" w:hAnsi="仿宋" w:eastAsia="仿宋" w:cs="仿宋"/>
          <w:sz w:val="30"/>
          <w:szCs w:val="30"/>
        </w:rPr>
        <w:t>65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"_Toc32161" </w:instrText>
      </w:r>
      <w:r>
        <w:fldChar w:fldCharType="separate"/>
      </w:r>
      <w:r>
        <w:rPr>
          <w:rFonts w:hint="eastAsia" w:ascii="仿宋" w:hAnsi="仿宋" w:eastAsia="仿宋" w:cs="仿宋"/>
          <w:spacing w:val="-8"/>
          <w:sz w:val="30"/>
          <w:szCs w:val="30"/>
        </w:rPr>
        <w:t>第二节  持续深化节能减排，控制增量污染</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_Toc32161 \h </w:instrText>
      </w:r>
      <w:r>
        <w:rPr>
          <w:rFonts w:hint="eastAsia" w:ascii="仿宋" w:hAnsi="仿宋" w:eastAsia="仿宋" w:cs="仿宋"/>
          <w:sz w:val="30"/>
          <w:szCs w:val="30"/>
        </w:rPr>
        <w:fldChar w:fldCharType="separate"/>
      </w:r>
      <w:r>
        <w:rPr>
          <w:rFonts w:hint="eastAsia" w:ascii="仿宋" w:hAnsi="仿宋" w:eastAsia="仿宋" w:cs="仿宋"/>
          <w:sz w:val="30"/>
          <w:szCs w:val="30"/>
        </w:rPr>
        <w:t>67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"_Toc10712" </w:instrText>
      </w:r>
      <w:r>
        <w:fldChar w:fldCharType="separate"/>
      </w:r>
      <w:r>
        <w:rPr>
          <w:rFonts w:hint="eastAsia" w:ascii="仿宋" w:hAnsi="仿宋" w:eastAsia="仿宋" w:cs="仿宋"/>
          <w:spacing w:val="-8"/>
          <w:sz w:val="30"/>
          <w:szCs w:val="30"/>
        </w:rPr>
        <w:t>第三节  引导科学生产生活方式，完善制度体系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_Toc10712 \h </w:instrText>
      </w:r>
      <w:r>
        <w:rPr>
          <w:rFonts w:hint="eastAsia" w:ascii="仿宋" w:hAnsi="仿宋" w:eastAsia="仿宋" w:cs="仿宋"/>
          <w:sz w:val="30"/>
          <w:szCs w:val="30"/>
        </w:rPr>
        <w:fldChar w:fldCharType="separate"/>
      </w:r>
      <w:r>
        <w:rPr>
          <w:rFonts w:hint="eastAsia" w:ascii="仿宋" w:hAnsi="仿宋" w:eastAsia="仿宋" w:cs="仿宋"/>
          <w:sz w:val="30"/>
          <w:szCs w:val="30"/>
        </w:rPr>
        <w:t>68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"_Toc13791" </w:instrText>
      </w:r>
      <w:r>
        <w:fldChar w:fldCharType="separate"/>
      </w:r>
      <w:r>
        <w:rPr>
          <w:rFonts w:hint="eastAsia" w:ascii="仿宋" w:hAnsi="仿宋" w:eastAsia="仿宋" w:cs="仿宋"/>
          <w:spacing w:val="-8"/>
          <w:kern w:val="2"/>
          <w:sz w:val="30"/>
          <w:szCs w:val="30"/>
        </w:rPr>
        <w:t>第十一章  完善社会公共服务体系，创建文明和谐满城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_Toc13791 \h </w:instrText>
      </w:r>
      <w:r>
        <w:rPr>
          <w:rFonts w:hint="eastAsia" w:ascii="仿宋" w:hAnsi="仿宋" w:eastAsia="仿宋" w:cs="仿宋"/>
          <w:sz w:val="30"/>
          <w:szCs w:val="30"/>
        </w:rPr>
        <w:fldChar w:fldCharType="separate"/>
      </w:r>
      <w:r>
        <w:rPr>
          <w:rFonts w:hint="eastAsia" w:ascii="仿宋" w:hAnsi="仿宋" w:eastAsia="仿宋" w:cs="仿宋"/>
          <w:sz w:val="30"/>
          <w:szCs w:val="30"/>
        </w:rPr>
        <w:t>70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"_Toc6067" </w:instrText>
      </w:r>
      <w:r>
        <w:fldChar w:fldCharType="separate"/>
      </w:r>
      <w:r>
        <w:rPr>
          <w:rFonts w:hint="eastAsia" w:ascii="仿宋" w:hAnsi="仿宋" w:eastAsia="仿宋" w:cs="仿宋"/>
          <w:spacing w:val="-8"/>
          <w:sz w:val="30"/>
          <w:szCs w:val="30"/>
        </w:rPr>
        <w:t xml:space="preserve">第一节  </w:t>
      </w:r>
      <w:r>
        <w:rPr>
          <w:rFonts w:hint="eastAsia" w:ascii="仿宋" w:hAnsi="仿宋" w:eastAsia="仿宋" w:cs="仿宋"/>
          <w:spacing w:val="-8"/>
          <w:sz w:val="30"/>
          <w:szCs w:val="30"/>
          <w:lang w:eastAsia="zh-CN"/>
        </w:rPr>
        <w:t>巩固拓展脱贫攻坚成果</w:t>
      </w:r>
      <w:r>
        <w:rPr>
          <w:rFonts w:hint="eastAsia" w:ascii="仿宋" w:hAnsi="仿宋" w:eastAsia="仿宋" w:cs="仿宋"/>
          <w:spacing w:val="-8"/>
          <w:sz w:val="30"/>
          <w:szCs w:val="30"/>
        </w:rPr>
        <w:t>，全面建设社会主义现代化</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_Toc6067 \h </w:instrText>
      </w:r>
      <w:r>
        <w:rPr>
          <w:rFonts w:hint="eastAsia" w:ascii="仿宋" w:hAnsi="仿宋" w:eastAsia="仿宋" w:cs="仿宋"/>
          <w:sz w:val="30"/>
          <w:szCs w:val="30"/>
        </w:rPr>
        <w:fldChar w:fldCharType="separate"/>
      </w:r>
      <w:r>
        <w:rPr>
          <w:rFonts w:hint="eastAsia" w:ascii="仿宋" w:hAnsi="仿宋" w:eastAsia="仿宋" w:cs="仿宋"/>
          <w:sz w:val="30"/>
          <w:szCs w:val="30"/>
        </w:rPr>
        <w:t>70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"_Toc30895" </w:instrText>
      </w:r>
      <w:r>
        <w:fldChar w:fldCharType="separate"/>
      </w:r>
      <w:r>
        <w:rPr>
          <w:rFonts w:hint="eastAsia" w:ascii="仿宋" w:hAnsi="仿宋" w:eastAsia="仿宋" w:cs="仿宋"/>
          <w:spacing w:val="-8"/>
          <w:sz w:val="30"/>
          <w:szCs w:val="30"/>
        </w:rPr>
        <w:t>第二节  完善社会保障体系，全面提高社会保障水平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_Toc30895 \h </w:instrText>
      </w:r>
      <w:r>
        <w:rPr>
          <w:rFonts w:hint="eastAsia" w:ascii="仿宋" w:hAnsi="仿宋" w:eastAsia="仿宋" w:cs="仿宋"/>
          <w:sz w:val="30"/>
          <w:szCs w:val="30"/>
        </w:rPr>
        <w:fldChar w:fldCharType="separate"/>
      </w:r>
      <w:r>
        <w:rPr>
          <w:rFonts w:hint="eastAsia" w:ascii="仿宋" w:hAnsi="仿宋" w:eastAsia="仿宋" w:cs="仿宋"/>
          <w:sz w:val="30"/>
          <w:szCs w:val="30"/>
        </w:rPr>
        <w:t>71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"_Toc14789" </w:instrText>
      </w:r>
      <w:r>
        <w:fldChar w:fldCharType="separate"/>
      </w:r>
      <w:r>
        <w:rPr>
          <w:rFonts w:hint="eastAsia" w:ascii="仿宋" w:hAnsi="仿宋" w:eastAsia="仿宋" w:cs="仿宋"/>
          <w:spacing w:val="-8"/>
          <w:sz w:val="30"/>
          <w:szCs w:val="30"/>
        </w:rPr>
        <w:t>第三节  坚持教育优先战略，稳步提升教育教学质量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_Toc14789 \h </w:instrText>
      </w:r>
      <w:r>
        <w:rPr>
          <w:rFonts w:hint="eastAsia" w:ascii="仿宋" w:hAnsi="仿宋" w:eastAsia="仿宋" w:cs="仿宋"/>
          <w:sz w:val="30"/>
          <w:szCs w:val="30"/>
        </w:rPr>
        <w:fldChar w:fldCharType="separate"/>
      </w:r>
      <w:r>
        <w:rPr>
          <w:rFonts w:hint="eastAsia" w:ascii="仿宋" w:hAnsi="仿宋" w:eastAsia="仿宋" w:cs="仿宋"/>
          <w:sz w:val="30"/>
          <w:szCs w:val="30"/>
        </w:rPr>
        <w:t>73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"_Toc9235" </w:instrText>
      </w:r>
      <w:r>
        <w:fldChar w:fldCharType="separate"/>
      </w:r>
      <w:r>
        <w:rPr>
          <w:rFonts w:hint="eastAsia" w:ascii="仿宋" w:hAnsi="仿宋" w:eastAsia="仿宋" w:cs="仿宋"/>
          <w:spacing w:val="-8"/>
          <w:sz w:val="30"/>
          <w:szCs w:val="30"/>
        </w:rPr>
        <w:t>第四节  普及发展体育事业，全面提升全民健康水平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_Toc9235 \h </w:instrText>
      </w:r>
      <w:r>
        <w:rPr>
          <w:rFonts w:hint="eastAsia" w:ascii="仿宋" w:hAnsi="仿宋" w:eastAsia="仿宋" w:cs="仿宋"/>
          <w:sz w:val="30"/>
          <w:szCs w:val="30"/>
        </w:rPr>
        <w:fldChar w:fldCharType="separate"/>
      </w:r>
      <w:r>
        <w:rPr>
          <w:rFonts w:hint="eastAsia" w:ascii="仿宋" w:hAnsi="仿宋" w:eastAsia="仿宋" w:cs="仿宋"/>
          <w:sz w:val="30"/>
          <w:szCs w:val="30"/>
        </w:rPr>
        <w:t>75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"_Toc3944" </w:instrText>
      </w:r>
      <w:r>
        <w:fldChar w:fldCharType="separate"/>
      </w:r>
      <w:r>
        <w:rPr>
          <w:rFonts w:hint="eastAsia" w:ascii="仿宋" w:hAnsi="仿宋" w:eastAsia="仿宋" w:cs="仿宋"/>
          <w:spacing w:val="-8"/>
          <w:sz w:val="30"/>
          <w:szCs w:val="30"/>
        </w:rPr>
        <w:t>第五节  完善卫生养老服务，提高人民群众健康水平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_Toc3944 \h </w:instrText>
      </w:r>
      <w:r>
        <w:rPr>
          <w:rFonts w:hint="eastAsia" w:ascii="仿宋" w:hAnsi="仿宋" w:eastAsia="仿宋" w:cs="仿宋"/>
          <w:sz w:val="30"/>
          <w:szCs w:val="30"/>
        </w:rPr>
        <w:fldChar w:fldCharType="separate"/>
      </w:r>
      <w:r>
        <w:rPr>
          <w:rFonts w:hint="eastAsia" w:ascii="仿宋" w:hAnsi="仿宋" w:eastAsia="仿宋" w:cs="仿宋"/>
          <w:sz w:val="30"/>
          <w:szCs w:val="30"/>
        </w:rPr>
        <w:t>76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"_Toc30171" </w:instrText>
      </w:r>
      <w:r>
        <w:fldChar w:fldCharType="separate"/>
      </w:r>
      <w:r>
        <w:rPr>
          <w:rFonts w:hint="eastAsia" w:ascii="仿宋" w:hAnsi="仿宋" w:eastAsia="仿宋" w:cs="仿宋"/>
          <w:spacing w:val="-8"/>
          <w:sz w:val="30"/>
          <w:szCs w:val="30"/>
        </w:rPr>
        <w:t>第六节  健全公共安全体系，强化城市运行安全保障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_Toc30171 \h </w:instrText>
      </w:r>
      <w:r>
        <w:rPr>
          <w:rFonts w:hint="eastAsia" w:ascii="仿宋" w:hAnsi="仿宋" w:eastAsia="仿宋" w:cs="仿宋"/>
          <w:sz w:val="30"/>
          <w:szCs w:val="30"/>
        </w:rPr>
        <w:fldChar w:fldCharType="separate"/>
      </w:r>
      <w:r>
        <w:rPr>
          <w:rFonts w:hint="eastAsia" w:ascii="仿宋" w:hAnsi="仿宋" w:eastAsia="仿宋" w:cs="仿宋"/>
          <w:sz w:val="30"/>
          <w:szCs w:val="30"/>
        </w:rPr>
        <w:t>77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"_Toc5026" </w:instrText>
      </w:r>
      <w:r>
        <w:fldChar w:fldCharType="separate"/>
      </w:r>
      <w:r>
        <w:rPr>
          <w:rFonts w:hint="eastAsia" w:ascii="仿宋" w:hAnsi="仿宋" w:eastAsia="仿宋" w:cs="仿宋"/>
          <w:bCs/>
          <w:sz w:val="30"/>
          <w:szCs w:val="30"/>
        </w:rPr>
        <w:t>第七节  改善社会救助体系，统筹其他各项事业发展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_Toc5026 \h </w:instrText>
      </w:r>
      <w:r>
        <w:rPr>
          <w:rFonts w:hint="eastAsia" w:ascii="仿宋" w:hAnsi="仿宋" w:eastAsia="仿宋" w:cs="仿宋"/>
          <w:sz w:val="30"/>
          <w:szCs w:val="30"/>
        </w:rPr>
        <w:fldChar w:fldCharType="separate"/>
      </w:r>
      <w:r>
        <w:rPr>
          <w:rFonts w:hint="eastAsia" w:ascii="仿宋" w:hAnsi="仿宋" w:eastAsia="仿宋" w:cs="仿宋"/>
          <w:sz w:val="30"/>
          <w:szCs w:val="30"/>
        </w:rPr>
        <w:t>80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"_Toc10139" </w:instrText>
      </w:r>
      <w:r>
        <w:fldChar w:fldCharType="separate"/>
      </w:r>
      <w:r>
        <w:rPr>
          <w:rFonts w:hint="eastAsia" w:ascii="仿宋" w:hAnsi="仿宋" w:eastAsia="仿宋" w:cs="仿宋"/>
          <w:spacing w:val="-8"/>
          <w:kern w:val="2"/>
          <w:sz w:val="30"/>
          <w:szCs w:val="30"/>
        </w:rPr>
        <w:t>第十二章  深化改革扩大开放，融入国内国际双循环</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_Toc10139 \h </w:instrText>
      </w:r>
      <w:r>
        <w:rPr>
          <w:rFonts w:hint="eastAsia" w:ascii="仿宋" w:hAnsi="仿宋" w:eastAsia="仿宋" w:cs="仿宋"/>
          <w:sz w:val="30"/>
          <w:szCs w:val="30"/>
        </w:rPr>
        <w:fldChar w:fldCharType="separate"/>
      </w:r>
      <w:r>
        <w:rPr>
          <w:rFonts w:hint="eastAsia" w:ascii="仿宋" w:hAnsi="仿宋" w:eastAsia="仿宋" w:cs="仿宋"/>
          <w:sz w:val="30"/>
          <w:szCs w:val="30"/>
        </w:rPr>
        <w:t>82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"_Toc16819" </w:instrText>
      </w:r>
      <w:r>
        <w:fldChar w:fldCharType="separate"/>
      </w:r>
      <w:r>
        <w:rPr>
          <w:rFonts w:hint="eastAsia" w:ascii="仿宋" w:hAnsi="仿宋" w:eastAsia="仿宋" w:cs="仿宋"/>
          <w:spacing w:val="-8"/>
          <w:sz w:val="30"/>
          <w:szCs w:val="30"/>
        </w:rPr>
        <w:t>第一节  深化改革，打造公平有序的市场竞争环境</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_Toc16819 \h </w:instrText>
      </w:r>
      <w:r>
        <w:rPr>
          <w:rFonts w:hint="eastAsia" w:ascii="仿宋" w:hAnsi="仿宋" w:eastAsia="仿宋" w:cs="仿宋"/>
          <w:sz w:val="30"/>
          <w:szCs w:val="30"/>
        </w:rPr>
        <w:fldChar w:fldCharType="separate"/>
      </w:r>
      <w:r>
        <w:rPr>
          <w:rFonts w:hint="eastAsia" w:ascii="仿宋" w:hAnsi="仿宋" w:eastAsia="仿宋" w:cs="仿宋"/>
          <w:sz w:val="30"/>
          <w:szCs w:val="30"/>
        </w:rPr>
        <w:t>82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"_Toc22415" </w:instrText>
      </w:r>
      <w:r>
        <w:fldChar w:fldCharType="separate"/>
      </w:r>
      <w:r>
        <w:rPr>
          <w:rFonts w:hint="eastAsia" w:ascii="仿宋" w:hAnsi="仿宋" w:eastAsia="仿宋" w:cs="仿宋"/>
          <w:spacing w:val="-8"/>
          <w:sz w:val="30"/>
          <w:szCs w:val="30"/>
        </w:rPr>
        <w:t>第二节  扩大开放，形成更高层次的开放型经济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_Toc22415 \h </w:instrText>
      </w:r>
      <w:r>
        <w:rPr>
          <w:rFonts w:hint="eastAsia" w:ascii="仿宋" w:hAnsi="仿宋" w:eastAsia="仿宋" w:cs="仿宋"/>
          <w:sz w:val="30"/>
          <w:szCs w:val="30"/>
        </w:rPr>
        <w:fldChar w:fldCharType="separate"/>
      </w:r>
      <w:r>
        <w:rPr>
          <w:rFonts w:hint="eastAsia" w:ascii="仿宋" w:hAnsi="仿宋" w:eastAsia="仿宋" w:cs="仿宋"/>
          <w:sz w:val="30"/>
          <w:szCs w:val="30"/>
        </w:rPr>
        <w:t>84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"_Toc30461" </w:instrText>
      </w:r>
      <w:r>
        <w:fldChar w:fldCharType="separate"/>
      </w:r>
      <w:r>
        <w:rPr>
          <w:rFonts w:hint="eastAsia" w:ascii="仿宋" w:hAnsi="仿宋" w:eastAsia="仿宋" w:cs="仿宋"/>
          <w:spacing w:val="-8"/>
          <w:sz w:val="30"/>
          <w:szCs w:val="30"/>
        </w:rPr>
        <w:t>第三节  融入国内国际双循环</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_Toc30461 \h </w:instrText>
      </w:r>
      <w:r>
        <w:rPr>
          <w:rFonts w:hint="eastAsia" w:ascii="仿宋" w:hAnsi="仿宋" w:eastAsia="仿宋" w:cs="仿宋"/>
          <w:sz w:val="30"/>
          <w:szCs w:val="30"/>
        </w:rPr>
        <w:fldChar w:fldCharType="separate"/>
      </w:r>
      <w:r>
        <w:rPr>
          <w:rFonts w:hint="eastAsia" w:ascii="仿宋" w:hAnsi="仿宋" w:eastAsia="仿宋" w:cs="仿宋"/>
          <w:sz w:val="30"/>
          <w:szCs w:val="30"/>
        </w:rPr>
        <w:t>86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"_Toc3421" </w:instrText>
      </w:r>
      <w:r>
        <w:fldChar w:fldCharType="separate"/>
      </w:r>
      <w:r>
        <w:rPr>
          <w:rFonts w:hint="eastAsia" w:ascii="仿宋" w:hAnsi="仿宋" w:eastAsia="仿宋" w:cs="仿宋"/>
          <w:spacing w:val="-8"/>
          <w:kern w:val="2"/>
          <w:sz w:val="30"/>
          <w:szCs w:val="30"/>
        </w:rPr>
        <w:t>第十三章  依法推进民主法治建设，建设法治满城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_Toc3421 \h </w:instrText>
      </w:r>
      <w:r>
        <w:rPr>
          <w:rFonts w:hint="eastAsia" w:ascii="仿宋" w:hAnsi="仿宋" w:eastAsia="仿宋" w:cs="仿宋"/>
          <w:sz w:val="30"/>
          <w:szCs w:val="30"/>
        </w:rPr>
        <w:fldChar w:fldCharType="separate"/>
      </w:r>
      <w:r>
        <w:rPr>
          <w:rFonts w:hint="eastAsia" w:ascii="仿宋" w:hAnsi="仿宋" w:eastAsia="仿宋" w:cs="仿宋"/>
          <w:sz w:val="30"/>
          <w:szCs w:val="30"/>
        </w:rPr>
        <w:t>88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"_Toc25904" </w:instrText>
      </w:r>
      <w:r>
        <w:fldChar w:fldCharType="separate"/>
      </w:r>
      <w:r>
        <w:rPr>
          <w:rFonts w:hint="eastAsia" w:ascii="仿宋" w:hAnsi="仿宋" w:eastAsia="仿宋" w:cs="仿宋"/>
          <w:spacing w:val="-8"/>
          <w:sz w:val="30"/>
          <w:szCs w:val="30"/>
        </w:rPr>
        <w:t xml:space="preserve">第一节  推进法治政府建设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_Toc25904 \h </w:instrText>
      </w:r>
      <w:r>
        <w:rPr>
          <w:rFonts w:hint="eastAsia" w:ascii="仿宋" w:hAnsi="仿宋" w:eastAsia="仿宋" w:cs="仿宋"/>
          <w:sz w:val="30"/>
          <w:szCs w:val="30"/>
        </w:rPr>
        <w:fldChar w:fldCharType="separate"/>
      </w:r>
      <w:r>
        <w:rPr>
          <w:rFonts w:hint="eastAsia" w:ascii="仿宋" w:hAnsi="仿宋" w:eastAsia="仿宋" w:cs="仿宋"/>
          <w:sz w:val="30"/>
          <w:szCs w:val="30"/>
        </w:rPr>
        <w:t>88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"_Toc25101" </w:instrText>
      </w:r>
      <w:r>
        <w:fldChar w:fldCharType="separate"/>
      </w:r>
      <w:r>
        <w:rPr>
          <w:rFonts w:hint="eastAsia" w:ascii="仿宋" w:hAnsi="仿宋" w:eastAsia="仿宋" w:cs="仿宋"/>
          <w:spacing w:val="-8"/>
          <w:sz w:val="30"/>
          <w:szCs w:val="30"/>
        </w:rPr>
        <w:t xml:space="preserve">第二节  加强公正司法保障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_Toc25101 \h </w:instrText>
      </w:r>
      <w:r>
        <w:rPr>
          <w:rFonts w:hint="eastAsia" w:ascii="仿宋" w:hAnsi="仿宋" w:eastAsia="仿宋" w:cs="仿宋"/>
          <w:sz w:val="30"/>
          <w:szCs w:val="30"/>
        </w:rPr>
        <w:fldChar w:fldCharType="separate"/>
      </w:r>
      <w:r>
        <w:rPr>
          <w:rFonts w:hint="eastAsia" w:ascii="仿宋" w:hAnsi="仿宋" w:eastAsia="仿宋" w:cs="仿宋"/>
          <w:sz w:val="30"/>
          <w:szCs w:val="30"/>
        </w:rPr>
        <w:t>88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"_Toc7912" </w:instrText>
      </w:r>
      <w:r>
        <w:fldChar w:fldCharType="separate"/>
      </w:r>
      <w:r>
        <w:rPr>
          <w:rFonts w:hint="eastAsia" w:ascii="仿宋" w:hAnsi="仿宋" w:eastAsia="仿宋" w:cs="仿宋"/>
          <w:spacing w:val="-8"/>
          <w:sz w:val="30"/>
          <w:szCs w:val="30"/>
        </w:rPr>
        <w:t xml:space="preserve">第三节  营造良好法治环境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_Toc7912 \h </w:instrText>
      </w:r>
      <w:r>
        <w:rPr>
          <w:rFonts w:hint="eastAsia" w:ascii="仿宋" w:hAnsi="仿宋" w:eastAsia="仿宋" w:cs="仿宋"/>
          <w:sz w:val="30"/>
          <w:szCs w:val="30"/>
        </w:rPr>
        <w:fldChar w:fldCharType="separate"/>
      </w:r>
      <w:r>
        <w:rPr>
          <w:rFonts w:hint="eastAsia" w:ascii="仿宋" w:hAnsi="仿宋" w:eastAsia="仿宋" w:cs="仿宋"/>
          <w:sz w:val="30"/>
          <w:szCs w:val="30"/>
        </w:rPr>
        <w:t>89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"_Toc19639" </w:instrText>
      </w:r>
      <w:r>
        <w:fldChar w:fldCharType="separate"/>
      </w:r>
      <w:r>
        <w:rPr>
          <w:rFonts w:hint="eastAsia" w:ascii="仿宋" w:hAnsi="仿宋" w:eastAsia="仿宋" w:cs="仿宋"/>
          <w:spacing w:val="-8"/>
          <w:sz w:val="30"/>
          <w:szCs w:val="30"/>
        </w:rPr>
        <w:t>第四节  加强民主制度建设</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_Toc19639 \h </w:instrText>
      </w:r>
      <w:r>
        <w:rPr>
          <w:rFonts w:hint="eastAsia" w:ascii="仿宋" w:hAnsi="仿宋" w:eastAsia="仿宋" w:cs="仿宋"/>
          <w:sz w:val="30"/>
          <w:szCs w:val="30"/>
        </w:rPr>
        <w:fldChar w:fldCharType="separate"/>
      </w:r>
      <w:r>
        <w:rPr>
          <w:rFonts w:hint="eastAsia" w:ascii="仿宋" w:hAnsi="仿宋" w:eastAsia="仿宋" w:cs="仿宋"/>
          <w:sz w:val="30"/>
          <w:szCs w:val="30"/>
        </w:rPr>
        <w:t>89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"_Toc23063" </w:instrText>
      </w:r>
      <w:r>
        <w:fldChar w:fldCharType="separate"/>
      </w:r>
      <w:r>
        <w:rPr>
          <w:rFonts w:hint="eastAsia" w:ascii="仿宋" w:hAnsi="仿宋" w:eastAsia="仿宋" w:cs="仿宋"/>
          <w:spacing w:val="-8"/>
          <w:sz w:val="30"/>
          <w:szCs w:val="30"/>
        </w:rPr>
        <w:t xml:space="preserve">第五节  构建社会治理体系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_Toc23063 \h </w:instrText>
      </w:r>
      <w:r>
        <w:rPr>
          <w:rFonts w:hint="eastAsia" w:ascii="仿宋" w:hAnsi="仿宋" w:eastAsia="仿宋" w:cs="仿宋"/>
          <w:sz w:val="30"/>
          <w:szCs w:val="30"/>
        </w:rPr>
        <w:fldChar w:fldCharType="separate"/>
      </w:r>
      <w:r>
        <w:rPr>
          <w:rFonts w:hint="eastAsia" w:ascii="仿宋" w:hAnsi="仿宋" w:eastAsia="仿宋" w:cs="仿宋"/>
          <w:sz w:val="30"/>
          <w:szCs w:val="30"/>
        </w:rPr>
        <w:t>90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"_Toc25019" </w:instrText>
      </w:r>
      <w:r>
        <w:fldChar w:fldCharType="separate"/>
      </w:r>
      <w:r>
        <w:rPr>
          <w:rFonts w:hint="eastAsia" w:ascii="仿宋" w:hAnsi="仿宋" w:eastAsia="仿宋" w:cs="仿宋"/>
          <w:spacing w:val="-8"/>
          <w:kern w:val="2"/>
          <w:sz w:val="30"/>
          <w:szCs w:val="30"/>
        </w:rPr>
        <w:t>第十四章 健全配套体系，保障规划实施</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_Toc25019 \h </w:instrText>
      </w:r>
      <w:r>
        <w:rPr>
          <w:rFonts w:hint="eastAsia" w:ascii="仿宋" w:hAnsi="仿宋" w:eastAsia="仿宋" w:cs="仿宋"/>
          <w:sz w:val="30"/>
          <w:szCs w:val="30"/>
        </w:rPr>
        <w:fldChar w:fldCharType="separate"/>
      </w:r>
      <w:r>
        <w:rPr>
          <w:rFonts w:hint="eastAsia" w:ascii="仿宋" w:hAnsi="仿宋" w:eastAsia="仿宋" w:cs="仿宋"/>
          <w:sz w:val="30"/>
          <w:szCs w:val="30"/>
        </w:rPr>
        <w:t>92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"_Toc7929" </w:instrText>
      </w:r>
      <w:r>
        <w:fldChar w:fldCharType="separate"/>
      </w:r>
      <w:r>
        <w:rPr>
          <w:rFonts w:hint="eastAsia" w:ascii="仿宋" w:hAnsi="仿宋" w:eastAsia="仿宋" w:cs="仿宋"/>
          <w:spacing w:val="-8"/>
          <w:sz w:val="30"/>
          <w:szCs w:val="30"/>
        </w:rPr>
        <w:t>第一节  全面加强党的领导</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_Toc7929 \h </w:instrText>
      </w:r>
      <w:r>
        <w:rPr>
          <w:rFonts w:hint="eastAsia" w:ascii="仿宋" w:hAnsi="仿宋" w:eastAsia="仿宋" w:cs="仿宋"/>
          <w:sz w:val="30"/>
          <w:szCs w:val="30"/>
        </w:rPr>
        <w:fldChar w:fldCharType="separate"/>
      </w:r>
      <w:r>
        <w:rPr>
          <w:rFonts w:hint="eastAsia" w:ascii="仿宋" w:hAnsi="仿宋" w:eastAsia="仿宋" w:cs="仿宋"/>
          <w:sz w:val="30"/>
          <w:szCs w:val="30"/>
        </w:rPr>
        <w:t>92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"_Toc113" </w:instrText>
      </w:r>
      <w:r>
        <w:fldChar w:fldCharType="separate"/>
      </w:r>
      <w:r>
        <w:rPr>
          <w:rFonts w:hint="eastAsia" w:ascii="仿宋" w:hAnsi="仿宋" w:eastAsia="仿宋" w:cs="仿宋"/>
          <w:spacing w:val="-8"/>
          <w:sz w:val="30"/>
          <w:szCs w:val="30"/>
        </w:rPr>
        <w:t>第二节  健全规划落实机制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_Toc113 \h </w:instrText>
      </w:r>
      <w:r>
        <w:rPr>
          <w:rFonts w:hint="eastAsia" w:ascii="仿宋" w:hAnsi="仿宋" w:eastAsia="仿宋" w:cs="仿宋"/>
          <w:sz w:val="30"/>
          <w:szCs w:val="30"/>
        </w:rPr>
        <w:fldChar w:fldCharType="separate"/>
      </w:r>
      <w:r>
        <w:rPr>
          <w:rFonts w:hint="eastAsia" w:ascii="仿宋" w:hAnsi="仿宋" w:eastAsia="仿宋" w:cs="仿宋"/>
          <w:sz w:val="30"/>
          <w:szCs w:val="30"/>
        </w:rPr>
        <w:t>93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"_Toc3936" </w:instrText>
      </w:r>
      <w:r>
        <w:fldChar w:fldCharType="separate"/>
      </w:r>
      <w:r>
        <w:rPr>
          <w:rFonts w:hint="eastAsia" w:ascii="仿宋" w:hAnsi="仿宋" w:eastAsia="仿宋" w:cs="仿宋"/>
          <w:spacing w:val="-8"/>
          <w:sz w:val="30"/>
          <w:szCs w:val="30"/>
        </w:rPr>
        <w:t>第三节  加强重大项目支撑</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_Toc3936 \h </w:instrText>
      </w:r>
      <w:r>
        <w:rPr>
          <w:rFonts w:hint="eastAsia" w:ascii="仿宋" w:hAnsi="仿宋" w:eastAsia="仿宋" w:cs="仿宋"/>
          <w:sz w:val="30"/>
          <w:szCs w:val="30"/>
        </w:rPr>
        <w:fldChar w:fldCharType="separate"/>
      </w:r>
      <w:r>
        <w:rPr>
          <w:rFonts w:hint="eastAsia" w:ascii="仿宋" w:hAnsi="仿宋" w:eastAsia="仿宋" w:cs="仿宋"/>
          <w:sz w:val="30"/>
          <w:szCs w:val="30"/>
        </w:rPr>
        <w:t>94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"_Toc3005" </w:instrText>
      </w:r>
      <w:r>
        <w:fldChar w:fldCharType="separate"/>
      </w:r>
      <w:r>
        <w:rPr>
          <w:rFonts w:hint="eastAsia" w:ascii="仿宋" w:hAnsi="仿宋" w:eastAsia="仿宋" w:cs="仿宋"/>
          <w:spacing w:val="-8"/>
          <w:sz w:val="30"/>
          <w:szCs w:val="30"/>
        </w:rPr>
        <w:t>第四节  完善政策资源保障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_Toc3005 \h </w:instrText>
      </w:r>
      <w:r>
        <w:rPr>
          <w:rFonts w:hint="eastAsia" w:ascii="仿宋" w:hAnsi="仿宋" w:eastAsia="仿宋" w:cs="仿宋"/>
          <w:sz w:val="30"/>
          <w:szCs w:val="30"/>
        </w:rPr>
        <w:fldChar w:fldCharType="separate"/>
      </w:r>
      <w:r>
        <w:rPr>
          <w:rFonts w:hint="eastAsia" w:ascii="仿宋" w:hAnsi="仿宋" w:eastAsia="仿宋" w:cs="仿宋"/>
          <w:sz w:val="30"/>
          <w:szCs w:val="30"/>
        </w:rPr>
        <w:t>95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494"/>
        </w:tabs>
        <w:spacing w:line="480" w:lineRule="exact"/>
        <w:rPr>
          <w:rFonts w:ascii="仿宋_GB2312" w:hAnsi="宋体" w:eastAsia="仿宋_GB2312" w:cs="宋体"/>
          <w:spacing w:val="-8"/>
          <w:sz w:val="30"/>
          <w:szCs w:val="30"/>
        </w:rPr>
      </w:pPr>
      <w:r>
        <w:rPr>
          <w:rFonts w:hint="eastAsia" w:ascii="仿宋" w:hAnsi="仿宋" w:eastAsia="仿宋" w:cs="仿宋"/>
          <w:spacing w:val="-8"/>
          <w:sz w:val="30"/>
          <w:szCs w:val="30"/>
        </w:rPr>
        <w:fldChar w:fldCharType="end"/>
      </w:r>
    </w:p>
    <w:p>
      <w:pPr>
        <w:spacing w:line="600" w:lineRule="exact"/>
        <w:sectPr>
          <w:footerReference r:id="rId10" w:type="default"/>
          <w:pgSz w:w="11906" w:h="16838"/>
          <w:pgMar w:top="1701" w:right="1701" w:bottom="1701" w:left="1701" w:header="851" w:footer="1701" w:gutter="0"/>
          <w:pgNumType w:fmt="upperRoman" w:start="1"/>
          <w:cols w:space="720" w:num="1"/>
          <w:docGrid w:type="lines" w:linePitch="312" w:charSpace="0"/>
        </w:sectPr>
      </w:pPr>
    </w:p>
    <w:p>
      <w:pPr>
        <w:pStyle w:val="3"/>
        <w:spacing w:before="0" w:after="0" w:line="570" w:lineRule="exact"/>
        <w:jc w:val="center"/>
        <w:rPr>
          <w:rFonts w:ascii="方正小标宋简体" w:eastAsia="方正小标宋简体"/>
          <w:b w:val="0"/>
          <w:sz w:val="36"/>
          <w:szCs w:val="36"/>
        </w:rPr>
      </w:pPr>
      <w:bookmarkStart w:id="2" w:name="_Toc63009710"/>
      <w:bookmarkStart w:id="3" w:name="_Toc16697"/>
      <w:r>
        <w:rPr>
          <w:rFonts w:hint="eastAsia" w:ascii="方正小标宋简体" w:eastAsia="方正小标宋简体"/>
          <w:b w:val="0"/>
          <w:sz w:val="36"/>
          <w:szCs w:val="36"/>
        </w:rPr>
        <w:t>第一章总结过去审视形势</w:t>
      </w:r>
      <w:r>
        <w:rPr>
          <w:rFonts w:ascii="方正小标宋简体" w:eastAsia="方正小标宋简体"/>
          <w:b w:val="0"/>
          <w:sz w:val="36"/>
          <w:szCs w:val="36"/>
        </w:rPr>
        <w:t>,</w:t>
      </w:r>
      <w:r>
        <w:rPr>
          <w:rFonts w:hint="eastAsia" w:ascii="方正小标宋简体" w:eastAsia="方正小标宋简体"/>
          <w:b w:val="0"/>
          <w:sz w:val="36"/>
          <w:szCs w:val="36"/>
        </w:rPr>
        <w:t>巩固小康社会实现根基</w:t>
      </w:r>
      <w:bookmarkEnd w:id="2"/>
      <w:bookmarkEnd w:id="3"/>
    </w:p>
    <w:p>
      <w:pPr>
        <w:spacing w:line="570" w:lineRule="exact"/>
      </w:pP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三五”时期，区委、区政府团结带领全区人民，深入贯彻党的十九大和十九届二中、三中、四中、五中全会精神，认真落实省委、省政府重大战略部署，认真落实市委、市政府的决策部署，带领全区人民积极应对新变化、主动适应新形势，扎实推进高质量发展、协同发展、脱贫攻坚、污染防治、改善民生等各项工作，顺利完成“十三五”规划目标，全区经济社会发展取得重大成就，全面建成了小康社会。</w:t>
      </w:r>
    </w:p>
    <w:p>
      <w:pPr>
        <w:pStyle w:val="4"/>
        <w:numPr>
          <w:ilvl w:val="0"/>
          <w:numId w:val="1"/>
        </w:numPr>
        <w:spacing w:before="0" w:after="0" w:line="570" w:lineRule="exact"/>
        <w:ind w:left="0" w:firstLine="0"/>
        <w:jc w:val="center"/>
        <w:rPr>
          <w:rFonts w:ascii="黑体" w:hAnsi="Times New Roman"/>
          <w:b w:val="0"/>
          <w:spacing w:val="-8"/>
          <w:kern w:val="2"/>
          <w:szCs w:val="32"/>
        </w:rPr>
      </w:pPr>
      <w:bookmarkStart w:id="4" w:name="_Toc63009711"/>
      <w:bookmarkStart w:id="5" w:name="_Toc19851"/>
      <w:r>
        <w:rPr>
          <w:rFonts w:hint="eastAsia" w:ascii="黑体" w:hAnsi="Times New Roman"/>
          <w:b w:val="0"/>
          <w:spacing w:val="-8"/>
          <w:kern w:val="2"/>
          <w:szCs w:val="32"/>
        </w:rPr>
        <w:t>巩固“十三五”时期经济社会发展取得成就</w:t>
      </w:r>
      <w:bookmarkEnd w:id="4"/>
      <w:bookmarkEnd w:id="5"/>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“十三五”时期是我区快速发展的五年，面对错综复杂的国内外环境和艰巨繁重的改革发展任务，区委、区政府团结带领全区人民，以经济新常态为发展基础，供给侧</w:t>
      </w:r>
      <w:r>
        <w:rPr>
          <w:rFonts w:hint="eastAsia" w:ascii="仿宋_GB2312" w:eastAsia="仿宋_GB2312" w:cs="仿宋_GB2312"/>
          <w:spacing w:val="-8"/>
          <w:sz w:val="32"/>
          <w:szCs w:val="32"/>
          <w:lang w:val="en-US" w:eastAsia="zh-CN"/>
        </w:rPr>
        <w:t>结构性</w:t>
      </w:r>
      <w:r>
        <w:rPr>
          <w:rFonts w:hint="eastAsia" w:ascii="仿宋_GB2312" w:eastAsia="仿宋_GB2312" w:cs="仿宋_GB2312"/>
          <w:spacing w:val="-8"/>
          <w:sz w:val="32"/>
          <w:szCs w:val="32"/>
        </w:rPr>
        <w:t>改革为主线，通过实施“环境立区、工业强区、农业稳区、旅游兴区”战略方针，唱响“实干兴区”旋律，使我区经济平稳发展、产业结构持续优化、城乡建设成绩突出、社会事业持续稳步推进、脱贫攻坚效果显著、生态环境改善明显、新冠疫情防控效果明显，在推进创新发展、绿色崛起的道路上迈出了重要步伐，为我区“十四五”的发展打下了坚实基础。</w:t>
      </w:r>
    </w:p>
    <w:p>
      <w:pPr>
        <w:spacing w:line="570" w:lineRule="exact"/>
        <w:ind w:firstLine="608" w:firstLineChars="200"/>
        <w:rPr>
          <w:rFonts w:ascii="仿宋_GB2312" w:eastAsia="仿宋_GB2312" w:cs="仿宋_GB2312"/>
          <w:spacing w:val="-8"/>
          <w:sz w:val="32"/>
          <w:szCs w:val="32"/>
        </w:rPr>
      </w:pPr>
      <w:r>
        <w:rPr>
          <w:rFonts w:hint="eastAsia" w:ascii="楷体_GB2312" w:hAnsi="仿宋" w:eastAsia="楷体_GB2312" w:cs="仿宋"/>
          <w:bCs/>
          <w:spacing w:val="-8"/>
          <w:sz w:val="32"/>
          <w:szCs w:val="32"/>
        </w:rPr>
        <w:t>（一）经济发展实现稳中向好。“</w:t>
      </w:r>
      <w:r>
        <w:rPr>
          <w:rFonts w:hint="eastAsia" w:ascii="仿宋_GB2312" w:eastAsia="仿宋_GB2312" w:cs="仿宋_GB2312"/>
          <w:spacing w:val="-8"/>
          <w:sz w:val="32"/>
          <w:szCs w:val="32"/>
        </w:rPr>
        <w:t>十三五”期间，我区经济发展平稳，发展质量明显提高。</w:t>
      </w:r>
    </w:p>
    <w:p>
      <w:pPr>
        <w:spacing w:line="570" w:lineRule="exact"/>
        <w:ind w:firstLine="608" w:firstLineChars="200"/>
        <w:rPr>
          <w:rFonts w:ascii="仿宋_GB2312" w:eastAsia="仿宋_GB2312" w:cs="仿宋_GB2312"/>
          <w:spacing w:val="-8"/>
          <w:sz w:val="32"/>
          <w:szCs w:val="32"/>
        </w:rPr>
      </w:pPr>
      <w:r>
        <w:rPr>
          <w:rFonts w:ascii="仿宋_GB2312" w:eastAsia="仿宋_GB2312" w:cs="仿宋_GB2312"/>
          <w:spacing w:val="-8"/>
          <w:sz w:val="32"/>
          <w:szCs w:val="32"/>
        </w:rPr>
        <w:t>2020</w:t>
      </w:r>
      <w:r>
        <w:rPr>
          <w:rFonts w:hint="eastAsia" w:ascii="仿宋_GB2312" w:eastAsia="仿宋_GB2312" w:cs="仿宋_GB2312"/>
          <w:spacing w:val="-8"/>
          <w:sz w:val="32"/>
          <w:szCs w:val="32"/>
        </w:rPr>
        <w:t>年全区地区生产总值达到</w:t>
      </w:r>
      <w:r>
        <w:rPr>
          <w:rFonts w:ascii="仿宋_GB2312" w:eastAsia="仿宋_GB2312" w:cs="仿宋_GB2312"/>
          <w:spacing w:val="-8"/>
          <w:sz w:val="32"/>
          <w:szCs w:val="32"/>
        </w:rPr>
        <w:t>126.6</w:t>
      </w:r>
      <w:r>
        <w:rPr>
          <w:rFonts w:hint="eastAsia" w:ascii="仿宋_GB2312" w:eastAsia="仿宋_GB2312" w:cs="仿宋_GB2312"/>
          <w:spacing w:val="-8"/>
          <w:sz w:val="32"/>
          <w:szCs w:val="32"/>
        </w:rPr>
        <w:t>亿元，是</w:t>
      </w:r>
      <w:r>
        <w:rPr>
          <w:rFonts w:ascii="仿宋_GB2312" w:eastAsia="仿宋_GB2312" w:cs="仿宋_GB2312"/>
          <w:spacing w:val="-8"/>
          <w:sz w:val="32"/>
          <w:szCs w:val="32"/>
        </w:rPr>
        <w:t>2015</w:t>
      </w:r>
      <w:r>
        <w:rPr>
          <w:rFonts w:hint="eastAsia" w:ascii="仿宋_GB2312" w:eastAsia="仿宋_GB2312" w:cs="仿宋_GB2312"/>
          <w:spacing w:val="-8"/>
          <w:sz w:val="32"/>
          <w:szCs w:val="32"/>
        </w:rPr>
        <w:t>年的</w:t>
      </w:r>
      <w:r>
        <w:rPr>
          <w:rFonts w:ascii="仿宋_GB2312" w:eastAsia="仿宋_GB2312" w:cs="仿宋_GB2312"/>
          <w:spacing w:val="-8"/>
          <w:sz w:val="32"/>
          <w:szCs w:val="32"/>
        </w:rPr>
        <w:t>1.46</w:t>
      </w:r>
      <w:r>
        <w:rPr>
          <w:rFonts w:hint="eastAsia" w:ascii="仿宋_GB2312" w:eastAsia="仿宋_GB2312" w:cs="仿宋_GB2312"/>
          <w:spacing w:val="-8"/>
          <w:sz w:val="32"/>
          <w:szCs w:val="32"/>
        </w:rPr>
        <w:t>倍，年均增长</w:t>
      </w:r>
      <w:r>
        <w:rPr>
          <w:rFonts w:ascii="仿宋_GB2312" w:eastAsia="仿宋_GB2312" w:cs="仿宋_GB2312"/>
          <w:spacing w:val="-8"/>
          <w:sz w:val="32"/>
          <w:szCs w:val="32"/>
        </w:rPr>
        <w:t>7%</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一般公共预算收入突破</w:t>
      </w:r>
      <w:r>
        <w:rPr>
          <w:rFonts w:ascii="仿宋_GB2312" w:eastAsia="仿宋_GB2312" w:cs="仿宋_GB2312"/>
          <w:spacing w:val="-8"/>
          <w:sz w:val="32"/>
          <w:szCs w:val="32"/>
        </w:rPr>
        <w:t>9.3</w:t>
      </w:r>
      <w:r>
        <w:rPr>
          <w:rFonts w:hint="eastAsia" w:ascii="仿宋_GB2312" w:eastAsia="仿宋_GB2312" w:cs="仿宋_GB2312"/>
          <w:spacing w:val="-8"/>
          <w:sz w:val="32"/>
          <w:szCs w:val="32"/>
        </w:rPr>
        <w:t>亿元，是</w:t>
      </w:r>
      <w:r>
        <w:rPr>
          <w:rFonts w:ascii="仿宋_GB2312" w:eastAsia="仿宋_GB2312" w:cs="仿宋_GB2312"/>
          <w:spacing w:val="-8"/>
          <w:sz w:val="32"/>
          <w:szCs w:val="32"/>
        </w:rPr>
        <w:t>2015</w:t>
      </w:r>
      <w:r>
        <w:rPr>
          <w:rFonts w:hint="eastAsia" w:ascii="仿宋_GB2312" w:eastAsia="仿宋_GB2312" w:cs="仿宋_GB2312"/>
          <w:spacing w:val="-8"/>
          <w:sz w:val="32"/>
          <w:szCs w:val="32"/>
        </w:rPr>
        <w:t>年的</w:t>
      </w:r>
      <w:r>
        <w:rPr>
          <w:rFonts w:ascii="仿宋_GB2312" w:eastAsia="仿宋_GB2312" w:cs="仿宋_GB2312"/>
          <w:spacing w:val="-8"/>
          <w:sz w:val="32"/>
          <w:szCs w:val="32"/>
        </w:rPr>
        <w:t>2.3</w:t>
      </w:r>
      <w:r>
        <w:rPr>
          <w:rFonts w:hint="eastAsia" w:ascii="仿宋_GB2312" w:eastAsia="仿宋_GB2312" w:cs="仿宋_GB2312"/>
          <w:spacing w:val="-8"/>
          <w:sz w:val="32"/>
          <w:szCs w:val="32"/>
        </w:rPr>
        <w:t>倍，年均增长</w:t>
      </w:r>
      <w:r>
        <w:rPr>
          <w:rFonts w:ascii="仿宋_GB2312" w:eastAsia="仿宋_GB2312" w:cs="仿宋_GB2312"/>
          <w:spacing w:val="-8"/>
          <w:sz w:val="32"/>
          <w:szCs w:val="32"/>
        </w:rPr>
        <w:t>15%</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服务业（第三产业）增加值达到71亿元，年均增长10.4%；</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社会消费品零售总额达到26.6亿元，年均增长8.2%；</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规模以上工业增加值年均增长</w:t>
      </w:r>
      <w:r>
        <w:rPr>
          <w:rFonts w:ascii="仿宋_GB2312" w:eastAsia="仿宋_GB2312" w:cs="仿宋_GB2312"/>
          <w:spacing w:val="-8"/>
          <w:sz w:val="32"/>
          <w:szCs w:val="32"/>
        </w:rPr>
        <w:t>5.2%</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固定资产投资年均增长</w:t>
      </w:r>
      <w:r>
        <w:rPr>
          <w:rFonts w:ascii="仿宋_GB2312" w:eastAsia="仿宋_GB2312" w:cs="仿宋_GB2312"/>
          <w:spacing w:val="-8"/>
          <w:sz w:val="32"/>
          <w:szCs w:val="32"/>
        </w:rPr>
        <w:t>11.5%</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楷体_GB2312" w:hAnsi="仿宋" w:eastAsia="楷体_GB2312" w:cs="仿宋"/>
          <w:bCs/>
          <w:spacing w:val="-8"/>
          <w:sz w:val="32"/>
          <w:szCs w:val="32"/>
        </w:rPr>
        <w:t>（二）产业结构优化升级。</w:t>
      </w:r>
      <w:r>
        <w:rPr>
          <w:rFonts w:hint="eastAsia" w:ascii="仿宋_GB2312" w:eastAsia="仿宋_GB2312" w:cs="仿宋_GB2312"/>
          <w:spacing w:val="-8"/>
          <w:sz w:val="32"/>
          <w:szCs w:val="32"/>
        </w:rPr>
        <w:t>产业结构调整升级，经济结构持续优化，优势产业得到进一步发展。传统产业转型升级步伐不断加快，战略性新兴产业不断壮大，现代服务业加速发展，农业产业化经营有效推进。三次产业增加值之比由“十二五”末期的</w:t>
      </w:r>
      <w:r>
        <w:rPr>
          <w:rFonts w:ascii="仿宋_GB2312" w:eastAsia="仿宋_GB2312" w:cs="仿宋_GB2312"/>
          <w:spacing w:val="-8"/>
          <w:sz w:val="32"/>
          <w:szCs w:val="32"/>
        </w:rPr>
        <w:t>24</w:t>
      </w:r>
      <w:r>
        <w:rPr>
          <w:rFonts w:hint="eastAsia" w:ascii="仿宋_GB2312" w:eastAsia="仿宋_GB2312" w:cs="仿宋_GB2312"/>
          <w:spacing w:val="-8"/>
          <w:sz w:val="32"/>
          <w:szCs w:val="32"/>
        </w:rPr>
        <w:t>：</w:t>
      </w:r>
      <w:r>
        <w:rPr>
          <w:rFonts w:ascii="仿宋_GB2312" w:eastAsia="仿宋_GB2312" w:cs="仿宋_GB2312"/>
          <w:spacing w:val="-8"/>
          <w:sz w:val="32"/>
          <w:szCs w:val="32"/>
        </w:rPr>
        <w:t>29</w:t>
      </w:r>
      <w:r>
        <w:rPr>
          <w:rFonts w:hint="eastAsia" w:ascii="仿宋_GB2312" w:eastAsia="仿宋_GB2312" w:cs="仿宋_GB2312"/>
          <w:spacing w:val="-8"/>
          <w:sz w:val="32"/>
          <w:szCs w:val="32"/>
        </w:rPr>
        <w:t>：</w:t>
      </w:r>
      <w:r>
        <w:rPr>
          <w:rFonts w:ascii="仿宋_GB2312" w:eastAsia="仿宋_GB2312" w:cs="仿宋_GB2312"/>
          <w:spacing w:val="-8"/>
          <w:sz w:val="32"/>
          <w:szCs w:val="32"/>
        </w:rPr>
        <w:t>47</w:t>
      </w:r>
      <w:r>
        <w:rPr>
          <w:rFonts w:hint="eastAsia" w:ascii="仿宋_GB2312" w:eastAsia="仿宋_GB2312" w:cs="仿宋_GB2312"/>
          <w:spacing w:val="-8"/>
          <w:sz w:val="32"/>
          <w:szCs w:val="32"/>
        </w:rPr>
        <w:t>调整为目前的</w:t>
      </w:r>
      <w:r>
        <w:rPr>
          <w:rFonts w:ascii="仿宋_GB2312" w:eastAsia="仿宋_GB2312" w:cs="仿宋_GB2312"/>
          <w:spacing w:val="-8"/>
          <w:sz w:val="32"/>
          <w:szCs w:val="32"/>
        </w:rPr>
        <w:t>19</w:t>
      </w:r>
      <w:r>
        <w:rPr>
          <w:rFonts w:hint="eastAsia" w:ascii="仿宋_GB2312" w:eastAsia="仿宋_GB2312" w:cs="仿宋_GB2312"/>
          <w:spacing w:val="-8"/>
          <w:sz w:val="32"/>
          <w:szCs w:val="32"/>
        </w:rPr>
        <w:t>：</w:t>
      </w:r>
      <w:r>
        <w:rPr>
          <w:rFonts w:ascii="仿宋_GB2312" w:eastAsia="仿宋_GB2312" w:cs="仿宋_GB2312"/>
          <w:spacing w:val="-8"/>
          <w:sz w:val="32"/>
          <w:szCs w:val="32"/>
        </w:rPr>
        <w:t>25</w:t>
      </w:r>
      <w:r>
        <w:rPr>
          <w:rFonts w:hint="eastAsia" w:ascii="仿宋_GB2312" w:eastAsia="仿宋_GB2312" w:cs="仿宋_GB2312"/>
          <w:spacing w:val="-8"/>
          <w:sz w:val="32"/>
          <w:szCs w:val="32"/>
        </w:rPr>
        <w:t>：</w:t>
      </w:r>
      <w:r>
        <w:rPr>
          <w:rFonts w:ascii="仿宋_GB2312" w:eastAsia="仿宋_GB2312" w:cs="仿宋_GB2312"/>
          <w:spacing w:val="-8"/>
          <w:sz w:val="32"/>
          <w:szCs w:val="32"/>
        </w:rPr>
        <w:t>56</w:t>
      </w:r>
      <w:r>
        <w:rPr>
          <w:rFonts w:hint="eastAsia" w:ascii="仿宋_GB2312" w:eastAsia="仿宋_GB2312" w:cs="仿宋_GB2312"/>
          <w:spacing w:val="-8"/>
          <w:sz w:val="32"/>
          <w:szCs w:val="32"/>
        </w:rPr>
        <w:t>，产业结构变“轻”、发展模式变“绿”，现代服务业成为支撑经济发展的主要力量。</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五年来，坚持以转型升级为主线，产业技术创新实现新突破。推动高端装备制造业、“互联网</w:t>
      </w:r>
      <w:r>
        <w:rPr>
          <w:rFonts w:ascii="仿宋_GB2312" w:eastAsia="仿宋_GB2312" w:cs="仿宋_GB2312"/>
          <w:spacing w:val="-8"/>
          <w:sz w:val="32"/>
          <w:szCs w:val="32"/>
        </w:rPr>
        <w:t>+</w:t>
      </w:r>
      <w:r>
        <w:rPr>
          <w:rFonts w:hint="eastAsia" w:ascii="仿宋_GB2312" w:eastAsia="仿宋_GB2312" w:cs="仿宋_GB2312"/>
          <w:spacing w:val="-8"/>
          <w:sz w:val="32"/>
          <w:szCs w:val="32"/>
        </w:rPr>
        <w:t>大数据”等现代工业、前沿产业，实施完成了以河北京车造车基地、乐凯新材料等为代表的省、市重点项目</w:t>
      </w:r>
      <w:r>
        <w:rPr>
          <w:rFonts w:ascii="仿宋_GB2312" w:eastAsia="仿宋_GB2312" w:cs="仿宋_GB2312"/>
          <w:spacing w:val="-8"/>
          <w:sz w:val="32"/>
          <w:szCs w:val="32"/>
        </w:rPr>
        <w:t>49</w:t>
      </w:r>
      <w:r>
        <w:rPr>
          <w:rFonts w:hint="eastAsia" w:ascii="仿宋_GB2312" w:eastAsia="仿宋_GB2312" w:cs="仿宋_GB2312"/>
          <w:spacing w:val="-8"/>
          <w:sz w:val="32"/>
          <w:szCs w:val="32"/>
        </w:rPr>
        <w:t>个，完成投资</w:t>
      </w:r>
      <w:r>
        <w:rPr>
          <w:rFonts w:ascii="仿宋_GB2312" w:eastAsia="仿宋_GB2312" w:cs="仿宋_GB2312"/>
          <w:spacing w:val="-8"/>
          <w:sz w:val="32"/>
          <w:szCs w:val="32"/>
        </w:rPr>
        <w:t>247</w:t>
      </w:r>
      <w:r>
        <w:rPr>
          <w:rFonts w:hint="eastAsia" w:ascii="仿宋_GB2312" w:eastAsia="仿宋_GB2312" w:cs="仿宋_GB2312"/>
          <w:spacing w:val="-8"/>
          <w:sz w:val="32"/>
          <w:szCs w:val="32"/>
        </w:rPr>
        <w:t>亿元，投资完成率和投资完成金额始终位于全市前列。深能西北郊热电厂、邦泰氨纶新材料、天香乳业、宏腾科技、华源泰盟、凯圣兰“互联网</w:t>
      </w:r>
      <w:r>
        <w:rPr>
          <w:rFonts w:ascii="仿宋_GB2312" w:eastAsia="仿宋_GB2312" w:cs="仿宋_GB2312"/>
          <w:spacing w:val="-8"/>
          <w:sz w:val="32"/>
          <w:szCs w:val="32"/>
        </w:rPr>
        <w:t>+</w:t>
      </w:r>
      <w:r>
        <w:rPr>
          <w:rFonts w:hint="eastAsia" w:ascii="仿宋_GB2312" w:eastAsia="仿宋_GB2312" w:cs="仿宋_GB2312"/>
          <w:spacing w:val="-8"/>
          <w:sz w:val="32"/>
          <w:szCs w:val="32"/>
        </w:rPr>
        <w:t>数字印刷”、北京师范大学文斋印刷基地等一大批重点项目陆续投产。金融谷、北京联东</w:t>
      </w:r>
      <w:r>
        <w:rPr>
          <w:rFonts w:ascii="仿宋_GB2312" w:eastAsia="仿宋_GB2312" w:cs="仿宋_GB2312"/>
          <w:spacing w:val="-8"/>
          <w:sz w:val="32"/>
          <w:szCs w:val="32"/>
        </w:rPr>
        <w:t>U</w:t>
      </w:r>
      <w:r>
        <w:rPr>
          <w:rFonts w:hint="eastAsia" w:ascii="仿宋_GB2312" w:eastAsia="仿宋_GB2312" w:cs="仿宋_GB2312"/>
          <w:spacing w:val="-8"/>
          <w:sz w:val="32"/>
          <w:szCs w:val="32"/>
        </w:rPr>
        <w:t>谷、微诺生物、九五硼业等重大项目落地实施。创建省级技术创新中心、省级众创空间各</w:t>
      </w:r>
      <w:r>
        <w:rPr>
          <w:rFonts w:ascii="仿宋_GB2312" w:eastAsia="仿宋_GB2312" w:cs="仿宋_GB2312"/>
          <w:spacing w:val="-8"/>
          <w:sz w:val="32"/>
          <w:szCs w:val="32"/>
        </w:rPr>
        <w:t>1</w:t>
      </w:r>
      <w:r>
        <w:rPr>
          <w:rFonts w:hint="eastAsia" w:ascii="仿宋_GB2312" w:eastAsia="仿宋_GB2312" w:cs="仿宋_GB2312"/>
          <w:spacing w:val="-8"/>
          <w:sz w:val="32"/>
          <w:szCs w:val="32"/>
        </w:rPr>
        <w:t>家，市级众创空间</w:t>
      </w:r>
      <w:r>
        <w:rPr>
          <w:rFonts w:ascii="仿宋_GB2312" w:eastAsia="仿宋_GB2312" w:cs="仿宋_GB2312"/>
          <w:spacing w:val="-8"/>
          <w:sz w:val="32"/>
          <w:szCs w:val="32"/>
        </w:rPr>
        <w:t>3</w:t>
      </w:r>
      <w:r>
        <w:rPr>
          <w:rFonts w:hint="eastAsia" w:ascii="仿宋_GB2312" w:eastAsia="仿宋_GB2312" w:cs="仿宋_GB2312"/>
          <w:spacing w:val="-8"/>
          <w:sz w:val="32"/>
          <w:szCs w:val="32"/>
        </w:rPr>
        <w:t>家，</w:t>
      </w:r>
      <w:r>
        <w:rPr>
          <w:rFonts w:hint="eastAsia" w:ascii="仿宋_GB2312" w:hAnsi="仿宋_GB2312" w:eastAsia="仿宋_GB2312" w:cs="仿宋_GB2312"/>
          <w:spacing w:val="-8"/>
          <w:sz w:val="32"/>
          <w:szCs w:val="32"/>
        </w:rPr>
        <w:t>省农业农村厅命名沃土农业园区为全省首批农村创业创新园区</w:t>
      </w:r>
      <w:r>
        <w:rPr>
          <w:rFonts w:hint="eastAsia" w:ascii="仿宋_GB2312" w:eastAsia="仿宋_GB2312" w:cs="仿宋_GB2312"/>
          <w:spacing w:val="-8"/>
          <w:sz w:val="32"/>
          <w:szCs w:val="32"/>
        </w:rPr>
        <w:t>。雨森卫品等单位联合申报的“中高速卫生纸机生态生产过程集成优化控制系统”荣获中国轻工联科技进步一等奖。</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大力发展现代农业，落实“六个一”推进模式，“太行山农业创新驿站”荣获市级最佳进步奖，“满城草莓”通过国家农产品地理标志认证，新增省市级农业园区</w:t>
      </w:r>
      <w:r>
        <w:rPr>
          <w:rFonts w:ascii="仿宋_GB2312" w:eastAsia="仿宋_GB2312" w:cs="仿宋_GB2312"/>
          <w:spacing w:val="-8"/>
          <w:sz w:val="32"/>
          <w:szCs w:val="32"/>
        </w:rPr>
        <w:t>9</w:t>
      </w:r>
      <w:r>
        <w:rPr>
          <w:rFonts w:hint="eastAsia" w:ascii="仿宋_GB2312" w:eastAsia="仿宋_GB2312" w:cs="仿宋_GB2312"/>
          <w:spacing w:val="-8"/>
          <w:sz w:val="32"/>
          <w:szCs w:val="32"/>
        </w:rPr>
        <w:t>家，精品特色园区</w:t>
      </w:r>
      <w:r>
        <w:rPr>
          <w:rFonts w:ascii="仿宋_GB2312" w:eastAsia="仿宋_GB2312" w:cs="仿宋_GB2312"/>
          <w:spacing w:val="-8"/>
          <w:sz w:val="32"/>
          <w:szCs w:val="32"/>
        </w:rPr>
        <w:t>4</w:t>
      </w:r>
      <w:r>
        <w:rPr>
          <w:rFonts w:hint="eastAsia" w:ascii="仿宋_GB2312" w:eastAsia="仿宋_GB2312" w:cs="仿宋_GB2312"/>
          <w:spacing w:val="-8"/>
          <w:sz w:val="32"/>
          <w:szCs w:val="32"/>
        </w:rPr>
        <w:t>家。培育新型农业经营主体</w:t>
      </w:r>
      <w:r>
        <w:rPr>
          <w:rFonts w:ascii="仿宋_GB2312" w:eastAsia="仿宋_GB2312" w:cs="仿宋_GB2312"/>
          <w:spacing w:val="-8"/>
          <w:sz w:val="32"/>
          <w:szCs w:val="32"/>
        </w:rPr>
        <w:t>50</w:t>
      </w:r>
      <w:r>
        <w:rPr>
          <w:rFonts w:hint="eastAsia" w:ascii="仿宋_GB2312" w:eastAsia="仿宋_GB2312" w:cs="仿宋_GB2312"/>
          <w:spacing w:val="-8"/>
          <w:sz w:val="32"/>
          <w:szCs w:val="32"/>
        </w:rPr>
        <w:t>家、省级示范性家庭农场或农民合作社</w:t>
      </w:r>
      <w:r>
        <w:rPr>
          <w:rFonts w:ascii="仿宋_GB2312" w:eastAsia="仿宋_GB2312" w:cs="仿宋_GB2312"/>
          <w:spacing w:val="-8"/>
          <w:sz w:val="32"/>
          <w:szCs w:val="32"/>
        </w:rPr>
        <w:t>2</w:t>
      </w:r>
      <w:r>
        <w:rPr>
          <w:rFonts w:hint="eastAsia" w:ascii="仿宋_GB2312" w:eastAsia="仿宋_GB2312" w:cs="仿宋_GB2312"/>
          <w:spacing w:val="-8"/>
          <w:sz w:val="32"/>
          <w:szCs w:val="32"/>
        </w:rPr>
        <w:t>家，建立了坨南国家现代桃产业技术体系示范园，农业产业化率达到</w:t>
      </w:r>
      <w:r>
        <w:rPr>
          <w:rFonts w:ascii="仿宋_GB2312" w:eastAsia="仿宋_GB2312" w:cs="仿宋_GB2312"/>
          <w:spacing w:val="-8"/>
          <w:sz w:val="32"/>
          <w:szCs w:val="32"/>
        </w:rPr>
        <w:t>68%</w:t>
      </w:r>
      <w:r>
        <w:rPr>
          <w:rFonts w:hint="eastAsia" w:ascii="仿宋_GB2312" w:eastAsia="仿宋_GB2312" w:cs="仿宋_GB2312"/>
          <w:spacing w:val="-8"/>
          <w:sz w:val="32"/>
          <w:szCs w:val="32"/>
        </w:rPr>
        <w:t>。成功创建全省首批农产品质量安全示范区。</w:t>
      </w:r>
    </w:p>
    <w:p>
      <w:pPr>
        <w:adjustRightInd w:val="0"/>
        <w:snapToGrid w:val="0"/>
        <w:spacing w:line="570" w:lineRule="exact"/>
        <w:ind w:firstLine="608" w:firstLineChars="200"/>
        <w:rPr>
          <w:rFonts w:ascii="仿宋_GB2312" w:eastAsia="仿宋_GB2312" w:cs="仿宋_GB2312"/>
          <w:spacing w:val="-8"/>
          <w:sz w:val="32"/>
          <w:szCs w:val="32"/>
        </w:rPr>
      </w:pPr>
      <w:r>
        <w:rPr>
          <w:rFonts w:hint="eastAsia" w:ascii="楷体_GB2312" w:hAnsi="仿宋" w:eastAsia="楷体_GB2312" w:cs="仿宋"/>
          <w:bCs/>
          <w:spacing w:val="-8"/>
          <w:sz w:val="32"/>
          <w:szCs w:val="32"/>
        </w:rPr>
        <w:t>（三）京津冀协同发展持续推进。</w:t>
      </w:r>
      <w:r>
        <w:rPr>
          <w:rFonts w:hint="eastAsia" w:ascii="仿宋_GB2312" w:eastAsia="仿宋_GB2312" w:cs="仿宋_GB2312"/>
          <w:spacing w:val="-8"/>
          <w:sz w:val="32"/>
          <w:szCs w:val="32"/>
        </w:rPr>
        <w:t>五年来，牢牢抓住京津冀协同发展这一历史机遇，加快推动京津保率先联动发展，认真谋划、积极跑争、狠抓项目，取得了明显成效，走在了保定市前列。“十三五”期间积极对接京津项目</w:t>
      </w:r>
      <w:r>
        <w:rPr>
          <w:rFonts w:ascii="仿宋_GB2312" w:eastAsia="仿宋_GB2312" w:cs="仿宋_GB2312"/>
          <w:spacing w:val="-8"/>
          <w:sz w:val="32"/>
          <w:szCs w:val="32"/>
        </w:rPr>
        <w:t>26</w:t>
      </w:r>
      <w:r>
        <w:rPr>
          <w:rFonts w:hint="eastAsia" w:ascii="仿宋_GB2312" w:eastAsia="仿宋_GB2312" w:cs="仿宋_GB2312"/>
          <w:spacing w:val="-8"/>
          <w:sz w:val="32"/>
          <w:szCs w:val="32"/>
        </w:rPr>
        <w:t>个，总投资</w:t>
      </w:r>
      <w:r>
        <w:rPr>
          <w:rFonts w:ascii="仿宋_GB2312" w:eastAsia="仿宋_GB2312" w:cs="仿宋_GB2312"/>
          <w:spacing w:val="-8"/>
          <w:sz w:val="32"/>
          <w:szCs w:val="32"/>
        </w:rPr>
        <w:t>340</w:t>
      </w:r>
      <w:r>
        <w:rPr>
          <w:rFonts w:hint="eastAsia" w:ascii="仿宋_GB2312" w:eastAsia="仿宋_GB2312" w:cs="仿宋_GB2312"/>
          <w:spacing w:val="-8"/>
          <w:sz w:val="32"/>
          <w:szCs w:val="32"/>
        </w:rPr>
        <w:t>亿元。为保障京津冀合作重大产业项目河北京车顺利达产，</w:t>
      </w:r>
      <w:r>
        <w:rPr>
          <w:rFonts w:ascii="仿宋_GB2312" w:eastAsia="仿宋_GB2312" w:cs="仿宋_GB2312"/>
          <w:spacing w:val="-8"/>
          <w:sz w:val="32"/>
          <w:szCs w:val="32"/>
        </w:rPr>
        <w:t>500</w:t>
      </w:r>
      <w:r>
        <w:rPr>
          <w:rFonts w:hint="eastAsia" w:ascii="仿宋_GB2312" w:eastAsia="仿宋_GB2312" w:cs="仿宋_GB2312"/>
          <w:spacing w:val="-8"/>
          <w:sz w:val="32"/>
          <w:szCs w:val="32"/>
        </w:rPr>
        <w:t>多名党员干部披上“红马甲”、放弃节假日、奋战在一线，</w:t>
      </w:r>
      <w:r>
        <w:rPr>
          <w:rFonts w:ascii="仿宋_GB2312" w:eastAsia="仿宋_GB2312" w:cs="仿宋_GB2312"/>
          <w:spacing w:val="-8"/>
          <w:sz w:val="32"/>
          <w:szCs w:val="32"/>
        </w:rPr>
        <w:t>60</w:t>
      </w:r>
      <w:r>
        <w:rPr>
          <w:rFonts w:hint="eastAsia" w:ascii="仿宋_GB2312" w:eastAsia="仿宋_GB2312" w:cs="仿宋_GB2312"/>
          <w:spacing w:val="-8"/>
          <w:sz w:val="32"/>
          <w:szCs w:val="32"/>
        </w:rPr>
        <w:t>天办清所有证照，</w:t>
      </w:r>
      <w:r>
        <w:rPr>
          <w:rFonts w:ascii="仿宋_GB2312" w:eastAsia="仿宋_GB2312" w:cs="仿宋_GB2312"/>
          <w:spacing w:val="-8"/>
          <w:sz w:val="32"/>
          <w:szCs w:val="32"/>
        </w:rPr>
        <w:t>90</w:t>
      </w:r>
      <w:r>
        <w:rPr>
          <w:rFonts w:hint="eastAsia" w:ascii="仿宋_GB2312" w:eastAsia="仿宋_GB2312" w:cs="仿宋_GB2312"/>
          <w:spacing w:val="-8"/>
          <w:sz w:val="32"/>
          <w:szCs w:val="32"/>
        </w:rPr>
        <w:t>天完成征迁占，</w:t>
      </w:r>
      <w:r>
        <w:rPr>
          <w:rFonts w:ascii="仿宋_GB2312" w:eastAsia="仿宋_GB2312" w:cs="仿宋_GB2312"/>
          <w:spacing w:val="-8"/>
          <w:sz w:val="32"/>
          <w:szCs w:val="32"/>
        </w:rPr>
        <w:t>240</w:t>
      </w:r>
      <w:r>
        <w:rPr>
          <w:rFonts w:hint="eastAsia" w:ascii="仿宋_GB2312" w:eastAsia="仿宋_GB2312" w:cs="仿宋_GB2312"/>
          <w:spacing w:val="-8"/>
          <w:sz w:val="32"/>
          <w:szCs w:val="32"/>
        </w:rPr>
        <w:t>天完成组装车间建设，实现“零阻工”、“零信访”，第一列城轨车调试下线，绍兴地铁订单正式投产，填补了保定轨道交通产业的空白。“满城速度”赢得企业认可，并且该项目作为京津冀协同发展的典范，得到了北京市委、河北省委主要领导同志的充分肯定和高度评价。由北京华源泰盟节能设备有限公司投资建设的华源泰盟工业余热节能设备及清华大学国家级重点实验室、北京师范大学文斋印刷基地、中国航天科技集团与乐凯集团投资的航天乐凯新材料工业园项目、中国纺织研究院与保定邦泰公司投资的邦泰氨纶新材料等项目竣工投产；乐凯涂布、金融谷、微诺生物等项目顺利实施；中关村丰台园满城分园揭牌成立，中关村生命科学园科创基地建设取得积极进展。与北京多家医疗机构开展了交流对接活动，区人民医院骨科与北京积水潭医院的对接，心内科与北京安贞医院的对接，妇产科与北京妇产医院的对接，神经内科、呼吸内科与北京大学人民医院的对接，肿瘤内科与北京</w:t>
      </w:r>
      <w:r>
        <w:rPr>
          <w:rFonts w:ascii="仿宋_GB2312" w:eastAsia="仿宋_GB2312" w:cs="仿宋_GB2312"/>
          <w:spacing w:val="-8"/>
          <w:sz w:val="32"/>
          <w:szCs w:val="32"/>
        </w:rPr>
        <w:t>301</w:t>
      </w:r>
      <w:r>
        <w:rPr>
          <w:rFonts w:hint="eastAsia" w:ascii="仿宋_GB2312" w:eastAsia="仿宋_GB2312" w:cs="仿宋_GB2312"/>
          <w:spacing w:val="-8"/>
          <w:sz w:val="32"/>
          <w:szCs w:val="32"/>
        </w:rPr>
        <w:t>附属医院的对接，区职教中心与北京多所职业院校的对接，进一步加强了与京津冀优质资源的交流合作。</w:t>
      </w:r>
    </w:p>
    <w:p>
      <w:pPr>
        <w:pStyle w:val="7"/>
        <w:spacing w:line="570" w:lineRule="exact"/>
        <w:ind w:firstLine="608" w:firstLineChars="200"/>
        <w:jc w:val="both"/>
        <w:rPr>
          <w:rFonts w:ascii="仿宋_GB2312" w:eastAsia="仿宋_GB2312" w:cs="仿宋_GB2312"/>
          <w:spacing w:val="-8"/>
          <w:sz w:val="32"/>
          <w:szCs w:val="32"/>
        </w:rPr>
      </w:pPr>
      <w:r>
        <w:rPr>
          <w:rFonts w:hint="eastAsia" w:ascii="楷体_GB2312" w:hAnsi="仿宋" w:eastAsia="楷体_GB2312" w:cs="仿宋"/>
          <w:bCs/>
          <w:spacing w:val="-8"/>
          <w:sz w:val="32"/>
          <w:szCs w:val="32"/>
        </w:rPr>
        <w:t>（四）创新驱动发展取得新进展。</w:t>
      </w:r>
      <w:r>
        <w:rPr>
          <w:rFonts w:hint="eastAsia" w:ascii="仿宋_GB2312" w:hAnsi="Calibri" w:eastAsia="仿宋_GB2312" w:cs="仿宋_GB2312"/>
          <w:spacing w:val="-8"/>
          <w:sz w:val="32"/>
          <w:szCs w:val="32"/>
        </w:rPr>
        <w:t>五年来，不断</w:t>
      </w:r>
      <w:r>
        <w:rPr>
          <w:rFonts w:hint="eastAsia" w:ascii="仿宋_GB2312" w:eastAsia="仿宋_GB2312" w:cs="仿宋_GB2312"/>
          <w:spacing w:val="-8"/>
          <w:sz w:val="32"/>
          <w:szCs w:val="32"/>
        </w:rPr>
        <w:t>加强科技创新，</w:t>
      </w:r>
      <w:r>
        <w:rPr>
          <w:rFonts w:ascii="仿宋_GB2312" w:eastAsia="仿宋_GB2312" w:cs="仿宋_GB2312"/>
          <w:spacing w:val="-8"/>
          <w:sz w:val="32"/>
          <w:szCs w:val="32"/>
        </w:rPr>
        <w:t>2020</w:t>
      </w:r>
      <w:r>
        <w:rPr>
          <w:rFonts w:hint="eastAsia" w:ascii="仿宋_GB2312" w:eastAsia="仿宋_GB2312" w:cs="仿宋_GB2312"/>
          <w:spacing w:val="-8"/>
          <w:sz w:val="32"/>
          <w:szCs w:val="32"/>
        </w:rPr>
        <w:t>年全区研究与试验发展经费支出占地区生产总值比重达到</w:t>
      </w:r>
      <w:r>
        <w:rPr>
          <w:rFonts w:ascii="仿宋_GB2312" w:eastAsia="仿宋_GB2312" w:cs="仿宋_GB2312"/>
          <w:spacing w:val="-8"/>
          <w:sz w:val="32"/>
          <w:szCs w:val="32"/>
        </w:rPr>
        <w:t>2%</w:t>
      </w:r>
      <w:r>
        <w:rPr>
          <w:rFonts w:hint="eastAsia" w:ascii="仿宋_GB2312" w:eastAsia="仿宋_GB2312" w:cs="仿宋_GB2312"/>
          <w:spacing w:val="-8"/>
          <w:sz w:val="32"/>
          <w:szCs w:val="32"/>
        </w:rPr>
        <w:t>以上。五年来</w:t>
      </w:r>
      <w:r>
        <w:rPr>
          <w:rFonts w:hint="eastAsia" w:ascii="仿宋_GB2312" w:eastAsia="仿宋_GB2312" w:cs="黑体"/>
          <w:bCs/>
          <w:spacing w:val="-8"/>
          <w:sz w:val="32"/>
          <w:szCs w:val="32"/>
        </w:rPr>
        <w:t>全区省市级以上研发平台</w:t>
      </w:r>
      <w:r>
        <w:rPr>
          <w:rFonts w:ascii="仿宋_GB2312" w:eastAsia="仿宋_GB2312" w:cs="黑体"/>
          <w:bCs/>
          <w:spacing w:val="-8"/>
          <w:sz w:val="32"/>
          <w:szCs w:val="32"/>
        </w:rPr>
        <w:t>26</w:t>
      </w:r>
      <w:r>
        <w:rPr>
          <w:rFonts w:hint="eastAsia" w:ascii="仿宋_GB2312" w:eastAsia="仿宋_GB2312" w:cs="黑体"/>
          <w:bCs/>
          <w:spacing w:val="-8"/>
          <w:sz w:val="32"/>
          <w:szCs w:val="32"/>
        </w:rPr>
        <w:t>家、高新技术企业</w:t>
      </w:r>
      <w:r>
        <w:rPr>
          <w:rFonts w:ascii="仿宋_GB2312" w:eastAsia="仿宋_GB2312" w:cs="黑体"/>
          <w:bCs/>
          <w:spacing w:val="-8"/>
          <w:sz w:val="32"/>
          <w:szCs w:val="32"/>
        </w:rPr>
        <w:t>57</w:t>
      </w:r>
      <w:r>
        <w:rPr>
          <w:rFonts w:hint="eastAsia" w:ascii="仿宋_GB2312" w:eastAsia="仿宋_GB2312" w:cs="黑体"/>
          <w:bCs/>
          <w:spacing w:val="-8"/>
          <w:sz w:val="32"/>
          <w:szCs w:val="32"/>
        </w:rPr>
        <w:t>家、科技型小巨人企业</w:t>
      </w:r>
      <w:r>
        <w:rPr>
          <w:rFonts w:ascii="仿宋_GB2312" w:eastAsia="仿宋_GB2312" w:cs="黑体"/>
          <w:bCs/>
          <w:spacing w:val="-8"/>
          <w:sz w:val="32"/>
          <w:szCs w:val="32"/>
        </w:rPr>
        <w:t>19</w:t>
      </w:r>
      <w:r>
        <w:rPr>
          <w:rFonts w:hint="eastAsia" w:ascii="仿宋_GB2312" w:eastAsia="仿宋_GB2312" w:cs="黑体"/>
          <w:bCs/>
          <w:spacing w:val="-8"/>
          <w:sz w:val="32"/>
          <w:szCs w:val="32"/>
        </w:rPr>
        <w:t>家、科技型中小企业</w:t>
      </w:r>
      <w:r>
        <w:rPr>
          <w:rFonts w:ascii="仿宋_GB2312" w:eastAsia="仿宋_GB2312" w:cs="黑体"/>
          <w:bCs/>
          <w:spacing w:val="-8"/>
          <w:sz w:val="32"/>
          <w:szCs w:val="32"/>
        </w:rPr>
        <w:t>505</w:t>
      </w:r>
      <w:r>
        <w:rPr>
          <w:rFonts w:hint="eastAsia" w:ascii="仿宋_GB2312" w:eastAsia="仿宋_GB2312" w:cs="黑体"/>
          <w:bCs/>
          <w:spacing w:val="-8"/>
          <w:sz w:val="32"/>
          <w:szCs w:val="32"/>
        </w:rPr>
        <w:t>家，分别是</w:t>
      </w:r>
      <w:r>
        <w:rPr>
          <w:rFonts w:ascii="仿宋_GB2312" w:eastAsia="仿宋_GB2312" w:cs="黑体"/>
          <w:bCs/>
          <w:spacing w:val="-8"/>
          <w:sz w:val="32"/>
          <w:szCs w:val="32"/>
        </w:rPr>
        <w:t>2015</w:t>
      </w:r>
      <w:r>
        <w:rPr>
          <w:rFonts w:hint="eastAsia" w:ascii="仿宋_GB2312" w:eastAsia="仿宋_GB2312" w:cs="黑体"/>
          <w:bCs/>
          <w:spacing w:val="-8"/>
          <w:sz w:val="32"/>
          <w:szCs w:val="32"/>
        </w:rPr>
        <w:t>年的</w:t>
      </w:r>
      <w:r>
        <w:rPr>
          <w:rFonts w:ascii="仿宋_GB2312" w:eastAsia="仿宋_GB2312" w:cs="黑体"/>
          <w:bCs/>
          <w:spacing w:val="-8"/>
          <w:sz w:val="32"/>
          <w:szCs w:val="32"/>
        </w:rPr>
        <w:t>13</w:t>
      </w:r>
      <w:r>
        <w:rPr>
          <w:rFonts w:hint="eastAsia" w:ascii="仿宋_GB2312" w:eastAsia="仿宋_GB2312" w:cs="黑体"/>
          <w:bCs/>
          <w:spacing w:val="-8"/>
          <w:sz w:val="32"/>
          <w:szCs w:val="32"/>
        </w:rPr>
        <w:t>倍、</w:t>
      </w:r>
      <w:r>
        <w:rPr>
          <w:rFonts w:ascii="仿宋_GB2312" w:eastAsia="仿宋_GB2312" w:cs="黑体"/>
          <w:bCs/>
          <w:spacing w:val="-8"/>
          <w:sz w:val="32"/>
          <w:szCs w:val="32"/>
        </w:rPr>
        <w:t>11</w:t>
      </w:r>
      <w:r>
        <w:rPr>
          <w:rFonts w:hint="eastAsia" w:ascii="仿宋_GB2312" w:eastAsia="仿宋_GB2312" w:cs="黑体"/>
          <w:bCs/>
          <w:spacing w:val="-8"/>
          <w:sz w:val="32"/>
          <w:szCs w:val="32"/>
        </w:rPr>
        <w:t>倍、</w:t>
      </w:r>
      <w:r>
        <w:rPr>
          <w:rFonts w:ascii="仿宋_GB2312" w:eastAsia="仿宋_GB2312" w:cs="黑体"/>
          <w:bCs/>
          <w:spacing w:val="-8"/>
          <w:sz w:val="32"/>
          <w:szCs w:val="32"/>
        </w:rPr>
        <w:t>3.8</w:t>
      </w:r>
      <w:r>
        <w:rPr>
          <w:rFonts w:hint="eastAsia" w:ascii="仿宋_GB2312" w:eastAsia="仿宋_GB2312" w:cs="黑体"/>
          <w:bCs/>
          <w:spacing w:val="-8"/>
          <w:sz w:val="32"/>
          <w:szCs w:val="32"/>
        </w:rPr>
        <w:t>倍、</w:t>
      </w:r>
      <w:r>
        <w:rPr>
          <w:rFonts w:ascii="仿宋_GB2312" w:eastAsia="仿宋_GB2312" w:cs="黑体"/>
          <w:bCs/>
          <w:spacing w:val="-8"/>
          <w:sz w:val="32"/>
          <w:szCs w:val="32"/>
        </w:rPr>
        <w:t>3.5</w:t>
      </w:r>
      <w:r>
        <w:rPr>
          <w:rFonts w:hint="eastAsia" w:ascii="仿宋_GB2312" w:eastAsia="仿宋_GB2312" w:cs="黑体"/>
          <w:bCs/>
          <w:spacing w:val="-8"/>
          <w:sz w:val="32"/>
          <w:szCs w:val="32"/>
        </w:rPr>
        <w:t>倍。</w:t>
      </w:r>
      <w:r>
        <w:rPr>
          <w:rFonts w:hint="eastAsia" w:ascii="仿宋_GB2312" w:hAnsi="仿宋_GB2312" w:eastAsia="仿宋_GB2312" w:cs="仿宋_GB2312"/>
          <w:spacing w:val="-8"/>
          <w:sz w:val="32"/>
          <w:szCs w:val="32"/>
        </w:rPr>
        <w:t>深入实施科技创新、质量提升、企业上市行动计划，先后完成港兴纸业、安达电气等</w:t>
      </w:r>
      <w:r>
        <w:rPr>
          <w:rFonts w:ascii="仿宋_GB2312" w:hAnsi="仿宋_GB2312" w:eastAsia="仿宋_GB2312" w:cs="仿宋_GB2312"/>
          <w:spacing w:val="-8"/>
          <w:sz w:val="32"/>
          <w:szCs w:val="32"/>
        </w:rPr>
        <w:t>31</w:t>
      </w:r>
      <w:r>
        <w:rPr>
          <w:rFonts w:hint="eastAsia" w:ascii="仿宋_GB2312" w:hAnsi="仿宋_GB2312" w:eastAsia="仿宋_GB2312" w:cs="仿宋_GB2312"/>
          <w:spacing w:val="-8"/>
          <w:sz w:val="32"/>
          <w:szCs w:val="32"/>
        </w:rPr>
        <w:t>项技改扩建项目，实现传统产业与新兴产业“两翼齐飞”。清华大学余热回收系统在满城设立院士站。不断深化“双创双服”和“放管服”改革，大力推进“互联网</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”政务服务，</w:t>
      </w:r>
      <w:r>
        <w:rPr>
          <w:rFonts w:ascii="仿宋_GB2312" w:hAnsi="仿宋_GB2312" w:eastAsia="仿宋_GB2312" w:cs="仿宋_GB2312"/>
          <w:spacing w:val="-8"/>
          <w:sz w:val="32"/>
          <w:szCs w:val="32"/>
        </w:rPr>
        <w:t>381</w:t>
      </w:r>
      <w:r>
        <w:rPr>
          <w:rFonts w:hint="eastAsia" w:ascii="仿宋_GB2312" w:hAnsi="仿宋_GB2312" w:eastAsia="仿宋_GB2312" w:cs="仿宋_GB2312"/>
          <w:spacing w:val="-8"/>
          <w:sz w:val="32"/>
          <w:szCs w:val="32"/>
        </w:rPr>
        <w:t>项政务服务事项实现网上办理，“亲”“清”新型政商关系加速构建。</w:t>
      </w:r>
    </w:p>
    <w:p>
      <w:pPr>
        <w:pStyle w:val="7"/>
        <w:spacing w:line="570" w:lineRule="exact"/>
        <w:ind w:firstLine="608" w:firstLineChars="200"/>
        <w:jc w:val="both"/>
        <w:rPr>
          <w:rFonts w:ascii="仿宋_GB2312" w:eastAsia="仿宋_GB2312" w:cs="仿宋_GB2312"/>
          <w:spacing w:val="-8"/>
          <w:sz w:val="32"/>
          <w:szCs w:val="32"/>
        </w:rPr>
      </w:pPr>
      <w:r>
        <w:rPr>
          <w:rFonts w:hint="eastAsia" w:ascii="楷体_GB2312" w:hAnsi="仿宋" w:eastAsia="楷体_GB2312" w:cs="仿宋"/>
          <w:bCs/>
          <w:spacing w:val="-8"/>
          <w:sz w:val="32"/>
          <w:szCs w:val="32"/>
        </w:rPr>
        <w:t>（五）城乡面貌焕然一新。</w:t>
      </w:r>
      <w:r>
        <w:rPr>
          <w:rFonts w:hint="eastAsia" w:ascii="仿宋_GB2312" w:eastAsia="仿宋_GB2312" w:cs="仿宋_GB2312"/>
          <w:spacing w:val="-8"/>
          <w:sz w:val="32"/>
          <w:szCs w:val="32"/>
        </w:rPr>
        <w:t>五年来，新型城镇化与城乡统筹发展取得显著成效。城镇化水平和质量明显提高，常住人口城镇化率达到</w:t>
      </w:r>
      <w:r>
        <w:rPr>
          <w:rFonts w:ascii="仿宋_GB2312" w:eastAsia="仿宋_GB2312" w:cs="仿宋_GB2312"/>
          <w:spacing w:val="-8"/>
          <w:sz w:val="32"/>
          <w:szCs w:val="32"/>
        </w:rPr>
        <w:t>55%</w:t>
      </w:r>
      <w:r>
        <w:rPr>
          <w:rFonts w:hint="eastAsia" w:ascii="仿宋_GB2312" w:eastAsia="仿宋_GB2312" w:cs="仿宋_GB2312"/>
          <w:spacing w:val="-8"/>
          <w:sz w:val="32"/>
          <w:szCs w:val="32"/>
        </w:rPr>
        <w:t>左右，农业转移人口市民化进程加快。县域经济不断壮大，城区面貌明显提升。城乡融合发展体制机制初步建立，基本打通城乡要素自由流动制度通道，稳步提高基本公共服务均等化水平，乡村振兴战略不断取得新成效，城乡发展和居民生活水平差距逐步缩小，居民生活幸福感、获得感明显提升。</w:t>
      </w:r>
      <w:r>
        <w:rPr>
          <w:rFonts w:hint="eastAsia" w:ascii="仿宋_GB2312" w:hAnsi="仿宋_GB2312" w:eastAsia="仿宋_GB2312" w:cs="仿宋_GB2312"/>
          <w:spacing w:val="-8"/>
          <w:sz w:val="32"/>
          <w:szCs w:val="32"/>
        </w:rPr>
        <w:t>借势承办全市旅发大会和实施雨污分流工程，新改扩建道路</w:t>
      </w:r>
      <w:r>
        <w:rPr>
          <w:rFonts w:ascii="仿宋_GB2312" w:hAnsi="仿宋_GB2312" w:eastAsia="仿宋_GB2312" w:cs="仿宋_GB2312"/>
          <w:spacing w:val="-8"/>
          <w:sz w:val="32"/>
          <w:szCs w:val="32"/>
        </w:rPr>
        <w:t>34</w:t>
      </w:r>
      <w:r>
        <w:rPr>
          <w:rFonts w:hint="eastAsia" w:ascii="仿宋_GB2312" w:hAnsi="仿宋_GB2312" w:eastAsia="仿宋_GB2312" w:cs="仿宋_GB2312"/>
          <w:spacing w:val="-8"/>
          <w:sz w:val="32"/>
          <w:szCs w:val="32"/>
        </w:rPr>
        <w:t>条，共计</w:t>
      </w:r>
      <w:r>
        <w:rPr>
          <w:rFonts w:ascii="仿宋_GB2312" w:hAnsi="仿宋_GB2312" w:eastAsia="仿宋_GB2312" w:cs="仿宋_GB2312"/>
          <w:spacing w:val="-8"/>
          <w:sz w:val="32"/>
          <w:szCs w:val="32"/>
        </w:rPr>
        <w:t>162</w:t>
      </w:r>
      <w:r>
        <w:rPr>
          <w:rFonts w:hint="eastAsia" w:ascii="仿宋_GB2312" w:hAnsi="仿宋_GB2312" w:eastAsia="仿宋_GB2312" w:cs="仿宋_GB2312"/>
          <w:spacing w:val="-8"/>
          <w:sz w:val="32"/>
          <w:szCs w:val="32"/>
        </w:rPr>
        <w:t>公里，宏昌大街南延、复兴路西延、柿子沟旅游路、秀兰大道等交通主干路网建成通车。保涞路、京赞线、满于西线、中山路等道路再焕新颜。占地超</w:t>
      </w:r>
      <w:r>
        <w:rPr>
          <w:rFonts w:ascii="仿宋_GB2312" w:hAnsi="仿宋_GB2312" w:eastAsia="仿宋_GB2312" w:cs="仿宋_GB2312"/>
          <w:spacing w:val="-8"/>
          <w:sz w:val="32"/>
          <w:szCs w:val="32"/>
        </w:rPr>
        <w:t>500</w:t>
      </w:r>
      <w:r>
        <w:rPr>
          <w:rFonts w:hint="eastAsia" w:ascii="仿宋_GB2312" w:hAnsi="仿宋_GB2312" w:eastAsia="仿宋_GB2312" w:cs="仿宋_GB2312"/>
          <w:spacing w:val="-8"/>
          <w:sz w:val="32"/>
          <w:szCs w:val="32"/>
        </w:rPr>
        <w:t>亩的复兴公园、长信公园建成开放，惠友城市综合体项目投入使用，提升了城市品位。城区雨污分流、供水管网“南延北伸”等一批补短板工程圆满完成。新增绿色停车位</w:t>
      </w:r>
      <w:r>
        <w:rPr>
          <w:rFonts w:ascii="仿宋_GB2312" w:hAnsi="仿宋_GB2312" w:eastAsia="仿宋_GB2312" w:cs="仿宋_GB2312"/>
          <w:spacing w:val="-8"/>
          <w:sz w:val="32"/>
          <w:szCs w:val="32"/>
        </w:rPr>
        <w:t>2500</w:t>
      </w:r>
      <w:r>
        <w:rPr>
          <w:rFonts w:hint="eastAsia" w:ascii="仿宋_GB2312" w:hAnsi="仿宋_GB2312" w:eastAsia="仿宋_GB2312" w:cs="仿宋_GB2312"/>
          <w:spacing w:val="-8"/>
          <w:sz w:val="32"/>
          <w:szCs w:val="32"/>
        </w:rPr>
        <w:t>余个、惠民微市场</w:t>
      </w:r>
      <w:r>
        <w:rPr>
          <w:rFonts w:ascii="仿宋_GB2312" w:hAnsi="仿宋_GB2312" w:eastAsia="仿宋_GB2312" w:cs="仿宋_GB2312"/>
          <w:spacing w:val="-8"/>
          <w:sz w:val="32"/>
          <w:szCs w:val="32"/>
        </w:rPr>
        <w:t>4</w:t>
      </w:r>
      <w:r>
        <w:rPr>
          <w:rFonts w:hint="eastAsia" w:ascii="仿宋_GB2312" w:hAnsi="仿宋_GB2312" w:eastAsia="仿宋_GB2312" w:cs="仿宋_GB2312"/>
          <w:spacing w:val="-8"/>
          <w:sz w:val="32"/>
          <w:szCs w:val="32"/>
        </w:rPr>
        <w:t>处，城市品质大幅提升。持续开展“双违”和“一区三边”专项整治，五年来依法拆除违章建筑</w:t>
      </w:r>
      <w:r>
        <w:rPr>
          <w:rFonts w:ascii="仿宋_GB2312" w:hAnsi="仿宋_GB2312" w:eastAsia="仿宋_GB2312" w:cs="仿宋_GB2312"/>
          <w:spacing w:val="-8"/>
          <w:sz w:val="32"/>
          <w:szCs w:val="32"/>
        </w:rPr>
        <w:t>48.7</w:t>
      </w:r>
      <w:r>
        <w:rPr>
          <w:rFonts w:hint="eastAsia" w:ascii="仿宋_GB2312" w:hAnsi="仿宋_GB2312" w:eastAsia="仿宋_GB2312" w:cs="仿宋_GB2312"/>
          <w:spacing w:val="-8"/>
          <w:sz w:val="32"/>
          <w:szCs w:val="32"/>
        </w:rPr>
        <w:t>万平方米，清理各类违章广告牌匾</w:t>
      </w:r>
      <w:r>
        <w:rPr>
          <w:rFonts w:ascii="仿宋_GB2312" w:hAnsi="仿宋_GB2312" w:eastAsia="仿宋_GB2312" w:cs="仿宋_GB2312"/>
          <w:spacing w:val="-8"/>
          <w:sz w:val="32"/>
          <w:szCs w:val="32"/>
        </w:rPr>
        <w:t>2280</w:t>
      </w:r>
      <w:r>
        <w:rPr>
          <w:rFonts w:hint="eastAsia" w:ascii="仿宋_GB2312" w:hAnsi="仿宋_GB2312" w:eastAsia="仿宋_GB2312" w:cs="仿宋_GB2312"/>
          <w:spacing w:val="-8"/>
          <w:sz w:val="32"/>
          <w:szCs w:val="32"/>
        </w:rPr>
        <w:t>块，成为全市第一个无塔牌城区，全视域美感全面提升。高标准承办了保定市</w:t>
      </w:r>
      <w:r>
        <w:rPr>
          <w:rFonts w:hint="eastAsia" w:ascii="仿宋_GB2312" w:eastAsia="仿宋_GB2312" w:cs="仿宋_GB2312"/>
          <w:spacing w:val="-8"/>
          <w:sz w:val="32"/>
          <w:szCs w:val="32"/>
        </w:rPr>
        <w:t>第二届旅发大会，高质量完成了总投资</w:t>
      </w:r>
      <w:r>
        <w:rPr>
          <w:rFonts w:ascii="仿宋_GB2312" w:eastAsia="仿宋_GB2312" w:cs="仿宋_GB2312"/>
          <w:spacing w:val="-8"/>
          <w:sz w:val="32"/>
          <w:szCs w:val="32"/>
        </w:rPr>
        <w:t>36</w:t>
      </w:r>
      <w:r>
        <w:rPr>
          <w:rFonts w:hint="eastAsia" w:ascii="仿宋_GB2312" w:eastAsia="仿宋_GB2312" w:cs="仿宋_GB2312"/>
          <w:spacing w:val="-8"/>
          <w:sz w:val="32"/>
          <w:szCs w:val="32"/>
        </w:rPr>
        <w:t>亿元的“一环九路七节点”，共</w:t>
      </w:r>
      <w:r>
        <w:rPr>
          <w:rFonts w:ascii="仿宋_GB2312" w:eastAsia="仿宋_GB2312" w:cs="仿宋_GB2312"/>
          <w:spacing w:val="-8"/>
          <w:sz w:val="32"/>
          <w:szCs w:val="32"/>
        </w:rPr>
        <w:t>13</w:t>
      </w:r>
      <w:r>
        <w:rPr>
          <w:rFonts w:hint="eastAsia" w:ascii="仿宋_GB2312" w:eastAsia="仿宋_GB2312" w:cs="仿宋_GB2312"/>
          <w:spacing w:val="-8"/>
          <w:sz w:val="32"/>
          <w:szCs w:val="32"/>
        </w:rPr>
        <w:t>类</w:t>
      </w:r>
      <w:r>
        <w:rPr>
          <w:rFonts w:ascii="仿宋_GB2312" w:eastAsia="仿宋_GB2312" w:cs="仿宋_GB2312"/>
          <w:spacing w:val="-8"/>
          <w:sz w:val="32"/>
          <w:szCs w:val="32"/>
        </w:rPr>
        <w:t>76</w:t>
      </w:r>
      <w:r>
        <w:rPr>
          <w:rFonts w:hint="eastAsia" w:ascii="仿宋_GB2312" w:eastAsia="仿宋_GB2312" w:cs="仿宋_GB2312"/>
          <w:spacing w:val="-8"/>
          <w:sz w:val="32"/>
          <w:szCs w:val="32"/>
        </w:rPr>
        <w:t>个旅发项目。</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生活垃圾焚烧发电厂点火调试，飞灰填埋场投入使用，城乡垃圾出口问题得到有效疏通。开通了未央广场至保定客运中心的</w:t>
      </w:r>
      <w:r>
        <w:rPr>
          <w:rFonts w:ascii="仿宋_GB2312" w:eastAsia="仿宋_GB2312" w:cs="仿宋_GB2312"/>
          <w:spacing w:val="-8"/>
          <w:sz w:val="32"/>
          <w:szCs w:val="32"/>
        </w:rPr>
        <w:t>15</w:t>
      </w:r>
      <w:r>
        <w:rPr>
          <w:rFonts w:hint="eastAsia" w:ascii="仿宋_GB2312" w:eastAsia="仿宋_GB2312" w:cs="仿宋_GB2312"/>
          <w:spacing w:val="-8"/>
          <w:sz w:val="32"/>
          <w:szCs w:val="32"/>
        </w:rPr>
        <w:t>路、</w:t>
      </w:r>
      <w:r>
        <w:rPr>
          <w:rFonts w:ascii="仿宋_GB2312" w:eastAsia="仿宋_GB2312" w:cs="仿宋_GB2312"/>
          <w:spacing w:val="-8"/>
          <w:sz w:val="32"/>
          <w:szCs w:val="32"/>
        </w:rPr>
        <w:t>13</w:t>
      </w:r>
      <w:r>
        <w:rPr>
          <w:rFonts w:hint="eastAsia" w:ascii="仿宋_GB2312" w:eastAsia="仿宋_GB2312" w:cs="仿宋_GB2312"/>
          <w:spacing w:val="-8"/>
          <w:sz w:val="32"/>
          <w:szCs w:val="32"/>
        </w:rPr>
        <w:t>路、</w:t>
      </w:r>
      <w:r>
        <w:rPr>
          <w:rFonts w:ascii="仿宋_GB2312" w:eastAsia="仿宋_GB2312" w:cs="仿宋_GB2312"/>
          <w:spacing w:val="-8"/>
          <w:sz w:val="32"/>
          <w:szCs w:val="32"/>
        </w:rPr>
        <w:t>10</w:t>
      </w:r>
      <w:r>
        <w:rPr>
          <w:rFonts w:hint="eastAsia" w:ascii="仿宋_GB2312" w:eastAsia="仿宋_GB2312" w:cs="仿宋_GB2312"/>
          <w:spacing w:val="-8"/>
          <w:sz w:val="32"/>
          <w:szCs w:val="32"/>
        </w:rPr>
        <w:t>路和新兴产业园至保定火车站西广场的</w:t>
      </w:r>
      <w:r>
        <w:rPr>
          <w:rFonts w:ascii="仿宋_GB2312" w:eastAsia="仿宋_GB2312" w:cs="仿宋_GB2312"/>
          <w:spacing w:val="-8"/>
          <w:sz w:val="32"/>
          <w:szCs w:val="32"/>
        </w:rPr>
        <w:t>106</w:t>
      </w:r>
      <w:r>
        <w:rPr>
          <w:rFonts w:hint="eastAsia" w:ascii="仿宋_GB2312" w:eastAsia="仿宋_GB2312" w:cs="仿宋_GB2312"/>
          <w:spacing w:val="-8"/>
          <w:sz w:val="32"/>
          <w:szCs w:val="32"/>
        </w:rPr>
        <w:t>路公交车路线，实现公交线路与主城区干线道路和重要交通枢纽联网，保定市和满城区出租车实现同城化，方便了群众出行。</w:t>
      </w:r>
    </w:p>
    <w:p>
      <w:pPr>
        <w:pStyle w:val="19"/>
        <w:spacing w:line="570" w:lineRule="exact"/>
        <w:ind w:left="0" w:leftChars="0" w:firstLine="608" w:firstLineChars="200"/>
        <w:rPr>
          <w:rFonts w:eastAsia="仿宋_GB2312"/>
        </w:rPr>
      </w:pPr>
      <w:r>
        <w:rPr>
          <w:rFonts w:hint="eastAsia" w:ascii="仿宋_GB2312" w:eastAsia="仿宋_GB2312" w:cs="仿宋_GB2312"/>
          <w:spacing w:val="-8"/>
          <w:sz w:val="32"/>
          <w:szCs w:val="32"/>
        </w:rPr>
        <w:t>农村人居环境整治行动圆满收官，累计完成</w:t>
      </w:r>
      <w:r>
        <w:rPr>
          <w:rFonts w:ascii="仿宋_GB2312" w:eastAsia="仿宋_GB2312" w:cs="仿宋_GB2312"/>
          <w:spacing w:val="-8"/>
          <w:sz w:val="32"/>
          <w:szCs w:val="32"/>
        </w:rPr>
        <w:t>45</w:t>
      </w:r>
      <w:r>
        <w:rPr>
          <w:rFonts w:hint="eastAsia" w:ascii="仿宋_GB2312" w:eastAsia="仿宋_GB2312" w:cs="仿宋_GB2312"/>
          <w:spacing w:val="-8"/>
          <w:sz w:val="32"/>
          <w:szCs w:val="32"/>
        </w:rPr>
        <w:t>个村庄生活污水治理，</w:t>
      </w:r>
      <w:r>
        <w:rPr>
          <w:rFonts w:ascii="仿宋_GB2312" w:eastAsia="仿宋_GB2312" w:cs="仿宋_GB2312"/>
          <w:spacing w:val="-8"/>
          <w:sz w:val="32"/>
          <w:szCs w:val="32"/>
        </w:rPr>
        <w:t>123</w:t>
      </w:r>
      <w:r>
        <w:rPr>
          <w:rFonts w:hint="eastAsia" w:ascii="仿宋_GB2312" w:eastAsia="仿宋_GB2312" w:cs="仿宋_GB2312"/>
          <w:spacing w:val="-8"/>
          <w:sz w:val="32"/>
          <w:szCs w:val="32"/>
        </w:rPr>
        <w:t>个村庄亮化工程，改造厕所</w:t>
      </w:r>
      <w:r>
        <w:rPr>
          <w:rFonts w:ascii="仿宋_GB2312" w:eastAsia="仿宋_GB2312" w:cs="仿宋_GB2312"/>
          <w:spacing w:val="-8"/>
          <w:sz w:val="32"/>
          <w:szCs w:val="32"/>
        </w:rPr>
        <w:t>1.4</w:t>
      </w:r>
      <w:r>
        <w:rPr>
          <w:rFonts w:hint="eastAsia" w:ascii="仿宋_GB2312" w:eastAsia="仿宋_GB2312" w:cs="仿宋_GB2312"/>
          <w:spacing w:val="-8"/>
          <w:sz w:val="32"/>
          <w:szCs w:val="32"/>
        </w:rPr>
        <w:t>万余座。持续推进农村</w:t>
      </w:r>
      <w:r>
        <w:rPr>
          <w:rFonts w:hint="eastAsia" w:ascii="仿宋_GB2312" w:eastAsia="仿宋_GB2312" w:cs="仿宋_GB2312"/>
          <w:spacing w:val="-8"/>
          <w:sz w:val="32"/>
          <w:szCs w:val="32"/>
          <w:lang w:eastAsia="zh-CN"/>
        </w:rPr>
        <w:t>基础设施</w:t>
      </w:r>
      <w:r>
        <w:rPr>
          <w:rFonts w:hint="eastAsia" w:ascii="仿宋_GB2312" w:eastAsia="仿宋_GB2312" w:cs="仿宋_GB2312"/>
          <w:spacing w:val="-8"/>
          <w:sz w:val="32"/>
          <w:szCs w:val="32"/>
        </w:rPr>
        <w:t>提档升级，建成“四好农村公路”</w:t>
      </w:r>
      <w:r>
        <w:rPr>
          <w:rFonts w:ascii="仿宋_GB2312" w:eastAsia="仿宋_GB2312" w:cs="仿宋_GB2312"/>
          <w:spacing w:val="-8"/>
          <w:sz w:val="32"/>
          <w:szCs w:val="32"/>
        </w:rPr>
        <w:t>96</w:t>
      </w:r>
      <w:r>
        <w:rPr>
          <w:rFonts w:hint="eastAsia" w:ascii="仿宋_GB2312" w:eastAsia="仿宋_GB2312" w:cs="仿宋_GB2312"/>
          <w:spacing w:val="-8"/>
          <w:sz w:val="32"/>
          <w:szCs w:val="32"/>
        </w:rPr>
        <w:t>公里，改造农村危房</w:t>
      </w:r>
      <w:r>
        <w:rPr>
          <w:rFonts w:ascii="仿宋_GB2312" w:eastAsia="仿宋_GB2312" w:cs="仿宋_GB2312"/>
          <w:spacing w:val="-8"/>
          <w:sz w:val="32"/>
          <w:szCs w:val="32"/>
        </w:rPr>
        <w:t>843</w:t>
      </w:r>
      <w:r>
        <w:rPr>
          <w:rFonts w:hint="eastAsia" w:ascii="仿宋_GB2312" w:eastAsia="仿宋_GB2312" w:cs="仿宋_GB2312"/>
          <w:spacing w:val="-8"/>
          <w:sz w:val="32"/>
          <w:szCs w:val="32"/>
        </w:rPr>
        <w:t>户，全部行政村实现自来水和光纤宽带全覆盖。农村集体产权制度改革全面完成，农村土地确权登记颁证加快收尾，“房地一体”确权登记有序推进，乡村活力持续释放。</w:t>
      </w:r>
    </w:p>
    <w:p>
      <w:pPr>
        <w:pStyle w:val="7"/>
        <w:spacing w:line="570" w:lineRule="exact"/>
        <w:ind w:firstLine="608" w:firstLineChars="200"/>
        <w:jc w:val="both"/>
        <w:rPr>
          <w:rFonts w:ascii="仿宋_GB2312" w:eastAsia="仿宋_GB2312" w:cs="仿宋_GB2312"/>
          <w:spacing w:val="-8"/>
          <w:sz w:val="32"/>
          <w:szCs w:val="32"/>
        </w:rPr>
      </w:pPr>
      <w:r>
        <w:rPr>
          <w:rFonts w:hint="eastAsia" w:ascii="楷体_GB2312" w:hAnsi="仿宋" w:eastAsia="楷体_GB2312" w:cs="仿宋"/>
          <w:bCs/>
          <w:spacing w:val="-8"/>
          <w:sz w:val="32"/>
          <w:szCs w:val="32"/>
        </w:rPr>
        <w:t>（六）生态文明逐步改善。</w:t>
      </w:r>
      <w:r>
        <w:rPr>
          <w:rFonts w:hint="eastAsia" w:ascii="仿宋_GB2312" w:eastAsia="仿宋_GB2312" w:cs="仿宋_GB2312"/>
          <w:spacing w:val="-8"/>
          <w:sz w:val="32"/>
          <w:szCs w:val="32"/>
        </w:rPr>
        <w:t>五年来，绿色发展理念深入贯彻落实，散煤、扬尘、油品、散乱污企业治理专项攻坚行动深入实施，</w:t>
      </w:r>
      <w:r>
        <w:rPr>
          <w:rFonts w:hint="eastAsia" w:ascii="仿宋_GB2312" w:hAnsi="仿宋_GB2312" w:eastAsia="仿宋_GB2312" w:cs="仿宋_GB2312"/>
          <w:spacing w:val="-8"/>
          <w:sz w:val="32"/>
          <w:szCs w:val="32"/>
        </w:rPr>
        <w:t>减排目标如期实现。累计完成矿山修复治理多处，京昆高速两侧</w:t>
      </w:r>
      <w:r>
        <w:rPr>
          <w:rFonts w:ascii="仿宋_GB2312" w:hAnsi="仿宋_GB2312" w:eastAsia="仿宋_GB2312" w:cs="仿宋_GB2312"/>
          <w:spacing w:val="-8"/>
          <w:sz w:val="32"/>
          <w:szCs w:val="32"/>
        </w:rPr>
        <w:t>5</w:t>
      </w:r>
      <w:r>
        <w:rPr>
          <w:rFonts w:hint="eastAsia" w:ascii="仿宋_GB2312" w:hAnsi="仿宋_GB2312" w:eastAsia="仿宋_GB2312" w:cs="仿宋_GB2312"/>
          <w:spacing w:val="-8"/>
          <w:sz w:val="32"/>
          <w:szCs w:val="32"/>
        </w:rPr>
        <w:t>处“白茬山”治理项目提前进场施工，天蓝地绿、山清水秀的生态环境加速形成。平原地区气代煤改造基本完成。散乱污企业和</w:t>
      </w:r>
      <w:r>
        <w:rPr>
          <w:rFonts w:ascii="仿宋_GB2312" w:hAnsi="仿宋_GB2312" w:eastAsia="仿宋_GB2312" w:cs="仿宋_GB2312"/>
          <w:spacing w:val="-8"/>
          <w:sz w:val="32"/>
          <w:szCs w:val="32"/>
        </w:rPr>
        <w:t>35</w:t>
      </w:r>
      <w:r>
        <w:rPr>
          <w:rFonts w:hint="eastAsia" w:ascii="仿宋_GB2312" w:hAnsi="仿宋_GB2312" w:eastAsia="仿宋_GB2312" w:cs="仿宋_GB2312"/>
          <w:spacing w:val="-8"/>
          <w:sz w:val="32"/>
          <w:szCs w:val="32"/>
        </w:rPr>
        <w:t>蒸吨及以下燃煤锅炉实现“双清零”。长青热电、深能热电、唐盛热力落成供热。全区环境空气质量综合指数、</w:t>
      </w:r>
      <w:r>
        <w:rPr>
          <w:rFonts w:ascii="仿宋_GB2312" w:hAnsi="仿宋_GB2312" w:eastAsia="仿宋_GB2312" w:cs="仿宋_GB2312"/>
          <w:spacing w:val="-8"/>
          <w:sz w:val="32"/>
          <w:szCs w:val="32"/>
        </w:rPr>
        <w:t>PM2.5</w:t>
      </w:r>
      <w:r>
        <w:rPr>
          <w:rFonts w:hint="eastAsia" w:ascii="仿宋_GB2312" w:hAnsi="仿宋_GB2312" w:eastAsia="仿宋_GB2312" w:cs="仿宋_GB2312"/>
          <w:spacing w:val="-8"/>
          <w:sz w:val="32"/>
          <w:szCs w:val="32"/>
        </w:rPr>
        <w:t>年均浓度较</w:t>
      </w:r>
      <w:r>
        <w:rPr>
          <w:rFonts w:ascii="仿宋_GB2312" w:hAnsi="仿宋_GB2312" w:eastAsia="仿宋_GB2312" w:cs="仿宋_GB2312"/>
          <w:spacing w:val="-8"/>
          <w:sz w:val="32"/>
          <w:szCs w:val="32"/>
        </w:rPr>
        <w:t>2015</w:t>
      </w:r>
      <w:r>
        <w:rPr>
          <w:rFonts w:hint="eastAsia" w:ascii="仿宋_GB2312" w:hAnsi="仿宋_GB2312" w:eastAsia="仿宋_GB2312" w:cs="仿宋_GB2312"/>
          <w:spacing w:val="-8"/>
          <w:sz w:val="32"/>
          <w:szCs w:val="32"/>
        </w:rPr>
        <w:t>年分别下降</w:t>
      </w:r>
      <w:r>
        <w:rPr>
          <w:rFonts w:ascii="仿宋_GB2312" w:hAnsi="仿宋_GB2312" w:eastAsia="仿宋_GB2312" w:cs="仿宋_GB2312"/>
          <w:spacing w:val="-8"/>
          <w:sz w:val="32"/>
          <w:szCs w:val="32"/>
        </w:rPr>
        <w:t>47.94%</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58.5%</w:t>
      </w:r>
      <w:r>
        <w:rPr>
          <w:rFonts w:hint="eastAsia" w:ascii="仿宋_GB2312" w:hAnsi="仿宋_GB2312" w:eastAsia="仿宋_GB2312" w:cs="仿宋_GB2312"/>
          <w:spacing w:val="-8"/>
          <w:sz w:val="32"/>
          <w:szCs w:val="32"/>
        </w:rPr>
        <w:t>，全年空气质量优良天数增加一倍以上，蓝天白云成为新常态。</w:t>
      </w:r>
      <w:r>
        <w:rPr>
          <w:rFonts w:hint="eastAsia" w:ascii="仿宋_GB2312" w:eastAsia="仿宋_GB2312" w:cs="仿宋_GB2312"/>
          <w:spacing w:val="-8"/>
          <w:sz w:val="32"/>
          <w:szCs w:val="32"/>
        </w:rPr>
        <w:t>“十三五”期间，单位生产总值能耗降低率为</w:t>
      </w:r>
      <w:r>
        <w:rPr>
          <w:rFonts w:ascii="仿宋_GB2312" w:eastAsia="仿宋_GB2312" w:cs="仿宋_GB2312"/>
          <w:spacing w:val="-8"/>
          <w:sz w:val="32"/>
          <w:szCs w:val="32"/>
        </w:rPr>
        <w:t>20.66%</w:t>
      </w:r>
      <w:r>
        <w:rPr>
          <w:rFonts w:hint="eastAsia" w:ascii="仿宋_GB2312" w:eastAsia="仿宋_GB2312" w:cs="仿宋_GB2312"/>
          <w:spacing w:val="-8"/>
          <w:sz w:val="32"/>
          <w:szCs w:val="32"/>
        </w:rPr>
        <w:t>，完成了市定</w:t>
      </w:r>
      <w:r>
        <w:rPr>
          <w:rFonts w:ascii="仿宋_GB2312" w:eastAsia="仿宋_GB2312" w:cs="仿宋_GB2312"/>
          <w:spacing w:val="-8"/>
          <w:sz w:val="32"/>
          <w:szCs w:val="32"/>
        </w:rPr>
        <w:t>18%</w:t>
      </w:r>
      <w:r>
        <w:rPr>
          <w:rFonts w:hint="eastAsia" w:ascii="仿宋_GB2312" w:eastAsia="仿宋_GB2312" w:cs="仿宋_GB2312"/>
          <w:spacing w:val="-8"/>
          <w:sz w:val="32"/>
          <w:szCs w:val="32"/>
        </w:rPr>
        <w:t>的目标；</w:t>
      </w:r>
      <w:r>
        <w:rPr>
          <w:rFonts w:ascii="仿宋_GB2312" w:eastAsia="仿宋_GB2312" w:cs="仿宋_GB2312"/>
          <w:spacing w:val="-8"/>
          <w:sz w:val="32"/>
          <w:szCs w:val="32"/>
        </w:rPr>
        <w:t>PM2.5</w:t>
      </w:r>
      <w:r>
        <w:rPr>
          <w:rFonts w:hint="eastAsia" w:ascii="仿宋_GB2312" w:eastAsia="仿宋_GB2312" w:cs="仿宋_GB2312"/>
          <w:spacing w:val="-8"/>
          <w:sz w:val="32"/>
          <w:szCs w:val="32"/>
        </w:rPr>
        <w:t>平均浓度</w:t>
      </w:r>
      <w:r>
        <w:rPr>
          <w:rFonts w:ascii="仿宋_GB2312" w:eastAsia="仿宋_GB2312" w:cs="仿宋_GB2312"/>
          <w:spacing w:val="-8"/>
          <w:sz w:val="32"/>
          <w:szCs w:val="32"/>
        </w:rPr>
        <w:t>51</w:t>
      </w:r>
      <w:r>
        <w:rPr>
          <w:rFonts w:hint="eastAsia" w:ascii="仿宋_GB2312" w:eastAsia="仿宋_GB2312" w:cs="仿宋_GB2312"/>
          <w:spacing w:val="-8"/>
          <w:sz w:val="32"/>
          <w:szCs w:val="32"/>
        </w:rPr>
        <w:t>微克</w:t>
      </w:r>
      <w:r>
        <w:rPr>
          <w:rFonts w:ascii="仿宋_GB2312" w:eastAsia="仿宋_GB2312" w:cs="仿宋_GB2312"/>
          <w:spacing w:val="-8"/>
          <w:sz w:val="32"/>
          <w:szCs w:val="32"/>
        </w:rPr>
        <w:t>/</w:t>
      </w:r>
      <w:r>
        <w:rPr>
          <w:rFonts w:hint="eastAsia" w:ascii="仿宋_GB2312" w:eastAsia="仿宋_GB2312" w:cs="仿宋_GB2312"/>
          <w:spacing w:val="-8"/>
          <w:sz w:val="32"/>
          <w:szCs w:val="32"/>
        </w:rPr>
        <w:t>立方米，完成了市定</w:t>
      </w:r>
      <w:r>
        <w:rPr>
          <w:rFonts w:ascii="仿宋_GB2312" w:eastAsia="仿宋_GB2312" w:cs="仿宋_GB2312"/>
          <w:spacing w:val="-8"/>
          <w:sz w:val="32"/>
          <w:szCs w:val="32"/>
        </w:rPr>
        <w:t>56</w:t>
      </w:r>
      <w:r>
        <w:rPr>
          <w:rFonts w:hint="eastAsia" w:ascii="仿宋_GB2312" w:eastAsia="仿宋_GB2312" w:cs="仿宋_GB2312"/>
          <w:spacing w:val="-8"/>
          <w:sz w:val="32"/>
          <w:szCs w:val="32"/>
        </w:rPr>
        <w:t>微克</w:t>
      </w:r>
      <w:r>
        <w:rPr>
          <w:rFonts w:ascii="仿宋_GB2312" w:eastAsia="仿宋_GB2312" w:cs="仿宋_GB2312"/>
          <w:spacing w:val="-8"/>
          <w:sz w:val="32"/>
          <w:szCs w:val="32"/>
        </w:rPr>
        <w:t>/</w:t>
      </w:r>
      <w:r>
        <w:rPr>
          <w:rFonts w:hint="eastAsia" w:ascii="仿宋_GB2312" w:eastAsia="仿宋_GB2312" w:cs="仿宋_GB2312"/>
          <w:spacing w:val="-8"/>
          <w:sz w:val="32"/>
          <w:szCs w:val="32"/>
        </w:rPr>
        <w:t>立方米的目标；优良天数比率为</w:t>
      </w:r>
      <w:r>
        <w:rPr>
          <w:rFonts w:ascii="仿宋_GB2312" w:eastAsia="仿宋_GB2312" w:cs="仿宋_GB2312"/>
          <w:spacing w:val="-8"/>
          <w:sz w:val="32"/>
          <w:szCs w:val="32"/>
        </w:rPr>
        <w:t>59.8%</w:t>
      </w:r>
      <w:r>
        <w:rPr>
          <w:rFonts w:hint="eastAsia" w:ascii="仿宋_GB2312" w:eastAsia="仿宋_GB2312" w:cs="仿宋_GB2312"/>
          <w:spacing w:val="-8"/>
          <w:sz w:val="32"/>
          <w:szCs w:val="32"/>
        </w:rPr>
        <w:t>，完成市定任务目标</w:t>
      </w:r>
      <w:r>
        <w:rPr>
          <w:rFonts w:ascii="仿宋_GB2312" w:eastAsia="仿宋_GB2312" w:cs="仿宋_GB2312"/>
          <w:spacing w:val="-8"/>
          <w:sz w:val="32"/>
          <w:szCs w:val="32"/>
        </w:rPr>
        <w:t>53.3%</w:t>
      </w:r>
      <w:r>
        <w:rPr>
          <w:rFonts w:hint="eastAsia" w:ascii="仿宋_GB2312" w:eastAsia="仿宋_GB2312" w:cs="仿宋_GB2312"/>
          <w:spacing w:val="-8"/>
          <w:sz w:val="32"/>
          <w:szCs w:val="32"/>
        </w:rPr>
        <w:t>，创近年来最好成绩。地表水环境质量达到近年来最好水平，主要河流入淀水质全部达到了Ⅳ类，城区集中式饮用水源地水质达到或优于Ⅲ类水体比例为</w:t>
      </w:r>
      <w:r>
        <w:rPr>
          <w:rFonts w:ascii="仿宋_GB2312" w:eastAsia="仿宋_GB2312" w:cs="仿宋_GB2312"/>
          <w:spacing w:val="-8"/>
          <w:sz w:val="32"/>
          <w:szCs w:val="32"/>
        </w:rPr>
        <w:t>100%</w:t>
      </w:r>
      <w:r>
        <w:rPr>
          <w:rFonts w:hint="eastAsia" w:ascii="仿宋_GB2312" w:eastAsia="仿宋_GB2312" w:cs="仿宋_GB2312"/>
          <w:spacing w:val="-8"/>
          <w:sz w:val="32"/>
          <w:szCs w:val="32"/>
        </w:rPr>
        <w:t>，饮用水水源地水质稳定达标。持续加强国土空间绿化，</w:t>
      </w:r>
      <w:r>
        <w:rPr>
          <w:rFonts w:ascii="仿宋_GB2312" w:eastAsia="仿宋_GB2312" w:cs="仿宋_GB2312"/>
          <w:spacing w:val="-8"/>
          <w:sz w:val="32"/>
          <w:szCs w:val="32"/>
        </w:rPr>
        <w:t>2020</w:t>
      </w:r>
      <w:r>
        <w:rPr>
          <w:rFonts w:hint="eastAsia" w:ascii="仿宋_GB2312" w:eastAsia="仿宋_GB2312" w:cs="仿宋_GB2312"/>
          <w:spacing w:val="-8"/>
          <w:sz w:val="32"/>
          <w:szCs w:val="32"/>
        </w:rPr>
        <w:t>年，区绿地面积达到</w:t>
      </w:r>
      <w:r>
        <w:rPr>
          <w:rFonts w:ascii="仿宋_GB2312" w:eastAsia="仿宋_GB2312" w:cs="仿宋_GB2312"/>
          <w:spacing w:val="-8"/>
          <w:sz w:val="32"/>
          <w:szCs w:val="32"/>
        </w:rPr>
        <w:t>621</w:t>
      </w:r>
      <w:r>
        <w:rPr>
          <w:rFonts w:hint="eastAsia" w:ascii="仿宋_GB2312" w:eastAsia="仿宋_GB2312" w:cs="仿宋_GB2312"/>
          <w:spacing w:val="-8"/>
          <w:sz w:val="32"/>
          <w:szCs w:val="32"/>
        </w:rPr>
        <w:t>公顷，比</w:t>
      </w:r>
      <w:r>
        <w:rPr>
          <w:rFonts w:ascii="仿宋_GB2312" w:eastAsia="仿宋_GB2312" w:cs="仿宋_GB2312"/>
          <w:spacing w:val="-8"/>
          <w:sz w:val="32"/>
          <w:szCs w:val="32"/>
        </w:rPr>
        <w:t>2015</w:t>
      </w:r>
      <w:r>
        <w:rPr>
          <w:rFonts w:hint="eastAsia" w:ascii="仿宋_GB2312" w:eastAsia="仿宋_GB2312" w:cs="仿宋_GB2312"/>
          <w:spacing w:val="-8"/>
          <w:sz w:val="32"/>
          <w:szCs w:val="32"/>
        </w:rPr>
        <w:t>年新增</w:t>
      </w:r>
      <w:r>
        <w:rPr>
          <w:rFonts w:ascii="仿宋_GB2312" w:eastAsia="仿宋_GB2312" w:cs="仿宋_GB2312"/>
          <w:spacing w:val="-8"/>
          <w:sz w:val="32"/>
          <w:szCs w:val="32"/>
        </w:rPr>
        <w:t>81.3</w:t>
      </w:r>
      <w:r>
        <w:rPr>
          <w:rFonts w:hint="eastAsia" w:ascii="仿宋_GB2312" w:eastAsia="仿宋_GB2312" w:cs="仿宋_GB2312"/>
          <w:spacing w:val="-8"/>
          <w:sz w:val="32"/>
          <w:szCs w:val="32"/>
        </w:rPr>
        <w:t>公顷；公园绿地面积增至</w:t>
      </w:r>
      <w:r>
        <w:rPr>
          <w:rFonts w:ascii="仿宋_GB2312" w:eastAsia="仿宋_GB2312" w:cs="仿宋_GB2312"/>
          <w:spacing w:val="-8"/>
          <w:sz w:val="32"/>
          <w:szCs w:val="32"/>
        </w:rPr>
        <w:t>122.21</w:t>
      </w:r>
      <w:r>
        <w:rPr>
          <w:rFonts w:hint="eastAsia" w:ascii="仿宋_GB2312" w:eastAsia="仿宋_GB2312" w:cs="仿宋_GB2312"/>
          <w:spacing w:val="-8"/>
          <w:sz w:val="32"/>
          <w:szCs w:val="32"/>
        </w:rPr>
        <w:t>公顷；绿地率、绿化覆盖率和人均公园绿地面积分别达到</w:t>
      </w:r>
      <w:r>
        <w:rPr>
          <w:rFonts w:ascii="仿宋_GB2312" w:eastAsia="仿宋_GB2312" w:cs="仿宋_GB2312"/>
          <w:spacing w:val="-8"/>
          <w:sz w:val="32"/>
          <w:szCs w:val="32"/>
        </w:rPr>
        <w:t>43.1%</w:t>
      </w:r>
      <w:r>
        <w:rPr>
          <w:rFonts w:hint="eastAsia" w:ascii="仿宋_GB2312" w:eastAsia="仿宋_GB2312" w:cs="仿宋_GB2312"/>
          <w:spacing w:val="-8"/>
          <w:sz w:val="32"/>
          <w:szCs w:val="32"/>
        </w:rPr>
        <w:t>、</w:t>
      </w:r>
      <w:r>
        <w:rPr>
          <w:rFonts w:ascii="仿宋_GB2312" w:eastAsia="仿宋_GB2312" w:cs="仿宋_GB2312"/>
          <w:spacing w:val="-8"/>
          <w:sz w:val="32"/>
          <w:szCs w:val="32"/>
        </w:rPr>
        <w:t>44.2%</w:t>
      </w:r>
      <w:r>
        <w:rPr>
          <w:rFonts w:hint="eastAsia" w:ascii="仿宋_GB2312" w:eastAsia="仿宋_GB2312" w:cs="仿宋_GB2312"/>
          <w:spacing w:val="-8"/>
          <w:sz w:val="32"/>
          <w:szCs w:val="32"/>
        </w:rPr>
        <w:t>和</w:t>
      </w:r>
      <w:r>
        <w:rPr>
          <w:rFonts w:ascii="仿宋_GB2312" w:eastAsia="仿宋_GB2312" w:cs="仿宋_GB2312"/>
          <w:spacing w:val="-8"/>
          <w:sz w:val="32"/>
          <w:szCs w:val="32"/>
        </w:rPr>
        <w:t>12.1</w:t>
      </w:r>
      <w:r>
        <w:rPr>
          <w:rFonts w:hint="eastAsia" w:ascii="仿宋_GB2312" w:eastAsia="仿宋_GB2312" w:cs="仿宋_GB2312"/>
          <w:spacing w:val="-8"/>
          <w:sz w:val="32"/>
          <w:szCs w:val="32"/>
        </w:rPr>
        <w:t>平方米，比</w:t>
      </w:r>
      <w:r>
        <w:rPr>
          <w:rFonts w:ascii="仿宋_GB2312" w:eastAsia="仿宋_GB2312" w:cs="仿宋_GB2312"/>
          <w:spacing w:val="-8"/>
          <w:sz w:val="32"/>
          <w:szCs w:val="32"/>
        </w:rPr>
        <w:t>2015</w:t>
      </w:r>
      <w:r>
        <w:rPr>
          <w:rFonts w:hint="eastAsia" w:ascii="仿宋_GB2312" w:eastAsia="仿宋_GB2312" w:cs="仿宋_GB2312"/>
          <w:spacing w:val="-8"/>
          <w:sz w:val="32"/>
          <w:szCs w:val="32"/>
        </w:rPr>
        <w:t>年分别增加</w:t>
      </w:r>
      <w:r>
        <w:rPr>
          <w:rFonts w:ascii="仿宋_GB2312" w:eastAsia="仿宋_GB2312" w:cs="仿宋_GB2312"/>
          <w:spacing w:val="-8"/>
          <w:sz w:val="32"/>
          <w:szCs w:val="32"/>
        </w:rPr>
        <w:t>13</w:t>
      </w:r>
      <w:r>
        <w:rPr>
          <w:rFonts w:hint="eastAsia" w:ascii="仿宋_GB2312" w:eastAsia="仿宋_GB2312" w:cs="仿宋_GB2312"/>
          <w:spacing w:val="-8"/>
          <w:sz w:val="32"/>
          <w:szCs w:val="32"/>
        </w:rPr>
        <w:t>百分点、</w:t>
      </w:r>
      <w:r>
        <w:rPr>
          <w:rFonts w:ascii="仿宋_GB2312" w:eastAsia="仿宋_GB2312" w:cs="仿宋_GB2312"/>
          <w:spacing w:val="-8"/>
          <w:sz w:val="32"/>
          <w:szCs w:val="32"/>
        </w:rPr>
        <w:t>12</w:t>
      </w:r>
      <w:r>
        <w:rPr>
          <w:rFonts w:hint="eastAsia" w:ascii="仿宋_GB2312" w:eastAsia="仿宋_GB2312" w:cs="仿宋_GB2312"/>
          <w:spacing w:val="-8"/>
          <w:sz w:val="32"/>
          <w:szCs w:val="32"/>
        </w:rPr>
        <w:t>个百分点和</w:t>
      </w:r>
      <w:r>
        <w:rPr>
          <w:rFonts w:ascii="仿宋_GB2312" w:eastAsia="仿宋_GB2312" w:cs="仿宋_GB2312"/>
          <w:spacing w:val="-8"/>
          <w:sz w:val="32"/>
          <w:szCs w:val="32"/>
        </w:rPr>
        <w:t>2.2</w:t>
      </w:r>
      <w:r>
        <w:rPr>
          <w:rFonts w:hint="eastAsia" w:ascii="仿宋_GB2312" w:eastAsia="仿宋_GB2312" w:cs="仿宋_GB2312"/>
          <w:spacing w:val="-8"/>
          <w:sz w:val="32"/>
          <w:szCs w:val="32"/>
        </w:rPr>
        <w:t>平方米。</w:t>
      </w:r>
    </w:p>
    <w:p>
      <w:pPr>
        <w:pStyle w:val="7"/>
        <w:spacing w:line="570" w:lineRule="exact"/>
        <w:ind w:firstLine="608" w:firstLineChars="200"/>
        <w:jc w:val="both"/>
        <w:rPr>
          <w:rFonts w:ascii="仿宋_GB2312" w:hAnsi="黑体" w:eastAsia="仿宋_GB2312"/>
          <w:b/>
          <w:spacing w:val="-8"/>
          <w:sz w:val="32"/>
          <w:szCs w:val="32"/>
        </w:rPr>
      </w:pPr>
      <w:r>
        <w:rPr>
          <w:rFonts w:hint="eastAsia" w:ascii="楷体_GB2312" w:hAnsi="仿宋" w:eastAsia="楷体_GB2312" w:cs="仿宋"/>
          <w:bCs/>
          <w:spacing w:val="-8"/>
          <w:sz w:val="32"/>
          <w:szCs w:val="32"/>
        </w:rPr>
        <w:t>（七）综合应急救援能力明显提高。</w:t>
      </w:r>
      <w:r>
        <w:rPr>
          <w:rFonts w:hint="eastAsia" w:ascii="仿宋_GB2312" w:eastAsia="仿宋_GB2312" w:cs="仿宋_GB2312"/>
          <w:spacing w:val="-8"/>
          <w:sz w:val="32"/>
          <w:szCs w:val="32"/>
        </w:rPr>
        <w:t>五年来，</w:t>
      </w:r>
      <w:r>
        <w:rPr>
          <w:rFonts w:hint="eastAsia" w:ascii="仿宋_GB2312" w:eastAsia="仿宋_GB2312"/>
          <w:color w:val="000000"/>
          <w:spacing w:val="-8"/>
          <w:sz w:val="32"/>
          <w:szCs w:val="32"/>
        </w:rPr>
        <w:t>新建市政</w:t>
      </w:r>
      <w:r>
        <w:rPr>
          <w:rFonts w:hint="eastAsia" w:ascii="仿宋_GB2312" w:hAnsi="仿宋" w:eastAsia="仿宋_GB2312"/>
          <w:color w:val="000000"/>
          <w:spacing w:val="-8"/>
          <w:sz w:val="32"/>
          <w:szCs w:val="32"/>
        </w:rPr>
        <w:t>消火栓</w:t>
      </w:r>
      <w:r>
        <w:rPr>
          <w:rFonts w:ascii="仿宋_GB2312" w:hAnsi="仿宋" w:eastAsia="仿宋_GB2312"/>
          <w:color w:val="000000"/>
          <w:spacing w:val="-8"/>
          <w:sz w:val="32"/>
          <w:szCs w:val="32"/>
        </w:rPr>
        <w:t xml:space="preserve">29 </w:t>
      </w:r>
      <w:r>
        <w:rPr>
          <w:rFonts w:hint="eastAsia" w:ascii="仿宋_GB2312" w:hAnsi="仿宋" w:eastAsia="仿宋_GB2312"/>
          <w:color w:val="000000"/>
          <w:spacing w:val="-8"/>
          <w:sz w:val="32"/>
          <w:szCs w:val="32"/>
        </w:rPr>
        <w:t>座、消防水罐</w:t>
      </w:r>
      <w:r>
        <w:rPr>
          <w:rFonts w:ascii="仿宋_GB2312" w:hAnsi="仿宋" w:eastAsia="仿宋_GB2312"/>
          <w:color w:val="000000"/>
          <w:spacing w:val="-8"/>
          <w:sz w:val="32"/>
          <w:szCs w:val="32"/>
        </w:rPr>
        <w:t>2</w:t>
      </w:r>
      <w:r>
        <w:rPr>
          <w:rFonts w:hint="eastAsia" w:ascii="仿宋_GB2312" w:hAnsi="仿宋" w:eastAsia="仿宋_GB2312"/>
          <w:color w:val="000000"/>
          <w:spacing w:val="-8"/>
          <w:sz w:val="32"/>
          <w:szCs w:val="32"/>
        </w:rPr>
        <w:t>座，消防供水设施建设取得突破性进展。各社区和重点单位建成</w:t>
      </w:r>
      <w:r>
        <w:rPr>
          <w:rFonts w:ascii="仿宋_GB2312" w:hAnsi="仿宋" w:eastAsia="仿宋_GB2312"/>
          <w:color w:val="000000"/>
          <w:spacing w:val="-8"/>
          <w:sz w:val="32"/>
          <w:szCs w:val="32"/>
        </w:rPr>
        <w:t>53</w:t>
      </w:r>
      <w:r>
        <w:rPr>
          <w:rFonts w:hint="eastAsia" w:ascii="仿宋_GB2312" w:hAnsi="仿宋" w:eastAsia="仿宋_GB2312"/>
          <w:color w:val="000000"/>
          <w:spacing w:val="-8"/>
          <w:sz w:val="32"/>
          <w:szCs w:val="32"/>
        </w:rPr>
        <w:t>个微型消防站，全区公共消防基础设施建设取得长足发展。区政府招录政府专职消防员</w:t>
      </w:r>
      <w:r>
        <w:rPr>
          <w:rFonts w:ascii="仿宋_GB2312" w:hAnsi="仿宋" w:eastAsia="仿宋_GB2312"/>
          <w:color w:val="000000"/>
          <w:spacing w:val="-8"/>
          <w:sz w:val="32"/>
          <w:szCs w:val="32"/>
        </w:rPr>
        <w:t>15</w:t>
      </w:r>
      <w:r>
        <w:rPr>
          <w:rFonts w:hint="eastAsia" w:ascii="仿宋_GB2312" w:hAnsi="仿宋" w:eastAsia="仿宋_GB2312"/>
          <w:color w:val="000000"/>
          <w:spacing w:val="-8"/>
          <w:sz w:val="32"/>
          <w:szCs w:val="32"/>
        </w:rPr>
        <w:t>人，提升了灭火救援效率，加强了消防队伍建设，同时优化消防装备。</w:t>
      </w:r>
      <w:r>
        <w:rPr>
          <w:rFonts w:hint="eastAsia" w:ascii="仿宋_GB2312" w:eastAsia="仿宋_GB2312" w:cs="仿宋_GB2312"/>
          <w:color w:val="000000"/>
          <w:spacing w:val="-8"/>
          <w:sz w:val="32"/>
          <w:szCs w:val="32"/>
        </w:rPr>
        <w:t>全区火灾形势持续保持稳定，城市消防安全布局进一步优化，综合应急救援能力显著提高，全民消防安全意识明显提升。</w:t>
      </w:r>
    </w:p>
    <w:p>
      <w:pPr>
        <w:tabs>
          <w:tab w:val="left" w:pos="510"/>
          <w:tab w:val="left" w:pos="5498"/>
          <w:tab w:val="left" w:pos="6311"/>
        </w:tabs>
        <w:spacing w:line="570" w:lineRule="exact"/>
        <w:ind w:firstLine="629"/>
        <w:rPr>
          <w:rFonts w:ascii="楷体_GB2312" w:hAnsi="仿宋" w:eastAsia="楷体_GB2312" w:cs="仿宋"/>
          <w:bCs/>
          <w:spacing w:val="-8"/>
          <w:sz w:val="32"/>
          <w:szCs w:val="32"/>
        </w:rPr>
      </w:pPr>
      <w:r>
        <w:rPr>
          <w:rFonts w:hint="eastAsia" w:ascii="楷体_GB2312" w:hAnsi="仿宋" w:eastAsia="楷体_GB2312" w:cs="仿宋"/>
          <w:bCs/>
          <w:spacing w:val="-8"/>
          <w:sz w:val="32"/>
          <w:szCs w:val="32"/>
        </w:rPr>
        <w:t>（八）社会民生事业蓬勃发展</w:t>
      </w:r>
    </w:p>
    <w:p>
      <w:pPr>
        <w:tabs>
          <w:tab w:val="left" w:pos="510"/>
          <w:tab w:val="left" w:pos="5498"/>
          <w:tab w:val="left" w:pos="6311"/>
        </w:tabs>
        <w:spacing w:line="570" w:lineRule="exact"/>
        <w:ind w:firstLine="629"/>
        <w:rPr>
          <w:rFonts w:ascii="仿宋_GB2312" w:eastAsia="仿宋_GB2312" w:cs="仿宋_GB2312"/>
          <w:spacing w:val="-8"/>
          <w:sz w:val="32"/>
          <w:szCs w:val="32"/>
        </w:rPr>
      </w:pPr>
      <w:r>
        <w:rPr>
          <w:rFonts w:hint="eastAsia" w:ascii="仿宋_GB2312" w:eastAsia="仿宋_GB2312" w:cs="仿宋_GB2312"/>
          <w:spacing w:val="-8"/>
          <w:sz w:val="32"/>
          <w:szCs w:val="32"/>
        </w:rPr>
        <w:t>“十三五”期间各项指标任务均圆满完成。</w:t>
      </w:r>
    </w:p>
    <w:p>
      <w:pPr>
        <w:tabs>
          <w:tab w:val="left" w:pos="510"/>
          <w:tab w:val="left" w:pos="5498"/>
          <w:tab w:val="left" w:pos="6311"/>
        </w:tabs>
        <w:spacing w:line="570" w:lineRule="exact"/>
        <w:ind w:firstLine="629"/>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社会保险取得新突破。</w:t>
      </w:r>
      <w:r>
        <w:rPr>
          <w:rFonts w:hint="eastAsia" w:ascii="仿宋_GB2312" w:eastAsia="仿宋_GB2312" w:cs="仿宋_GB2312"/>
          <w:spacing w:val="-8"/>
          <w:sz w:val="32"/>
          <w:szCs w:val="32"/>
        </w:rPr>
        <w:t>实现城乡居民养老参保</w:t>
      </w:r>
      <w:r>
        <w:rPr>
          <w:rFonts w:ascii="仿宋_GB2312" w:eastAsia="仿宋_GB2312" w:cs="仿宋_GB2312"/>
          <w:spacing w:val="-8"/>
          <w:sz w:val="32"/>
          <w:szCs w:val="32"/>
        </w:rPr>
        <w:t xml:space="preserve"> 208158 </w:t>
      </w:r>
      <w:r>
        <w:rPr>
          <w:rFonts w:hint="eastAsia" w:ascii="仿宋_GB2312" w:eastAsia="仿宋_GB2312" w:cs="仿宋_GB2312"/>
          <w:spacing w:val="-8"/>
          <w:sz w:val="32"/>
          <w:szCs w:val="32"/>
        </w:rPr>
        <w:t>人，完成城乡居民养老保险扩面</w:t>
      </w:r>
      <w:r>
        <w:rPr>
          <w:rFonts w:ascii="仿宋_GB2312" w:eastAsia="仿宋_GB2312" w:cs="仿宋_GB2312"/>
          <w:spacing w:val="-8"/>
          <w:sz w:val="32"/>
          <w:szCs w:val="32"/>
        </w:rPr>
        <w:t>9507</w:t>
      </w:r>
      <w:r>
        <w:rPr>
          <w:rFonts w:hint="eastAsia" w:ascii="仿宋_GB2312" w:eastAsia="仿宋_GB2312" w:cs="仿宋_GB2312"/>
          <w:spacing w:val="-8"/>
          <w:sz w:val="32"/>
          <w:szCs w:val="32"/>
        </w:rPr>
        <w:t>人，企业养老保险参保</w:t>
      </w:r>
      <w:r>
        <w:rPr>
          <w:rFonts w:ascii="仿宋_GB2312" w:eastAsia="仿宋_GB2312" w:cs="仿宋_GB2312"/>
          <w:spacing w:val="-8"/>
          <w:sz w:val="32"/>
          <w:szCs w:val="32"/>
        </w:rPr>
        <w:t>32040</w:t>
      </w:r>
      <w:r>
        <w:rPr>
          <w:rFonts w:hint="eastAsia" w:ascii="仿宋_GB2312" w:eastAsia="仿宋_GB2312" w:cs="仿宋_GB2312"/>
          <w:spacing w:val="-8"/>
          <w:sz w:val="32"/>
          <w:szCs w:val="32"/>
        </w:rPr>
        <w:t>人，机关养老参保</w:t>
      </w:r>
      <w:r>
        <w:rPr>
          <w:rFonts w:ascii="仿宋_GB2312" w:eastAsia="仿宋_GB2312" w:cs="仿宋_GB2312"/>
          <w:spacing w:val="-8"/>
          <w:sz w:val="32"/>
          <w:szCs w:val="32"/>
        </w:rPr>
        <w:t>14126</w:t>
      </w:r>
      <w:r>
        <w:rPr>
          <w:rFonts w:hint="eastAsia" w:ascii="仿宋_GB2312" w:eastAsia="仿宋_GB2312" w:cs="仿宋_GB2312"/>
          <w:spacing w:val="-8"/>
          <w:sz w:val="32"/>
          <w:szCs w:val="32"/>
        </w:rPr>
        <w:t>人，工伤保险参保</w:t>
      </w:r>
      <w:r>
        <w:rPr>
          <w:rFonts w:ascii="仿宋_GB2312" w:eastAsia="仿宋_GB2312" w:cs="仿宋_GB2312"/>
          <w:spacing w:val="-8"/>
          <w:sz w:val="32"/>
          <w:szCs w:val="32"/>
        </w:rPr>
        <w:t>28160</w:t>
      </w:r>
      <w:r>
        <w:rPr>
          <w:rFonts w:hint="eastAsia" w:ascii="仿宋_GB2312" w:eastAsia="仿宋_GB2312" w:cs="仿宋_GB2312"/>
          <w:spacing w:val="-8"/>
          <w:sz w:val="32"/>
          <w:szCs w:val="32"/>
        </w:rPr>
        <w:t>人，分别完成任务的</w:t>
      </w:r>
      <w:r>
        <w:rPr>
          <w:rFonts w:ascii="仿宋_GB2312" w:eastAsia="仿宋_GB2312" w:cs="仿宋_GB2312"/>
          <w:spacing w:val="-8"/>
          <w:sz w:val="32"/>
          <w:szCs w:val="32"/>
        </w:rPr>
        <w:t>100 %</w:t>
      </w:r>
      <w:r>
        <w:rPr>
          <w:rFonts w:hint="eastAsia" w:ascii="仿宋_GB2312" w:eastAsia="仿宋_GB2312" w:cs="仿宋_GB2312"/>
          <w:spacing w:val="-8"/>
          <w:sz w:val="32"/>
          <w:szCs w:val="32"/>
        </w:rPr>
        <w:t>、</w:t>
      </w:r>
      <w:r>
        <w:rPr>
          <w:rFonts w:ascii="仿宋_GB2312" w:eastAsia="仿宋_GB2312" w:cs="仿宋_GB2312"/>
          <w:spacing w:val="-8"/>
          <w:sz w:val="32"/>
          <w:szCs w:val="32"/>
        </w:rPr>
        <w:t>105 %</w:t>
      </w:r>
      <w:r>
        <w:rPr>
          <w:rFonts w:hint="eastAsia" w:ascii="仿宋_GB2312" w:eastAsia="仿宋_GB2312" w:cs="仿宋_GB2312"/>
          <w:spacing w:val="-8"/>
          <w:sz w:val="32"/>
          <w:szCs w:val="32"/>
        </w:rPr>
        <w:t>、</w:t>
      </w:r>
      <w:r>
        <w:rPr>
          <w:rFonts w:ascii="仿宋_GB2312" w:eastAsia="仿宋_GB2312" w:cs="仿宋_GB2312"/>
          <w:spacing w:val="-8"/>
          <w:sz w:val="32"/>
          <w:szCs w:val="32"/>
        </w:rPr>
        <w:t>101 %</w:t>
      </w:r>
      <w:r>
        <w:rPr>
          <w:rFonts w:hint="eastAsia" w:ascii="仿宋_GB2312" w:eastAsia="仿宋_GB2312" w:cs="仿宋_GB2312"/>
          <w:spacing w:val="-8"/>
          <w:sz w:val="32"/>
          <w:szCs w:val="32"/>
        </w:rPr>
        <w:t>、</w:t>
      </w:r>
      <w:r>
        <w:rPr>
          <w:rFonts w:ascii="仿宋_GB2312" w:eastAsia="仿宋_GB2312" w:cs="仿宋_GB2312"/>
          <w:spacing w:val="-8"/>
          <w:sz w:val="32"/>
          <w:szCs w:val="32"/>
        </w:rPr>
        <w:t>104 %</w:t>
      </w:r>
      <w:r>
        <w:rPr>
          <w:rFonts w:hint="eastAsia" w:ascii="仿宋_GB2312" w:eastAsia="仿宋_GB2312" w:cs="仿宋_GB2312"/>
          <w:spacing w:val="-8"/>
          <w:sz w:val="32"/>
          <w:szCs w:val="32"/>
        </w:rPr>
        <w:t>、</w:t>
      </w:r>
      <w:r>
        <w:rPr>
          <w:rFonts w:ascii="仿宋_GB2312" w:eastAsia="仿宋_GB2312" w:cs="仿宋_GB2312"/>
          <w:spacing w:val="-8"/>
          <w:sz w:val="32"/>
          <w:szCs w:val="32"/>
        </w:rPr>
        <w:t>175 %</w:t>
      </w:r>
      <w:r>
        <w:rPr>
          <w:rFonts w:hint="eastAsia" w:ascii="仿宋_GB2312" w:eastAsia="仿宋_GB2312" w:cs="仿宋_GB2312"/>
          <w:spacing w:val="-8"/>
          <w:sz w:val="32"/>
          <w:szCs w:val="32"/>
        </w:rPr>
        <w:t>。</w:t>
      </w:r>
    </w:p>
    <w:p>
      <w:pPr>
        <w:tabs>
          <w:tab w:val="left" w:pos="510"/>
          <w:tab w:val="left" w:pos="5498"/>
          <w:tab w:val="left" w:pos="6311"/>
        </w:tabs>
        <w:spacing w:line="570" w:lineRule="exact"/>
        <w:ind w:firstLine="629"/>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城乡就业人数显著提高。</w:t>
      </w:r>
      <w:r>
        <w:rPr>
          <w:rFonts w:hint="eastAsia" w:ascii="仿宋_GB2312" w:eastAsia="仿宋_GB2312" w:cs="仿宋_GB2312"/>
          <w:spacing w:val="-8"/>
          <w:sz w:val="32"/>
          <w:szCs w:val="32"/>
        </w:rPr>
        <w:t>实现城镇新增就业</w:t>
      </w:r>
      <w:r>
        <w:rPr>
          <w:rFonts w:ascii="仿宋_GB2312" w:eastAsia="仿宋_GB2312" w:cs="仿宋_GB2312"/>
          <w:spacing w:val="-8"/>
          <w:sz w:val="32"/>
          <w:szCs w:val="32"/>
        </w:rPr>
        <w:t xml:space="preserve"> 2476 </w:t>
      </w:r>
      <w:r>
        <w:rPr>
          <w:rFonts w:hint="eastAsia" w:ascii="仿宋_GB2312" w:eastAsia="仿宋_GB2312" w:cs="仿宋_GB2312"/>
          <w:spacing w:val="-8"/>
          <w:sz w:val="32"/>
          <w:szCs w:val="32"/>
        </w:rPr>
        <w:t>人，下岗失业人员再就业</w:t>
      </w:r>
      <w:r>
        <w:rPr>
          <w:rFonts w:ascii="仿宋_GB2312" w:eastAsia="仿宋_GB2312" w:cs="仿宋_GB2312"/>
          <w:spacing w:val="-8"/>
          <w:sz w:val="32"/>
          <w:szCs w:val="32"/>
        </w:rPr>
        <w:t>764</w:t>
      </w:r>
      <w:r>
        <w:rPr>
          <w:rFonts w:hint="eastAsia" w:ascii="仿宋_GB2312" w:eastAsia="仿宋_GB2312" w:cs="仿宋_GB2312"/>
          <w:spacing w:val="-8"/>
          <w:sz w:val="32"/>
          <w:szCs w:val="32"/>
        </w:rPr>
        <w:t>人，转移农村劳动力</w:t>
      </w:r>
      <w:r>
        <w:rPr>
          <w:rFonts w:ascii="仿宋_GB2312" w:eastAsia="仿宋_GB2312" w:cs="仿宋_GB2312"/>
          <w:spacing w:val="-8"/>
          <w:sz w:val="32"/>
          <w:szCs w:val="32"/>
        </w:rPr>
        <w:t xml:space="preserve">6000 </w:t>
      </w:r>
      <w:r>
        <w:rPr>
          <w:rFonts w:hint="eastAsia" w:ascii="仿宋_GB2312" w:eastAsia="仿宋_GB2312" w:cs="仿宋_GB2312"/>
          <w:spacing w:val="-8"/>
          <w:sz w:val="32"/>
          <w:szCs w:val="32"/>
        </w:rPr>
        <w:t>人，组织创业培训</w:t>
      </w:r>
      <w:r>
        <w:rPr>
          <w:rFonts w:ascii="仿宋_GB2312" w:eastAsia="仿宋_GB2312" w:cs="仿宋_GB2312"/>
          <w:spacing w:val="-8"/>
          <w:sz w:val="32"/>
          <w:szCs w:val="32"/>
        </w:rPr>
        <w:t xml:space="preserve"> 125 </w:t>
      </w:r>
      <w:r>
        <w:rPr>
          <w:rFonts w:hint="eastAsia" w:ascii="仿宋_GB2312" w:eastAsia="仿宋_GB2312" w:cs="仿宋_GB2312"/>
          <w:spacing w:val="-8"/>
          <w:sz w:val="32"/>
          <w:szCs w:val="32"/>
        </w:rPr>
        <w:t>人，职业技能培训</w:t>
      </w:r>
      <w:r>
        <w:rPr>
          <w:rFonts w:ascii="仿宋_GB2312" w:eastAsia="仿宋_GB2312" w:cs="仿宋_GB2312"/>
          <w:spacing w:val="-8"/>
          <w:sz w:val="32"/>
          <w:szCs w:val="32"/>
        </w:rPr>
        <w:t>3542</w:t>
      </w:r>
      <w:r>
        <w:rPr>
          <w:rFonts w:hint="eastAsia" w:ascii="仿宋_GB2312" w:eastAsia="仿宋_GB2312" w:cs="仿宋_GB2312"/>
          <w:spacing w:val="-8"/>
          <w:sz w:val="32"/>
          <w:szCs w:val="32"/>
        </w:rPr>
        <w:t>人，分别完成任务的</w:t>
      </w:r>
      <w:r>
        <w:rPr>
          <w:rFonts w:ascii="仿宋_GB2312" w:eastAsia="仿宋_GB2312" w:cs="仿宋_GB2312"/>
          <w:spacing w:val="-8"/>
          <w:sz w:val="32"/>
          <w:szCs w:val="32"/>
        </w:rPr>
        <w:t>100 %</w:t>
      </w:r>
      <w:r>
        <w:rPr>
          <w:rFonts w:hint="eastAsia" w:ascii="仿宋_GB2312" w:eastAsia="仿宋_GB2312" w:cs="仿宋_GB2312"/>
          <w:spacing w:val="-8"/>
          <w:sz w:val="32"/>
          <w:szCs w:val="32"/>
        </w:rPr>
        <w:t>、</w:t>
      </w:r>
      <w:r>
        <w:rPr>
          <w:rFonts w:ascii="仿宋_GB2312" w:eastAsia="仿宋_GB2312" w:cs="仿宋_GB2312"/>
          <w:spacing w:val="-8"/>
          <w:sz w:val="32"/>
          <w:szCs w:val="32"/>
        </w:rPr>
        <w:t xml:space="preserve"> 100 %</w:t>
      </w:r>
      <w:r>
        <w:rPr>
          <w:rFonts w:hint="eastAsia" w:ascii="仿宋_GB2312" w:eastAsia="仿宋_GB2312" w:cs="仿宋_GB2312"/>
          <w:spacing w:val="-8"/>
          <w:sz w:val="32"/>
          <w:szCs w:val="32"/>
        </w:rPr>
        <w:t>、</w:t>
      </w:r>
      <w:r>
        <w:rPr>
          <w:rFonts w:ascii="仿宋_GB2312" w:eastAsia="仿宋_GB2312" w:cs="仿宋_GB2312"/>
          <w:spacing w:val="-8"/>
          <w:sz w:val="32"/>
          <w:szCs w:val="32"/>
        </w:rPr>
        <w:t>200 %</w:t>
      </w:r>
      <w:r>
        <w:rPr>
          <w:rFonts w:hint="eastAsia" w:ascii="仿宋_GB2312" w:eastAsia="仿宋_GB2312" w:cs="仿宋_GB2312"/>
          <w:spacing w:val="-8"/>
          <w:sz w:val="32"/>
          <w:szCs w:val="32"/>
        </w:rPr>
        <w:t>、</w:t>
      </w:r>
      <w:r>
        <w:rPr>
          <w:rFonts w:ascii="仿宋_GB2312" w:eastAsia="仿宋_GB2312" w:cs="仿宋_GB2312"/>
          <w:spacing w:val="-8"/>
          <w:sz w:val="32"/>
          <w:szCs w:val="32"/>
        </w:rPr>
        <w:t>125 %</w:t>
      </w:r>
      <w:r>
        <w:rPr>
          <w:rFonts w:hint="eastAsia" w:ascii="仿宋_GB2312" w:eastAsia="仿宋_GB2312" w:cs="仿宋_GB2312"/>
          <w:spacing w:val="-8"/>
          <w:sz w:val="32"/>
          <w:szCs w:val="32"/>
        </w:rPr>
        <w:t>和</w:t>
      </w:r>
      <w:r>
        <w:rPr>
          <w:rFonts w:ascii="仿宋_GB2312" w:eastAsia="仿宋_GB2312" w:cs="仿宋_GB2312"/>
          <w:spacing w:val="-8"/>
          <w:sz w:val="32"/>
          <w:szCs w:val="32"/>
        </w:rPr>
        <w:t>117 %</w:t>
      </w:r>
      <w:r>
        <w:rPr>
          <w:rFonts w:hint="eastAsia" w:ascii="仿宋_GB2312" w:eastAsia="仿宋_GB2312" w:cs="仿宋_GB2312"/>
          <w:spacing w:val="-8"/>
          <w:sz w:val="32"/>
          <w:szCs w:val="32"/>
        </w:rPr>
        <w:t>。实现完成建档立卡救助帮扶</w:t>
      </w:r>
      <w:r>
        <w:rPr>
          <w:rFonts w:ascii="仿宋_GB2312" w:eastAsia="仿宋_GB2312" w:cs="仿宋_GB2312"/>
          <w:spacing w:val="-8"/>
          <w:sz w:val="32"/>
          <w:szCs w:val="32"/>
        </w:rPr>
        <w:t>470</w:t>
      </w:r>
      <w:r>
        <w:rPr>
          <w:rFonts w:hint="eastAsia" w:ascii="仿宋_GB2312" w:eastAsia="仿宋_GB2312" w:cs="仿宋_GB2312"/>
          <w:spacing w:val="-8"/>
          <w:sz w:val="32"/>
          <w:szCs w:val="32"/>
        </w:rPr>
        <w:t>人，其中就业帮扶</w:t>
      </w:r>
      <w:r>
        <w:rPr>
          <w:rFonts w:ascii="仿宋_GB2312" w:eastAsia="仿宋_GB2312" w:cs="仿宋_GB2312"/>
          <w:spacing w:val="-8"/>
          <w:sz w:val="32"/>
          <w:szCs w:val="32"/>
        </w:rPr>
        <w:t xml:space="preserve"> 111 </w:t>
      </w:r>
      <w:r>
        <w:rPr>
          <w:rFonts w:hint="eastAsia" w:ascii="仿宋_GB2312" w:eastAsia="仿宋_GB2312" w:cs="仿宋_GB2312"/>
          <w:spacing w:val="-8"/>
          <w:sz w:val="32"/>
          <w:szCs w:val="32"/>
        </w:rPr>
        <w:t>人。</w:t>
      </w:r>
    </w:p>
    <w:p>
      <w:pPr>
        <w:tabs>
          <w:tab w:val="left" w:pos="510"/>
          <w:tab w:val="left" w:pos="5498"/>
          <w:tab w:val="left" w:pos="6311"/>
        </w:tabs>
        <w:spacing w:line="570" w:lineRule="exact"/>
        <w:ind w:firstLine="629"/>
        <w:rPr>
          <w:rFonts w:ascii="仿宋_GB2312" w:eastAsia="仿宋_GB2312"/>
          <w:color w:val="000000"/>
          <w:spacing w:val="-8"/>
          <w:sz w:val="32"/>
          <w:szCs w:val="32"/>
        </w:rPr>
      </w:pPr>
      <w:r>
        <w:rPr>
          <w:rFonts w:hint="eastAsia" w:ascii="仿宋_GB2312" w:hAnsi="仿宋" w:eastAsia="仿宋_GB2312"/>
          <w:b/>
          <w:bCs/>
          <w:color w:val="000000"/>
          <w:spacing w:val="-8"/>
          <w:sz w:val="32"/>
          <w:szCs w:val="32"/>
        </w:rPr>
        <w:t>医疗卫生服务水平明显改善。</w:t>
      </w:r>
      <w:r>
        <w:rPr>
          <w:rFonts w:hint="eastAsia" w:ascii="仿宋_GB2312" w:eastAsia="仿宋_GB2312" w:cs="仿宋_GB2312"/>
          <w:spacing w:val="-8"/>
          <w:sz w:val="32"/>
          <w:szCs w:val="32"/>
        </w:rPr>
        <w:t>目前，拥有满城区人民医院、河北省冀中监狱医院、河北省太行监狱医院、惠阳医院</w:t>
      </w:r>
      <w:r>
        <w:rPr>
          <w:rFonts w:ascii="仿宋_GB2312" w:eastAsia="仿宋_GB2312" w:cs="仿宋_GB2312"/>
          <w:spacing w:val="-8"/>
          <w:sz w:val="32"/>
          <w:szCs w:val="32"/>
        </w:rPr>
        <w:t>4</w:t>
      </w:r>
      <w:r>
        <w:rPr>
          <w:rFonts w:hint="eastAsia" w:ascii="仿宋_GB2312" w:eastAsia="仿宋_GB2312" w:cs="仿宋_GB2312"/>
          <w:spacing w:val="-8"/>
          <w:sz w:val="32"/>
          <w:szCs w:val="32"/>
        </w:rPr>
        <w:t>家公立医院；妇幼保健院</w:t>
      </w:r>
      <w:r>
        <w:rPr>
          <w:rFonts w:ascii="仿宋_GB2312" w:eastAsia="仿宋_GB2312" w:cs="仿宋_GB2312"/>
          <w:spacing w:val="-8"/>
          <w:sz w:val="32"/>
          <w:szCs w:val="32"/>
        </w:rPr>
        <w:t>1</w:t>
      </w:r>
      <w:r>
        <w:rPr>
          <w:rFonts w:hint="eastAsia" w:ascii="仿宋_GB2312" w:eastAsia="仿宋_GB2312" w:cs="仿宋_GB2312"/>
          <w:spacing w:val="-8"/>
          <w:sz w:val="32"/>
          <w:szCs w:val="32"/>
        </w:rPr>
        <w:t>家，乡镇卫生院</w:t>
      </w:r>
      <w:r>
        <w:rPr>
          <w:rFonts w:ascii="仿宋_GB2312" w:eastAsia="仿宋_GB2312" w:cs="仿宋_GB2312"/>
          <w:spacing w:val="-8"/>
          <w:sz w:val="32"/>
          <w:szCs w:val="32"/>
        </w:rPr>
        <w:t>11</w:t>
      </w:r>
      <w:r>
        <w:rPr>
          <w:rFonts w:hint="eastAsia" w:ascii="仿宋_GB2312" w:eastAsia="仿宋_GB2312" w:cs="仿宋_GB2312"/>
          <w:spacing w:val="-8"/>
          <w:sz w:val="32"/>
          <w:szCs w:val="32"/>
        </w:rPr>
        <w:t>家，村卫生室</w:t>
      </w:r>
      <w:r>
        <w:rPr>
          <w:rFonts w:ascii="仿宋_GB2312" w:eastAsia="仿宋_GB2312" w:cs="仿宋_GB2312"/>
          <w:spacing w:val="-8"/>
          <w:sz w:val="32"/>
          <w:szCs w:val="32"/>
        </w:rPr>
        <w:t>174</w:t>
      </w:r>
      <w:r>
        <w:rPr>
          <w:rFonts w:hint="eastAsia" w:ascii="仿宋_GB2312" w:eastAsia="仿宋_GB2312" w:cs="仿宋_GB2312"/>
          <w:spacing w:val="-8"/>
          <w:sz w:val="32"/>
          <w:szCs w:val="32"/>
        </w:rPr>
        <w:t>家；保定市第七医院、满城第四医院、满城乔氏医院、满城职工医院、满城城北医院民营综合医院</w:t>
      </w:r>
      <w:r>
        <w:rPr>
          <w:rFonts w:ascii="仿宋_GB2312" w:eastAsia="仿宋_GB2312" w:cs="仿宋_GB2312"/>
          <w:spacing w:val="-8"/>
          <w:sz w:val="32"/>
          <w:szCs w:val="32"/>
        </w:rPr>
        <w:t>5</w:t>
      </w:r>
      <w:r>
        <w:rPr>
          <w:rFonts w:hint="eastAsia" w:ascii="仿宋_GB2312" w:eastAsia="仿宋_GB2312" w:cs="仿宋_GB2312"/>
          <w:spacing w:val="-8"/>
          <w:sz w:val="32"/>
          <w:szCs w:val="32"/>
        </w:rPr>
        <w:t>家，保定洪强中医骨伤医院、满城第二中医医院、保定平安精神病医院、保定德善精神病医院专科医院</w:t>
      </w:r>
      <w:r>
        <w:rPr>
          <w:rFonts w:ascii="仿宋_GB2312" w:eastAsia="仿宋_GB2312" w:cs="仿宋_GB2312"/>
          <w:spacing w:val="-8"/>
          <w:sz w:val="32"/>
          <w:szCs w:val="32"/>
        </w:rPr>
        <w:t>4</w:t>
      </w:r>
      <w:r>
        <w:rPr>
          <w:rFonts w:hint="eastAsia" w:ascii="仿宋_GB2312" w:eastAsia="仿宋_GB2312" w:cs="仿宋_GB2312"/>
          <w:spacing w:val="-8"/>
          <w:sz w:val="32"/>
          <w:szCs w:val="32"/>
        </w:rPr>
        <w:t>家，个体诊所</w:t>
      </w:r>
      <w:r>
        <w:rPr>
          <w:rFonts w:ascii="仿宋_GB2312" w:eastAsia="仿宋_GB2312" w:cs="仿宋_GB2312"/>
          <w:spacing w:val="-8"/>
          <w:sz w:val="32"/>
          <w:szCs w:val="32"/>
        </w:rPr>
        <w:t>244</w:t>
      </w:r>
      <w:r>
        <w:rPr>
          <w:rFonts w:hint="eastAsia" w:ascii="仿宋_GB2312" w:eastAsia="仿宋_GB2312" w:cs="仿宋_GB2312"/>
          <w:spacing w:val="-8"/>
          <w:sz w:val="32"/>
          <w:szCs w:val="32"/>
        </w:rPr>
        <w:t>家，医疗水平得到提升。</w:t>
      </w:r>
    </w:p>
    <w:p>
      <w:pPr>
        <w:tabs>
          <w:tab w:val="left" w:pos="510"/>
          <w:tab w:val="left" w:pos="5498"/>
          <w:tab w:val="left" w:pos="6311"/>
        </w:tabs>
        <w:spacing w:line="570" w:lineRule="exact"/>
        <w:ind w:firstLine="629"/>
        <w:rPr>
          <w:rFonts w:ascii="仿宋" w:eastAsia="仿宋"/>
          <w:color w:val="000000"/>
          <w:spacing w:val="-8"/>
          <w:sz w:val="32"/>
          <w:szCs w:val="32"/>
        </w:rPr>
      </w:pPr>
      <w:r>
        <w:rPr>
          <w:rFonts w:hint="eastAsia" w:ascii="仿宋_GB2312" w:hAnsi="仿宋" w:eastAsia="仿宋_GB2312"/>
          <w:b/>
          <w:bCs/>
          <w:color w:val="000000"/>
          <w:spacing w:val="-8"/>
          <w:sz w:val="32"/>
          <w:szCs w:val="32"/>
        </w:rPr>
        <w:t>教育条件大幅度提升。</w:t>
      </w:r>
      <w:r>
        <w:rPr>
          <w:rFonts w:hint="eastAsia" w:ascii="仿宋_GB2312" w:eastAsia="仿宋_GB2312" w:cs="仿宋_GB2312"/>
          <w:spacing w:val="-8"/>
          <w:sz w:val="32"/>
          <w:szCs w:val="32"/>
        </w:rPr>
        <w:t>办学条件大幅改善、师资队伍不断加强、管理水平快速提升。完成了乡村小规模学校和乡镇寄宿制学校两类学校的标准化建设。完成</w:t>
      </w:r>
      <w:r>
        <w:rPr>
          <w:rFonts w:ascii="仿宋_GB2312" w:eastAsia="仿宋_GB2312" w:cs="仿宋_GB2312"/>
          <w:spacing w:val="-8"/>
          <w:sz w:val="32"/>
          <w:szCs w:val="32"/>
        </w:rPr>
        <w:t>81</w:t>
      </w:r>
      <w:r>
        <w:rPr>
          <w:rFonts w:hint="eastAsia" w:ascii="仿宋_GB2312" w:eastAsia="仿宋_GB2312" w:cs="仿宋_GB2312"/>
          <w:spacing w:val="-8"/>
          <w:sz w:val="32"/>
          <w:szCs w:val="32"/>
        </w:rPr>
        <w:t>所学校的教学楼、宿舍楼、食堂、厕所的扩建和修缮。新建保定市第二十八中学实现招生；</w:t>
      </w:r>
      <w:r>
        <w:rPr>
          <w:rFonts w:ascii="仿宋_GB2312" w:eastAsia="仿宋_GB2312" w:cs="仿宋_GB2312"/>
          <w:spacing w:val="-8"/>
          <w:sz w:val="32"/>
          <w:szCs w:val="32"/>
        </w:rPr>
        <w:t>163</w:t>
      </w:r>
      <w:r>
        <w:rPr>
          <w:rFonts w:hint="eastAsia" w:ascii="仿宋_GB2312" w:eastAsia="仿宋_GB2312" w:cs="仿宋_GB2312"/>
          <w:spacing w:val="-8"/>
          <w:sz w:val="32"/>
          <w:szCs w:val="32"/>
        </w:rPr>
        <w:t>所学校视频监控和可视化一键报警智慧校园系统启动运行；尊师重教“双十条”顺利实施；“三通两平台”教学资源更加优质。加固抗震不达标教学楼</w:t>
      </w:r>
      <w:r>
        <w:rPr>
          <w:rFonts w:ascii="仿宋_GB2312" w:eastAsia="仿宋_GB2312" w:cs="仿宋_GB2312"/>
          <w:spacing w:val="-8"/>
          <w:sz w:val="32"/>
          <w:szCs w:val="32"/>
        </w:rPr>
        <w:t>11</w:t>
      </w:r>
      <w:r>
        <w:rPr>
          <w:rFonts w:hint="eastAsia" w:ascii="仿宋_GB2312" w:eastAsia="仿宋_GB2312" w:cs="仿宋_GB2312"/>
          <w:spacing w:val="-8"/>
          <w:sz w:val="32"/>
          <w:szCs w:val="32"/>
        </w:rPr>
        <w:t>个，扩建运动场</w:t>
      </w:r>
      <w:r>
        <w:rPr>
          <w:rFonts w:ascii="仿宋_GB2312" w:eastAsia="仿宋_GB2312" w:cs="仿宋_GB2312"/>
          <w:spacing w:val="-8"/>
          <w:sz w:val="32"/>
          <w:szCs w:val="32"/>
        </w:rPr>
        <w:t>3</w:t>
      </w:r>
      <w:r>
        <w:rPr>
          <w:rFonts w:hint="eastAsia" w:ascii="仿宋_GB2312" w:eastAsia="仿宋_GB2312" w:cs="仿宋_GB2312"/>
          <w:spacing w:val="-8"/>
          <w:sz w:val="32"/>
          <w:szCs w:val="32"/>
        </w:rPr>
        <w:t>个。</w:t>
      </w:r>
      <w:r>
        <w:rPr>
          <w:rFonts w:hint="eastAsia" w:ascii="仿宋_GB2312" w:hAnsi="黑体" w:eastAsia="仿宋_GB2312"/>
          <w:spacing w:val="-8"/>
          <w:sz w:val="32"/>
          <w:szCs w:val="32"/>
        </w:rPr>
        <w:t>农村义务教育薄弱学校改造项目圆满收尾</w:t>
      </w:r>
      <w:r>
        <w:rPr>
          <w:rFonts w:hint="eastAsia" w:ascii="仿宋_GB2312" w:hAnsi="黑体" w:eastAsia="仿宋_GB2312"/>
          <w:color w:val="000000"/>
          <w:spacing w:val="-8"/>
          <w:sz w:val="32"/>
          <w:szCs w:val="32"/>
        </w:rPr>
        <w:t>。公开招聘教师</w:t>
      </w:r>
      <w:r>
        <w:rPr>
          <w:rFonts w:ascii="仿宋_GB2312" w:hAnsi="黑体" w:eastAsia="仿宋_GB2312"/>
          <w:color w:val="000000"/>
          <w:spacing w:val="-8"/>
          <w:sz w:val="32"/>
          <w:szCs w:val="32"/>
        </w:rPr>
        <w:t>679</w:t>
      </w:r>
      <w:r>
        <w:rPr>
          <w:rFonts w:hint="eastAsia" w:ascii="仿宋_GB2312" w:hAnsi="黑体" w:eastAsia="仿宋_GB2312"/>
          <w:color w:val="000000"/>
          <w:spacing w:val="-8"/>
          <w:sz w:val="32"/>
          <w:szCs w:val="32"/>
        </w:rPr>
        <w:t>名。</w:t>
      </w:r>
      <w:r>
        <w:rPr>
          <w:rFonts w:ascii="仿宋_GB2312" w:hAnsi="黑体" w:eastAsia="仿宋_GB2312"/>
          <w:spacing w:val="-8"/>
          <w:sz w:val="32"/>
          <w:szCs w:val="32"/>
        </w:rPr>
        <w:t>2.3</w:t>
      </w:r>
      <w:r>
        <w:rPr>
          <w:rFonts w:hint="eastAsia" w:ascii="仿宋_GB2312" w:hAnsi="黑体" w:eastAsia="仿宋_GB2312"/>
          <w:spacing w:val="-8"/>
          <w:sz w:val="32"/>
          <w:szCs w:val="32"/>
        </w:rPr>
        <w:t>万名农村小学生配发免费营养餐。</w:t>
      </w:r>
    </w:p>
    <w:p>
      <w:pPr>
        <w:pStyle w:val="19"/>
        <w:spacing w:line="570" w:lineRule="exact"/>
        <w:ind w:left="0" w:leftChars="0" w:firstLine="608" w:firstLineChars="200"/>
        <w:rPr>
          <w:rFonts w:ascii="仿宋_GB2312" w:eastAsia="仿宋_GB2312" w:cs="仿宋_GB2312"/>
          <w:spacing w:val="-8"/>
          <w:sz w:val="32"/>
          <w:szCs w:val="32"/>
        </w:rPr>
      </w:pPr>
      <w:r>
        <w:rPr>
          <w:rFonts w:ascii="仿宋_GB2312" w:eastAsia="仿宋_GB2312" w:cs="仿宋_GB2312"/>
          <w:spacing w:val="-8"/>
          <w:sz w:val="32"/>
          <w:szCs w:val="32"/>
        </w:rPr>
        <w:t>38</w:t>
      </w:r>
      <w:r>
        <w:rPr>
          <w:rFonts w:hint="eastAsia" w:ascii="仿宋_GB2312" w:eastAsia="仿宋_GB2312" w:cs="仿宋_GB2312"/>
          <w:spacing w:val="-8"/>
          <w:sz w:val="32"/>
          <w:szCs w:val="32"/>
        </w:rPr>
        <w:t>个房地产解遗问题全部销号，</w:t>
      </w:r>
      <w:r>
        <w:rPr>
          <w:rFonts w:ascii="仿宋_GB2312" w:eastAsia="仿宋_GB2312" w:cs="仿宋_GB2312"/>
          <w:spacing w:val="-8"/>
          <w:sz w:val="32"/>
          <w:szCs w:val="32"/>
        </w:rPr>
        <w:t>6730</w:t>
      </w:r>
      <w:r>
        <w:rPr>
          <w:rFonts w:hint="eastAsia" w:ascii="仿宋_GB2312" w:eastAsia="仿宋_GB2312" w:cs="仿宋_GB2312"/>
          <w:spacing w:val="-8"/>
          <w:sz w:val="32"/>
          <w:szCs w:val="32"/>
        </w:rPr>
        <w:t>户居民拿到了“大红本”；市场化垃圾处理模式，让老百姓家门口垃圾实现及时清扫清运；国企职工三年解忧计划，解决了</w:t>
      </w:r>
      <w:r>
        <w:rPr>
          <w:rFonts w:ascii="仿宋_GB2312" w:eastAsia="仿宋_GB2312" w:cs="仿宋_GB2312"/>
          <w:spacing w:val="-8"/>
          <w:sz w:val="32"/>
          <w:szCs w:val="32"/>
        </w:rPr>
        <w:t>700</w:t>
      </w:r>
      <w:r>
        <w:rPr>
          <w:rFonts w:hint="eastAsia" w:ascii="仿宋_GB2312" w:eastAsia="仿宋_GB2312" w:cs="仿宋_GB2312"/>
          <w:spacing w:val="-8"/>
          <w:sz w:val="32"/>
          <w:szCs w:val="32"/>
        </w:rPr>
        <w:t>多名职工的后顾之忧。</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总的来看，过去五年是全区人民坚持不懈奋斗的五年，全面实现小康社会的五年；是新发展理念付诸实施、高质量发展实现良好开局的五年；是我区经历撤县划区区划重大调整，全力承接北京非首都功能产业疏解，服务雄安新区建设的五年。特别是抗击新冠肺炎疫情取得重大战略成果、脱贫攻坚取得全面胜利。五年来，我们拼搏竞进、开拓创新，跑出了“满城速度”；我们战天斗地、攻坚克难，创造了“满城精彩”；我们不忘初心、牢记使命，凝聚了“满城力量”；我们苦干实干、善作善成，坚定了“满城自信”。这些成绩的取得，主要得益于“四个坚持”：一是坚持贯彻落实</w:t>
      </w:r>
      <w:r>
        <w:rPr>
          <w:rFonts w:hint="eastAsia" w:ascii="仿宋_GB2312" w:eastAsia="仿宋_GB2312" w:cs="仿宋_GB2312"/>
          <w:spacing w:val="-8"/>
          <w:sz w:val="32"/>
          <w:szCs w:val="32"/>
          <w:lang w:eastAsia="zh-CN"/>
        </w:rPr>
        <w:t>党中央、国务院</w:t>
      </w:r>
      <w:r>
        <w:rPr>
          <w:rFonts w:hint="eastAsia" w:ascii="仿宋_GB2312" w:eastAsia="仿宋_GB2312" w:cs="仿宋_GB2312"/>
          <w:spacing w:val="-8"/>
          <w:sz w:val="32"/>
          <w:szCs w:val="32"/>
        </w:rPr>
        <w:t>和省委、省政府以及市委、市政府重大决策部署，确保政策落地落实，不打折扣，不走偏。二是坚持新发展理念，把高质量发展作为贯穿于各项工作的主线。三是坚持以人民为中心的发展思想，把人民过上美好生活作为推进各项工作的基本出发点。四是坚持改革开放不动摇，用改革办法解决发展问题，用开放视野突破发展瓶颈。成绩取得来之不易，我们要更加坚定信心，再接再厉，奋发作为，朝着建设宜居乐业新区，厚德尚美满城的目标阔步前进。</w:t>
      </w:r>
    </w:p>
    <w:p>
      <w:pPr>
        <w:pStyle w:val="4"/>
        <w:spacing w:before="0" w:after="0" w:line="570" w:lineRule="exact"/>
        <w:jc w:val="center"/>
        <w:rPr>
          <w:rFonts w:ascii="黑体" w:hAnsi="Times New Roman"/>
          <w:b w:val="0"/>
          <w:spacing w:val="-8"/>
          <w:kern w:val="2"/>
          <w:szCs w:val="32"/>
        </w:rPr>
      </w:pPr>
      <w:bookmarkStart w:id="6" w:name="_Toc31816"/>
      <w:bookmarkStart w:id="7" w:name="_Toc63009712"/>
      <w:r>
        <w:rPr>
          <w:rFonts w:hint="eastAsia" w:ascii="黑体" w:hAnsi="Times New Roman"/>
          <w:b w:val="0"/>
          <w:spacing w:val="-8"/>
          <w:kern w:val="2"/>
          <w:szCs w:val="32"/>
        </w:rPr>
        <w:t>第二节迎接“十四五”时期面临的新机遇与新挑战</w:t>
      </w:r>
      <w:bookmarkEnd w:id="6"/>
      <w:bookmarkEnd w:id="7"/>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当前和今后一个时期，我国面临错综复杂的国际环境，新冠肺炎疫情全球大流行使世界百年未有之大变局迅速发生变化，世界进入动荡变革期，我国发展仍处于战略机遇期，市委十一届九次全会提出，经济社会发展呈现六个新趋势：一是创新对发展驱动作用日益凸显；二是最终需求带动新产业发展的作用日益凸显；三是绿色发展的比较优势日益凸显；四是全球经济高债务低利率低增长的态势日益凸显；五是国际经济大循环调整加快日益凸显；六是非经济因素对开放带来的影响日益凸显。我区要未雨绸缪，提高政治站位，时时、处处、事事着眼“两个大局”牢牢把握开启全面建设社会主义现代化国家新征程内涵和要求，在新发展格局下谋划满城工作。</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从国际角度来看。</w:t>
      </w:r>
      <w:r>
        <w:rPr>
          <w:rFonts w:hint="eastAsia" w:ascii="仿宋_GB2312" w:eastAsia="仿宋_GB2312" w:cs="仿宋_GB2312"/>
          <w:spacing w:val="-8"/>
          <w:sz w:val="32"/>
          <w:szCs w:val="32"/>
        </w:rPr>
        <w:t>保护主义和单边主义对世界经济带来前所未有的挑战，中美战略竞争具有长期性复杂性。中美关系已经从战略合作伙伴关系调整为战略竞争对手关系，未来中美战略竞争将进一步加剧。同时全球新冠肺炎疫情对经济社会造成了巨大冲击，将严重威胁产业链供应链安全。</w:t>
      </w:r>
    </w:p>
    <w:p>
      <w:pPr>
        <w:spacing w:line="570" w:lineRule="exact"/>
        <w:ind w:firstLine="611" w:firstLineChars="200"/>
        <w:rPr>
          <w:rFonts w:ascii="仿宋_GB2312" w:eastAsia="仿宋_GB2312"/>
        </w:rPr>
      </w:pPr>
      <w:r>
        <w:rPr>
          <w:rFonts w:hint="eastAsia" w:ascii="仿宋_GB2312" w:hAnsi="仿宋" w:eastAsia="仿宋_GB2312"/>
          <w:b/>
          <w:bCs/>
          <w:color w:val="000000"/>
          <w:spacing w:val="-8"/>
          <w:sz w:val="32"/>
          <w:szCs w:val="32"/>
        </w:rPr>
        <w:t>从国内角度来看。</w:t>
      </w:r>
      <w:r>
        <w:rPr>
          <w:rFonts w:hint="eastAsia" w:ascii="仿宋_GB2312" w:eastAsia="仿宋_GB2312" w:cs="仿宋_GB2312"/>
          <w:spacing w:val="-8"/>
          <w:sz w:val="32"/>
          <w:szCs w:val="32"/>
        </w:rPr>
        <w:t>我国主要矛盾发生变化，经济已由高速增长阶段转向高质量发展阶段。产业转型升级全面攻坚，京津冀协同重点突破，生态环境保护与治理任务艰巨，改革开放和法治建设加速推进。面对京津冀协同发展深入推进，雄安新区开发建设，石保廊全面创新改革试验区和京南科技成果转移转化示范区的建立，我区可以充分利用国家重大发展机遇加快发展步伐。</w:t>
      </w:r>
    </w:p>
    <w:p>
      <w:pPr>
        <w:pStyle w:val="7"/>
        <w:spacing w:line="570" w:lineRule="exact"/>
        <w:ind w:firstLine="611" w:firstLineChars="200"/>
        <w:jc w:val="both"/>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发展机遇前所未有。</w:t>
      </w:r>
      <w:r>
        <w:rPr>
          <w:rFonts w:hint="eastAsia" w:ascii="仿宋_GB2312" w:hAnsi="仿宋" w:eastAsia="仿宋_GB2312"/>
          <w:color w:val="000000"/>
          <w:spacing w:val="-8"/>
          <w:sz w:val="32"/>
          <w:szCs w:val="32"/>
        </w:rPr>
        <w:t>面临</w:t>
      </w:r>
      <w:r>
        <w:rPr>
          <w:rFonts w:hint="eastAsia" w:ascii="仿宋_GB2312" w:eastAsia="仿宋_GB2312" w:cs="仿宋_GB2312"/>
          <w:spacing w:val="-8"/>
          <w:sz w:val="32"/>
          <w:szCs w:val="32"/>
        </w:rPr>
        <w:t>北京非首都功能加速向外疏解、雄安新区规模建设辐射带动、北京大兴国际机场新引擎带来的临空经济和开放发展、京津冀世界级城市群建设带来的创新发展和城市经济发展“四大机遇”，特别是随着全市新型城镇化建设的强势推进，主城区与新三区融合发展，重大工程项目开工在即，这一系列利好正在加快向满城汇聚，为我区的建设和发展带来重大机遇。独特的地理位置和优势为我区吸引高端要素和产业承接转型，开拓了前所未有的发展空间。推进更高水平的对外开放为我区提升对外开放合作水平，提供了难得契机。国家和省、市一系列转型升级、创新驱动、深化改革重大支持政策的出台，为我区弥补短板、破解难题，谋求创新提供了强大的外部支撑。</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问题与挑战并存。</w:t>
      </w:r>
      <w:r>
        <w:rPr>
          <w:rFonts w:hint="eastAsia" w:ascii="仿宋_GB2312" w:eastAsia="仿宋_GB2312" w:cs="仿宋_GB2312"/>
          <w:spacing w:val="-8"/>
          <w:sz w:val="32"/>
          <w:szCs w:val="32"/>
        </w:rPr>
        <w:t>目前我区仍然存在着诸多的问题，其中我区的发展还不平衡不充分，仍处于转型升级、爬坡过坎的关键期，新旧动能转换任务还很艰巨，城市建设和管理尚需持续用力，社会民生短板仍需补齐补强，生态环保任务依然严峻，京津冀协同发展的机遇亟需深入挖掘，对接雄安新区建设的顶层设计、实施机制和有效手段尚不完善。优质教育医疗资源分布不均衡，供给紧张，就医难、“大班化”等问题长期存在，脱贫人口返贫压力较大。若要根本性解决这些问题，迫切需要我区在“十四五”期间增强机遇意识和风险意识，在危机中育先机、于变局中开新局，改革创新、扬长补短，集中精力做事，把发展机遇转化成发展成果和优势。</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因此，今后五年在国家政策指导下，我区坚决执行中央和省市战略部署，立足全区发展实际，适应新形势，抢抓新机遇，解决新问题，保持战略定力，增强底线思维，充分做好应对各种复杂困难局面的准备，弘扬满城“红马甲”精神，不忘初心、牢记使命、乘势而上、拼搏竞进，加快建设宜居乐业新区、厚德尚美满城，为全面建设社会主义现代化国家作出满城贡献。</w:t>
      </w:r>
    </w:p>
    <w:p>
      <w:pPr>
        <w:pStyle w:val="4"/>
        <w:spacing w:before="0" w:after="0" w:line="570" w:lineRule="exact"/>
        <w:jc w:val="center"/>
        <w:rPr>
          <w:rFonts w:ascii="黑体" w:hAnsi="Times New Roman"/>
          <w:b w:val="0"/>
          <w:spacing w:val="-8"/>
          <w:kern w:val="2"/>
          <w:szCs w:val="32"/>
        </w:rPr>
      </w:pPr>
      <w:bookmarkStart w:id="8" w:name="_Toc31013"/>
      <w:bookmarkStart w:id="9" w:name="_Toc63009713"/>
      <w:r>
        <w:rPr>
          <w:rFonts w:hint="eastAsia" w:ascii="黑体" w:hAnsi="Times New Roman"/>
          <w:b w:val="0"/>
          <w:spacing w:val="-8"/>
          <w:kern w:val="2"/>
          <w:szCs w:val="32"/>
        </w:rPr>
        <w:t>第三节</w:t>
      </w:r>
      <w:r>
        <w:rPr>
          <w:rFonts w:ascii="黑体" w:hAnsi="Times New Roman"/>
          <w:b w:val="0"/>
          <w:spacing w:val="-8"/>
          <w:kern w:val="2"/>
          <w:szCs w:val="32"/>
        </w:rPr>
        <w:t xml:space="preserve">  2035</w:t>
      </w:r>
      <w:r>
        <w:rPr>
          <w:rFonts w:hint="eastAsia" w:ascii="黑体" w:hAnsi="Times New Roman"/>
          <w:b w:val="0"/>
          <w:spacing w:val="-8"/>
          <w:kern w:val="2"/>
          <w:szCs w:val="32"/>
        </w:rPr>
        <w:t>年经济社会发展的远景目标</w:t>
      </w:r>
      <w:bookmarkEnd w:id="8"/>
      <w:bookmarkEnd w:id="9"/>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党的十九届五中全会明确了到</w:t>
      </w:r>
      <w:r>
        <w:rPr>
          <w:rFonts w:ascii="仿宋_GB2312" w:hAnsi="仿宋_GB2312" w:eastAsia="仿宋_GB2312" w:cs="仿宋_GB2312"/>
          <w:spacing w:val="-8"/>
          <w:sz w:val="32"/>
          <w:szCs w:val="32"/>
        </w:rPr>
        <w:t>2035</w:t>
      </w:r>
      <w:r>
        <w:rPr>
          <w:rFonts w:hint="eastAsia" w:ascii="仿宋_GB2312" w:hAnsi="仿宋_GB2312" w:eastAsia="仿宋_GB2312" w:cs="仿宋_GB2312"/>
          <w:spacing w:val="-8"/>
          <w:sz w:val="32"/>
          <w:szCs w:val="32"/>
        </w:rPr>
        <w:t>年基本实现社会主义现代化的远景目标，省委九届十一次全会描绘了未来</w:t>
      </w:r>
      <w:r>
        <w:rPr>
          <w:rFonts w:ascii="仿宋_GB2312" w:hAnsi="仿宋_GB2312" w:eastAsia="仿宋_GB2312" w:cs="仿宋_GB2312"/>
          <w:spacing w:val="-8"/>
          <w:sz w:val="32"/>
          <w:szCs w:val="32"/>
        </w:rPr>
        <w:t>15</w:t>
      </w:r>
      <w:r>
        <w:rPr>
          <w:rFonts w:hint="eastAsia" w:ascii="仿宋_GB2312" w:hAnsi="仿宋_GB2312" w:eastAsia="仿宋_GB2312" w:cs="仿宋_GB2312"/>
          <w:spacing w:val="-8"/>
          <w:sz w:val="32"/>
          <w:szCs w:val="32"/>
        </w:rPr>
        <w:t>年全面建成经济强省、美丽河北的宏伟蓝图，市委十一届十次全会提出了</w:t>
      </w:r>
      <w:r>
        <w:rPr>
          <w:rFonts w:ascii="仿宋_GB2312" w:hAnsi="仿宋_GB2312" w:eastAsia="仿宋_GB2312" w:cs="仿宋_GB2312"/>
          <w:spacing w:val="-8"/>
          <w:sz w:val="32"/>
          <w:szCs w:val="32"/>
        </w:rPr>
        <w:t>2035</w:t>
      </w:r>
      <w:r>
        <w:rPr>
          <w:rFonts w:hint="eastAsia" w:ascii="仿宋_GB2312" w:hAnsi="仿宋_GB2312" w:eastAsia="仿宋_GB2312" w:cs="仿宋_GB2312"/>
          <w:spacing w:val="-8"/>
          <w:sz w:val="32"/>
          <w:szCs w:val="32"/>
        </w:rPr>
        <w:t>年保定市全面建成京津冀世界级城市群中的品质生活之城的目标任务。根据中央和省、市《建议》精神，结合我区实际，展望</w:t>
      </w:r>
      <w:r>
        <w:rPr>
          <w:rFonts w:ascii="仿宋_GB2312" w:hAnsi="仿宋_GB2312" w:eastAsia="仿宋_GB2312" w:cs="仿宋_GB2312"/>
          <w:spacing w:val="-8"/>
          <w:sz w:val="32"/>
          <w:szCs w:val="32"/>
        </w:rPr>
        <w:t>2035</w:t>
      </w:r>
      <w:r>
        <w:rPr>
          <w:rFonts w:hint="eastAsia" w:ascii="仿宋_GB2312" w:hAnsi="仿宋_GB2312" w:eastAsia="仿宋_GB2312" w:cs="仿宋_GB2312"/>
          <w:spacing w:val="-8"/>
          <w:sz w:val="32"/>
          <w:szCs w:val="32"/>
        </w:rPr>
        <w:t>年，满城将基本实现社会主义现代化，</w:t>
      </w:r>
      <w:r>
        <w:rPr>
          <w:rFonts w:hint="eastAsia" w:ascii="仿宋_GB2312" w:hAnsi="黑体" w:eastAsia="仿宋_GB2312"/>
          <w:color w:val="000000"/>
          <w:spacing w:val="-8"/>
          <w:sz w:val="32"/>
          <w:szCs w:val="32"/>
        </w:rPr>
        <w:t>全面建成新时代品质生活之城，宜居乐业新区、厚德尚美满城。</w:t>
      </w:r>
      <w:r>
        <w:rPr>
          <w:rFonts w:hint="eastAsia" w:ascii="仿宋_GB2312" w:hAnsi="仿宋_GB2312" w:eastAsia="仿宋_GB2312" w:cs="仿宋_GB2312"/>
          <w:spacing w:val="-8"/>
          <w:sz w:val="32"/>
          <w:szCs w:val="32"/>
        </w:rPr>
        <w:t>全面融入新发展格局，持续对接京津、借势雄安、融合保定、建设满城，建成新发展理念创新发展示范区，推动承接北京非首都功能取得新成效；综合实力、科技实力大幅跃升，经济总量和城乡居民收入迈上新的大台阶；全面推进现代化建设，基本实现新型工业化、信息化、城镇化、农业现代化，建成现代化经济体系；基本实现治理体系和治理能力现代化，法治满城和平安满城建设达到更高水平；建成文化强区、教育强区、体育强区、健康强区，社会文明程度达到新高度；生态文明建设取得重大成效，广泛形成绿色生产生活方式，基本建成天蓝地绿、山清水秀的美丽满城；全面深化改革和发展深度融合，形成高水平开放型经济新体制，满城的知名度和影响力显著增强；基本公共服务实现均等化，城乡居民人均收入显著提升，人民生活更加美好。</w:t>
      </w:r>
    </w:p>
    <w:p>
      <w:pPr>
        <w:pStyle w:val="19"/>
        <w:spacing w:line="570" w:lineRule="exact"/>
      </w:pPr>
    </w:p>
    <w:p>
      <w:pPr>
        <w:rPr>
          <w:rFonts w:ascii="方正小标宋简体" w:hAnsi="黑体" w:eastAsia="方正小标宋简体" w:cs="宋体"/>
          <w:spacing w:val="-8"/>
          <w:sz w:val="36"/>
          <w:szCs w:val="36"/>
        </w:rPr>
      </w:pPr>
      <w:bookmarkStart w:id="10" w:name="_Toc63009714"/>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1" w:name="_Toc6844"/>
      <w:r>
        <w:rPr>
          <w:rFonts w:hint="eastAsia" w:ascii="方正小标宋简体" w:hAnsi="黑体" w:eastAsia="方正小标宋简体" w:cs="宋体"/>
          <w:b w:val="0"/>
          <w:spacing w:val="-8"/>
          <w:kern w:val="2"/>
          <w:sz w:val="36"/>
          <w:szCs w:val="36"/>
        </w:rPr>
        <w:t>第二章构造未来创新思维，准确定位绘制发展蓝图</w:t>
      </w:r>
      <w:bookmarkEnd w:id="10"/>
      <w:bookmarkEnd w:id="11"/>
    </w:p>
    <w:p>
      <w:pPr>
        <w:spacing w:line="570" w:lineRule="exact"/>
      </w:pPr>
    </w:p>
    <w:p>
      <w:pPr>
        <w:pStyle w:val="4"/>
        <w:spacing w:before="0" w:after="0" w:line="570" w:lineRule="exact"/>
        <w:jc w:val="center"/>
        <w:rPr>
          <w:rFonts w:ascii="黑体" w:hAnsi="Times New Roman"/>
          <w:b w:val="0"/>
          <w:spacing w:val="-8"/>
          <w:kern w:val="2"/>
          <w:szCs w:val="32"/>
        </w:rPr>
      </w:pPr>
      <w:bookmarkStart w:id="12" w:name="_Toc63009715"/>
      <w:bookmarkStart w:id="13" w:name="_Toc4895"/>
      <w:r>
        <w:rPr>
          <w:rFonts w:hint="eastAsia" w:ascii="黑体" w:hAnsi="Times New Roman"/>
          <w:b w:val="0"/>
          <w:spacing w:val="-8"/>
          <w:kern w:val="2"/>
          <w:szCs w:val="32"/>
        </w:rPr>
        <w:t>第一节指导思想</w:t>
      </w:r>
      <w:bookmarkEnd w:id="12"/>
      <w:bookmarkEnd w:id="13"/>
    </w:p>
    <w:p>
      <w:pPr>
        <w:spacing w:line="570" w:lineRule="exact"/>
        <w:ind w:firstLine="608" w:firstLineChars="200"/>
        <w:rPr>
          <w:rFonts w:ascii="仿宋_GB2312" w:hAnsi="黑体" w:eastAsia="仿宋_GB2312"/>
          <w:color w:val="000000"/>
          <w:spacing w:val="-8"/>
          <w:sz w:val="32"/>
          <w:szCs w:val="32"/>
        </w:rPr>
      </w:pPr>
      <w:r>
        <w:rPr>
          <w:rFonts w:hint="eastAsia" w:ascii="仿宋_GB2312" w:hAnsi="黑体" w:eastAsia="仿宋_GB2312"/>
          <w:color w:val="000000"/>
          <w:spacing w:val="-8"/>
          <w:sz w:val="32"/>
          <w:szCs w:val="32"/>
        </w:rPr>
        <w:t>高举中国特色社会主义伟大旗帜</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深入贯彻党的十九大和十九届二中、三中、四中、五中全会精神,以及省委九届十一次、十二次全会，市委十一届九次、十次、十一次全会精神,坚持以马克思列宁主义、毛泽东思想、邓小平理论、“三个代表”重要思想、科学发展观、习近平新时代中国特色社会主义思想为指导</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全面贯彻党的基本理论、基本路线、基本方略</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深入落实习近平总书记对河北对保定工作一系列重要指示批示精神</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统筹推进“五位一体”总体布局</w:t>
      </w:r>
      <w:r>
        <w:rPr>
          <w:rFonts w:hint="eastAsia" w:ascii="仿宋_GB2312" w:hAnsi="黑体" w:eastAsia="仿宋_GB2312"/>
          <w:color w:val="000000"/>
          <w:spacing w:val="-8"/>
          <w:sz w:val="32"/>
          <w:szCs w:val="32"/>
          <w:lang w:eastAsia="zh-CN"/>
        </w:rPr>
        <w:t>，</w:t>
      </w:r>
      <w:r>
        <w:rPr>
          <w:rFonts w:hint="eastAsia" w:ascii="仿宋_GB2312" w:hAnsi="黑体" w:eastAsia="仿宋_GB2312"/>
          <w:color w:val="000000"/>
          <w:spacing w:val="-8"/>
          <w:sz w:val="32"/>
          <w:szCs w:val="32"/>
        </w:rPr>
        <w:t>协调推进“四个全面”战略布局</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统筹发展和安全，加快建设现代化经济体系，按照区委“</w:t>
      </w:r>
      <w:r>
        <w:rPr>
          <w:rFonts w:ascii="仿宋_GB2312" w:hAnsi="黑体" w:eastAsia="仿宋_GB2312"/>
          <w:color w:val="000000"/>
          <w:spacing w:val="-8"/>
          <w:sz w:val="32"/>
          <w:szCs w:val="32"/>
        </w:rPr>
        <w:t>1133</w:t>
      </w:r>
      <w:r>
        <w:rPr>
          <w:rFonts w:hint="eastAsia" w:ascii="仿宋_GB2312" w:hAnsi="黑体" w:eastAsia="仿宋_GB2312"/>
          <w:color w:val="000000"/>
          <w:spacing w:val="-8"/>
          <w:sz w:val="32"/>
          <w:szCs w:val="32"/>
        </w:rPr>
        <w:t>”发展思路，坚定不移推进创新驱动、城市建设、生态优先、创优环境、幸福民生、民主法治六大领域，精心打造品质生活之城，加快建设宜居乐业新区、厚德尚美满城，站稳全市第一方阵，奋力谱写全面建设社会主义现代化国家的满城篇章。</w:t>
      </w:r>
    </w:p>
    <w:p>
      <w:pPr>
        <w:pStyle w:val="4"/>
        <w:spacing w:before="0" w:after="0" w:line="570" w:lineRule="exact"/>
        <w:jc w:val="center"/>
        <w:rPr>
          <w:rFonts w:ascii="黑体" w:hAnsi="Times New Roman"/>
          <w:b w:val="0"/>
          <w:spacing w:val="-8"/>
          <w:kern w:val="2"/>
          <w:szCs w:val="32"/>
        </w:rPr>
      </w:pPr>
      <w:bookmarkStart w:id="14" w:name="_Toc63009716"/>
      <w:bookmarkStart w:id="15" w:name="_Toc24946"/>
      <w:r>
        <w:rPr>
          <w:rFonts w:hint="eastAsia" w:ascii="黑体" w:hAnsi="Times New Roman"/>
          <w:b w:val="0"/>
          <w:spacing w:val="-8"/>
          <w:kern w:val="2"/>
          <w:szCs w:val="32"/>
        </w:rPr>
        <w:t>第二节基本原则</w:t>
      </w:r>
      <w:bookmarkEnd w:id="14"/>
      <w:bookmarkEnd w:id="15"/>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坚持党的全面领导。坚持和完善党领导经济社会发展的体制机制，坚决执行维护党中央权威和集中统一领导的各项制度，不断提高贯彻新发展理念、构建新发展格局能力和水平，为实现高质量发展提供根本保证。</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以人民为中心。坚持人民至上和人民主体地位，坚持民生连着民心、民心是最大的政治，始终做到发展为了人民、发展依靠人民、发展成果由人民共享，把为民办事、为民造福作为最重要的政绩，顺应人民对美好生活的向往，实施民心工程，不断增进民生福祉。</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坚持新发展理念。把新发展理念贯穿发展全过程和各领域，切实转变发展方式，加快转型升级和提质增效，积极融入新发展格局，实现更高质量、更有效率、更加公平、更可持续、更为安全的发展。</w:t>
      </w:r>
    </w:p>
    <w:p>
      <w:pPr>
        <w:spacing w:line="570" w:lineRule="exact"/>
        <w:ind w:firstLine="608" w:firstLineChars="200"/>
        <w:rPr>
          <w:rFonts w:ascii="仿宋_GB2312" w:hAnsi="仿宋_GB2312" w:eastAsia="仿宋_GB2312" w:cs="仿宋_GB2312"/>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深化改革开放。坚定不移推进改革，坚定不移扩大开放，加强治理体系和治理能力现代化建设，破除制约高质量发展、高品质生活的体制机制障碍，强化有利于提高资源配置效率、有利于调动全社会积极性的重大改革开放举措，持续增强发展</w:t>
      </w:r>
      <w:r>
        <w:rPr>
          <w:rFonts w:hint="eastAsia" w:ascii="仿宋_GB2312" w:hAnsi="仿宋_GB2312" w:eastAsia="仿宋_GB2312" w:cs="仿宋_GB2312"/>
          <w:spacing w:val="-8"/>
          <w:sz w:val="32"/>
          <w:szCs w:val="32"/>
        </w:rPr>
        <w:t>动力和活力。</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系统观念。加强前瞻性思考、全局性谋划、战略性布局、整体性推进，发挥各方面积极性，着力固根基、扬优势、补短板、强弱项，注重防范化解重大风险挑战，实现发展质量、结构、规模、速度、效益、安全相统一，坚决当好首都政治“护城河”。</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协同发展。牢牢把握京津冀协同发展战略和雄安新区建设重大历史机遇，在主动承接北京非首都功能疏解和服务雄安新区建设上双向发力，全力推动交通、生态、产业等领域对接合作，积极承接北京非首都功能疏解。</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跨越赶超。着眼站稳全市第一方阵，进一步树牢发展是硬道理的思想，增强危机感、紧迫感和责任感，调动一切积极因素，焕发最佳精神状态，高标定位，事争一流，加快发展，奋力赶超，在拼搏竞进中实现满城跨越发展。</w:t>
      </w:r>
    </w:p>
    <w:p>
      <w:pPr>
        <w:pStyle w:val="4"/>
        <w:spacing w:before="0" w:after="0" w:line="570" w:lineRule="exact"/>
        <w:jc w:val="center"/>
        <w:rPr>
          <w:rFonts w:ascii="黑体" w:hAnsi="Times New Roman"/>
          <w:b w:val="0"/>
          <w:spacing w:val="-8"/>
          <w:kern w:val="2"/>
          <w:szCs w:val="32"/>
        </w:rPr>
      </w:pPr>
      <w:bookmarkStart w:id="16" w:name="_Toc63009717"/>
      <w:bookmarkStart w:id="17" w:name="_Toc9016"/>
      <w:r>
        <w:rPr>
          <w:rFonts w:hint="eastAsia" w:ascii="黑体" w:hAnsi="Times New Roman"/>
          <w:b w:val="0"/>
          <w:spacing w:val="-8"/>
          <w:kern w:val="2"/>
          <w:szCs w:val="32"/>
        </w:rPr>
        <w:t>第三节发展目标</w:t>
      </w:r>
      <w:bookmarkEnd w:id="16"/>
      <w:bookmarkEnd w:id="17"/>
    </w:p>
    <w:p>
      <w:pPr>
        <w:pStyle w:val="7"/>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“十四五”时期是我区快速发展的时期，要确保经济综合实力大幅度提升、协同发展取得实效、产业结构得到优化、科技创新明显突破、改革开放持续深入、生态文明实现飞跃、公共服务明显提升。</w:t>
      </w:r>
      <w:r>
        <w:rPr>
          <w:rFonts w:hint="eastAsia" w:ascii="仿宋_GB2312" w:eastAsia="仿宋_GB2312" w:cs="仿宋_GB2312"/>
          <w:b/>
          <w:bCs/>
          <w:spacing w:val="-8"/>
          <w:sz w:val="32"/>
          <w:szCs w:val="32"/>
        </w:rPr>
        <w:t>到</w:t>
      </w:r>
      <w:r>
        <w:rPr>
          <w:rFonts w:ascii="仿宋_GB2312" w:eastAsia="仿宋_GB2312" w:cs="仿宋_GB2312"/>
          <w:b/>
          <w:bCs/>
          <w:spacing w:val="-8"/>
          <w:sz w:val="32"/>
          <w:szCs w:val="32"/>
        </w:rPr>
        <w:t>2025</w:t>
      </w:r>
      <w:r>
        <w:rPr>
          <w:rFonts w:hint="eastAsia" w:ascii="仿宋_GB2312" w:eastAsia="仿宋_GB2312" w:cs="仿宋_GB2312"/>
          <w:b/>
          <w:bCs/>
          <w:spacing w:val="-8"/>
          <w:sz w:val="32"/>
          <w:szCs w:val="32"/>
        </w:rPr>
        <w:t>年，将我区建设成为经济繁荣发展、社会和谐稳定、文化繁荣昌盛、宜居宜业宜乐宜游的美好生活城市。保定市</w:t>
      </w:r>
      <w:r>
        <w:rPr>
          <w:rFonts w:hint="eastAsia" w:ascii="仿宋_GB2312" w:eastAsia="仿宋_GB2312" w:cs="仿宋_GB2312"/>
          <w:b/>
          <w:bCs/>
          <w:spacing w:val="-8"/>
          <w:sz w:val="32"/>
          <w:szCs w:val="32"/>
          <w:lang w:eastAsia="zh-CN"/>
        </w:rPr>
        <w:t>“十四五”规划</w:t>
      </w:r>
      <w:r>
        <w:rPr>
          <w:rFonts w:hint="eastAsia" w:ascii="仿宋_GB2312" w:eastAsia="仿宋_GB2312" w:cs="仿宋_GB2312"/>
          <w:b/>
          <w:bCs/>
          <w:spacing w:val="-8"/>
          <w:sz w:val="32"/>
          <w:szCs w:val="32"/>
        </w:rPr>
        <w:t>纲要对满城区城市定位：建设京津冀产业承接示范区、生态健康休闲区、新型城镇化和乡村振兴示范区，重点发展轨道交通装备、生物医药、高端装备制造、新材料等产业。</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综合实力显著增强。</w:t>
      </w:r>
      <w:r>
        <w:rPr>
          <w:rFonts w:hint="eastAsia" w:ascii="仿宋_GB2312" w:eastAsia="仿宋_GB2312" w:cs="仿宋_GB2312"/>
          <w:spacing w:val="-8"/>
          <w:sz w:val="32"/>
          <w:szCs w:val="32"/>
        </w:rPr>
        <w:t>经济总量跃上新台阶，稳中向好、稳中有进，经济规模进一步扩大，经济发展质量效益显著提升，全区地区生产总值年均增长</w:t>
      </w:r>
      <w:r>
        <w:rPr>
          <w:rFonts w:ascii="仿宋_GB2312" w:eastAsia="仿宋_GB2312" w:cs="仿宋_GB2312"/>
          <w:spacing w:val="-8"/>
          <w:sz w:val="32"/>
          <w:szCs w:val="32"/>
        </w:rPr>
        <w:t>8%</w:t>
      </w:r>
      <w:r>
        <w:rPr>
          <w:rFonts w:hint="eastAsia" w:ascii="仿宋_GB2312" w:eastAsia="仿宋_GB2312" w:cs="仿宋_GB2312"/>
          <w:spacing w:val="-8"/>
          <w:sz w:val="32"/>
          <w:szCs w:val="32"/>
        </w:rPr>
        <w:t>以上，在全市第一方阵位次稳中有升，营商便利度取得较大进步，政府债务风险可控。</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协同发展取得实效。</w:t>
      </w:r>
      <w:r>
        <w:rPr>
          <w:rFonts w:hint="eastAsia" w:ascii="仿宋_GB2312" w:eastAsia="仿宋_GB2312" w:cs="仿宋_GB2312"/>
          <w:spacing w:val="-8"/>
          <w:sz w:val="32"/>
          <w:szCs w:val="32"/>
        </w:rPr>
        <w:t>积极承接非首都功能疏解，保障重大项目落地，逐步形成优势互补同城化的现代区域圈。构建我区与雄安新区常态化对接机制，推动与雄安新区错位融合，一体化发展。区域一体化现代交通网络基本建成，生态环境协同治理探索出新机制、新模式，基本公共服务体系共建共享取得更多实效，协同创新体系升级完善，协同发展取得重大突破。</w:t>
      </w:r>
    </w:p>
    <w:p>
      <w:pPr>
        <w:spacing w:line="570" w:lineRule="exact"/>
        <w:ind w:firstLine="64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现代产业体系形成。</w:t>
      </w:r>
      <w:r>
        <w:rPr>
          <w:rFonts w:hint="eastAsia" w:ascii="仿宋_GB2312" w:eastAsia="仿宋_GB2312" w:cs="仿宋_GB2312"/>
          <w:spacing w:val="-8"/>
          <w:sz w:val="32"/>
          <w:szCs w:val="32"/>
        </w:rPr>
        <w:t>高端制造业高质量发展迈向新水平，产业基础能力和产业链水平加快提升，转型升级取得新进展，“互联网</w:t>
      </w:r>
      <w:r>
        <w:rPr>
          <w:rFonts w:ascii="仿宋_GB2312" w:eastAsia="仿宋_GB2312" w:cs="仿宋_GB2312"/>
          <w:spacing w:val="-8"/>
          <w:sz w:val="32"/>
          <w:szCs w:val="32"/>
        </w:rPr>
        <w:t>+</w:t>
      </w:r>
      <w:r>
        <w:rPr>
          <w:rFonts w:hint="eastAsia" w:ascii="仿宋_GB2312" w:eastAsia="仿宋_GB2312" w:cs="仿宋_GB2312"/>
          <w:spacing w:val="-8"/>
          <w:sz w:val="32"/>
          <w:szCs w:val="32"/>
        </w:rPr>
        <w:t>”、“智能</w:t>
      </w:r>
      <w:r>
        <w:rPr>
          <w:rFonts w:ascii="仿宋_GB2312" w:eastAsia="仿宋_GB2312" w:cs="仿宋_GB2312"/>
          <w:spacing w:val="-8"/>
          <w:sz w:val="32"/>
          <w:szCs w:val="32"/>
        </w:rPr>
        <w:t>+</w:t>
      </w:r>
      <w:r>
        <w:rPr>
          <w:rFonts w:hint="eastAsia" w:ascii="仿宋_GB2312" w:eastAsia="仿宋_GB2312" w:cs="仿宋_GB2312"/>
          <w:spacing w:val="-8"/>
          <w:sz w:val="32"/>
          <w:szCs w:val="32"/>
        </w:rPr>
        <w:t>”、“文化</w:t>
      </w:r>
      <w:r>
        <w:rPr>
          <w:rFonts w:ascii="仿宋_GB2312" w:eastAsia="仿宋_GB2312" w:cs="仿宋_GB2312"/>
          <w:spacing w:val="-8"/>
          <w:sz w:val="32"/>
          <w:szCs w:val="32"/>
        </w:rPr>
        <w:t>+</w:t>
      </w:r>
      <w:r>
        <w:rPr>
          <w:rFonts w:hint="eastAsia" w:ascii="仿宋_GB2312" w:eastAsia="仿宋_GB2312" w:cs="仿宋_GB2312"/>
          <w:spacing w:val="-8"/>
          <w:sz w:val="32"/>
          <w:szCs w:val="32"/>
        </w:rPr>
        <w:t>”、“工业设计</w:t>
      </w:r>
      <w:r>
        <w:rPr>
          <w:rFonts w:ascii="仿宋_GB2312" w:eastAsia="仿宋_GB2312" w:cs="仿宋_GB2312"/>
          <w:spacing w:val="-8"/>
          <w:sz w:val="32"/>
          <w:szCs w:val="32"/>
        </w:rPr>
        <w:t>+</w:t>
      </w:r>
      <w:r>
        <w:rPr>
          <w:rFonts w:hint="eastAsia" w:ascii="仿宋_GB2312" w:eastAsia="仿宋_GB2312" w:cs="仿宋_GB2312"/>
          <w:spacing w:val="-8"/>
          <w:sz w:val="32"/>
          <w:szCs w:val="32"/>
        </w:rPr>
        <w:t>”等各种形式的产业融合催生一批新兴业态，现代服务业地位更加巩固，农业现代化多点发力。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区域城乡格局优化。</w:t>
      </w:r>
      <w:r>
        <w:rPr>
          <w:rFonts w:hint="eastAsia" w:ascii="仿宋_GB2312" w:eastAsia="仿宋_GB2312" w:cs="仿宋_GB2312"/>
          <w:spacing w:val="-8"/>
          <w:sz w:val="32"/>
          <w:szCs w:val="32"/>
        </w:rPr>
        <w:t>优势互补、高质量发展的区域格局基本形成，城市发展地位巩固提升。基础设施现代化水平明显提高。新型城镇化建设成效显现，一批美丽乡村和特色小镇交相辉映，全面构筑起“一核四区”的城市组团发展新格局。“六馆一中心”综合体成为城市新地标。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年全区常住人口城镇化率达到</w:t>
      </w:r>
      <w:r>
        <w:rPr>
          <w:rFonts w:ascii="仿宋_GB2312" w:eastAsia="仿宋_GB2312" w:cs="仿宋_GB2312"/>
          <w:spacing w:val="-8"/>
          <w:sz w:val="32"/>
          <w:szCs w:val="32"/>
        </w:rPr>
        <w:t>64%</w:t>
      </w:r>
      <w:r>
        <w:rPr>
          <w:rFonts w:hint="eastAsia" w:ascii="仿宋_GB2312" w:eastAsia="仿宋_GB2312" w:cs="仿宋_GB2312"/>
          <w:spacing w:val="-8"/>
          <w:sz w:val="32"/>
          <w:szCs w:val="32"/>
        </w:rPr>
        <w:t>。</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科技创新支撑有力。</w:t>
      </w:r>
      <w:r>
        <w:rPr>
          <w:rFonts w:hint="eastAsia" w:ascii="仿宋_GB2312" w:eastAsia="仿宋_GB2312" w:cs="仿宋_GB2312"/>
          <w:spacing w:val="-8"/>
          <w:sz w:val="32"/>
          <w:szCs w:val="32"/>
        </w:rPr>
        <w:t>依托石保廊全面创新改革试验区和京南科技成果转移转化示范区，满城科技示范区建设取得更大突破，创新型区域建设全面推进，区域创新生态提升工程分类实施，区域创新生态明显改善，富有活力的区域创新体系初步形成，“大众创业、万众创新”为发展注入更加强劲活力，与京津雄的协同创新迈上更高台阶。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年，研究与试验发展经费投入强度达到</w:t>
      </w:r>
      <w:r>
        <w:rPr>
          <w:rFonts w:ascii="仿宋_GB2312" w:eastAsia="仿宋_GB2312" w:cs="仿宋_GB2312"/>
          <w:spacing w:val="-8"/>
          <w:sz w:val="32"/>
          <w:szCs w:val="32"/>
        </w:rPr>
        <w:t>2.1%</w:t>
      </w:r>
      <w:r>
        <w:rPr>
          <w:rFonts w:hint="eastAsia" w:ascii="仿宋_GB2312" w:eastAsia="仿宋_GB2312" w:cs="仿宋_GB2312"/>
          <w:spacing w:val="-8"/>
          <w:sz w:val="32"/>
          <w:szCs w:val="32"/>
        </w:rPr>
        <w:t>。</w:t>
      </w:r>
    </w:p>
    <w:p>
      <w:pPr>
        <w:spacing w:line="570" w:lineRule="exact"/>
        <w:ind w:firstLine="611" w:firstLineChars="200"/>
        <w:rPr>
          <w:rFonts w:ascii="仿宋_GB2312" w:hAnsi="仿宋" w:eastAsia="仿宋_GB2312"/>
          <w:color w:val="000000"/>
          <w:spacing w:val="-8"/>
          <w:sz w:val="32"/>
          <w:szCs w:val="32"/>
        </w:rPr>
      </w:pPr>
      <w:r>
        <w:rPr>
          <w:rFonts w:hint="eastAsia" w:ascii="仿宋_GB2312" w:hAnsi="仿宋" w:eastAsia="仿宋_GB2312"/>
          <w:b/>
          <w:bCs/>
          <w:color w:val="000000"/>
          <w:spacing w:val="-8"/>
          <w:sz w:val="32"/>
          <w:szCs w:val="32"/>
        </w:rPr>
        <w:t>改革开放持续深入。</w:t>
      </w:r>
      <w:r>
        <w:rPr>
          <w:rFonts w:hint="eastAsia" w:ascii="仿宋_GB2312" w:eastAsia="仿宋_GB2312" w:cs="仿宋_GB2312"/>
          <w:spacing w:val="-8"/>
          <w:sz w:val="32"/>
          <w:szCs w:val="32"/>
        </w:rPr>
        <w:t>扎实、有效、全面完成中央、省、市确定的改革任务，重点领域和关键环节改革取得标志性成果，探索出一些可推广可复制的改革经验。改革开放深入推进，国内外开放合作的能力明显增强，开放型经济体系基本确立，大开放格局全面形成。</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生态环境实现飞跃。</w:t>
      </w:r>
      <w:r>
        <w:rPr>
          <w:rFonts w:hint="eastAsia" w:ascii="仿宋_GB2312" w:eastAsia="仿宋_GB2312" w:cs="仿宋_GB2312"/>
          <w:spacing w:val="-8"/>
          <w:sz w:val="32"/>
          <w:szCs w:val="32"/>
        </w:rPr>
        <w:t>生态环境综合治理取得重大进展，大气污染状况明显好转，水环境持续改善，土壤污染治理有序推进，垃圾分类、绿色低碳循环发展模式全面形成，天蓝、地绿、山秀、水清、村美的“大美满城”新时代画卷基本展现。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年，单位</w:t>
      </w:r>
      <w:r>
        <w:rPr>
          <w:rFonts w:ascii="仿宋_GB2312" w:eastAsia="仿宋_GB2312" w:cs="仿宋_GB2312"/>
          <w:spacing w:val="-8"/>
          <w:sz w:val="32"/>
          <w:szCs w:val="32"/>
        </w:rPr>
        <w:t>GDP</w:t>
      </w:r>
      <w:r>
        <w:rPr>
          <w:rFonts w:hint="eastAsia" w:ascii="仿宋_GB2312" w:eastAsia="仿宋_GB2312" w:cs="仿宋_GB2312"/>
          <w:spacing w:val="-8"/>
          <w:sz w:val="32"/>
          <w:szCs w:val="32"/>
        </w:rPr>
        <w:t>能耗降低和主要污染物排放达到省、市要求，森林覆盖率提高到</w:t>
      </w:r>
      <w:r>
        <w:rPr>
          <w:rFonts w:ascii="仿宋_GB2312" w:eastAsia="仿宋_GB2312" w:cs="仿宋_GB2312"/>
          <w:spacing w:val="-8"/>
          <w:sz w:val="32"/>
          <w:szCs w:val="32"/>
        </w:rPr>
        <w:t>27.7%</w:t>
      </w:r>
      <w:r>
        <w:rPr>
          <w:rFonts w:hint="eastAsia" w:ascii="仿宋_GB2312" w:eastAsia="仿宋_GB2312" w:cs="仿宋_GB2312"/>
          <w:spacing w:val="-8"/>
          <w:sz w:val="32"/>
          <w:szCs w:val="32"/>
        </w:rPr>
        <w:t>。</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社会民生全面提升。</w:t>
      </w:r>
      <w:r>
        <w:rPr>
          <w:rFonts w:hint="eastAsia" w:ascii="仿宋_GB2312" w:eastAsia="仿宋_GB2312" w:cs="仿宋_GB2312"/>
          <w:spacing w:val="-8"/>
          <w:sz w:val="32"/>
          <w:szCs w:val="32"/>
        </w:rPr>
        <w:t>城乡居民收入增速超过经济增速，中等收入群体规模持续壮大，社会就业更加充分，社会保障体系健全完善，科教文卫事业繁荣发展，公共服务水平显著提高，精神文明建设丰富多样，人民群众生活质量、健康水平、居住环境明显改善。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年，脱贫攻坚成果继续巩固提升，“幸福满城”建设实现新跨越。</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社会治理取得进步。</w:t>
      </w:r>
      <w:r>
        <w:rPr>
          <w:rFonts w:hint="eastAsia" w:ascii="仿宋_GB2312" w:eastAsia="仿宋_GB2312" w:cs="仿宋_GB2312"/>
          <w:spacing w:val="-8"/>
          <w:sz w:val="32"/>
          <w:szCs w:val="32"/>
        </w:rPr>
        <w:t>城市治理体系和治理能力现代化建设加快，群众诉求表达、利益协调和权益保障通道畅通规范，社会治安的立体化、法治化、专业化、智能化水平显著增强，高水平“平安满城”建设纵深推进，“善治满城”社会和谐稳定局面巩固提升，公共安全体系健全有力，全社会防范灾害能力显著增强。</w:t>
      </w:r>
    </w:p>
    <w:p>
      <w:pPr>
        <w:pStyle w:val="19"/>
      </w:pPr>
    </w:p>
    <w:p/>
    <w:p>
      <w:pPr>
        <w:pStyle w:val="19"/>
      </w:pPr>
    </w:p>
    <w:p/>
    <w:p>
      <w:pPr>
        <w:pStyle w:val="19"/>
      </w:pPr>
    </w:p>
    <w:p>
      <w:pPr>
        <w:pStyle w:val="19"/>
      </w:pPr>
    </w:p>
    <w:tbl>
      <w:tblPr>
        <w:tblStyle w:val="23"/>
        <w:tblW w:w="5000" w:type="pct"/>
        <w:tblInd w:w="0" w:type="dxa"/>
        <w:tblLayout w:type="autofit"/>
        <w:tblCellMar>
          <w:top w:w="0" w:type="dxa"/>
          <w:left w:w="0" w:type="dxa"/>
          <w:bottom w:w="0" w:type="dxa"/>
          <w:right w:w="0" w:type="dxa"/>
        </w:tblCellMar>
      </w:tblPr>
      <w:tblGrid>
        <w:gridCol w:w="498"/>
        <w:gridCol w:w="4349"/>
        <w:gridCol w:w="966"/>
        <w:gridCol w:w="790"/>
        <w:gridCol w:w="966"/>
        <w:gridCol w:w="965"/>
      </w:tblGrid>
      <w:tr>
        <w:tblPrEx>
          <w:tblCellMar>
            <w:top w:w="0" w:type="dxa"/>
            <w:left w:w="0" w:type="dxa"/>
            <w:bottom w:w="0" w:type="dxa"/>
            <w:right w:w="0" w:type="dxa"/>
          </w:tblCellMar>
        </w:tblPrEx>
        <w:trPr>
          <w:trHeight w:val="540" w:hRule="atLeast"/>
        </w:trPr>
        <w:tc>
          <w:tcPr>
            <w:tcW w:w="5000" w:type="pct"/>
            <w:gridSpan w:val="6"/>
            <w:tcBorders>
              <w:top w:val="nil"/>
              <w:left w:val="nil"/>
              <w:bottom w:val="nil"/>
              <w:right w:val="nil"/>
            </w:tcBorders>
            <w:noWrap/>
            <w:tcMar>
              <w:top w:w="15" w:type="dxa"/>
              <w:left w:w="15" w:type="dxa"/>
              <w:right w:w="15" w:type="dxa"/>
            </w:tcMar>
            <w:vAlign w:val="center"/>
          </w:tcPr>
          <w:p>
            <w:pPr>
              <w:spacing w:line="570" w:lineRule="exact"/>
              <w:jc w:val="center"/>
              <w:textAlignment w:val="center"/>
              <w:rPr>
                <w:rFonts w:ascii="黑体" w:eastAsia="黑体" w:cs="宋体"/>
                <w:color w:val="000000"/>
                <w:sz w:val="30"/>
                <w:szCs w:val="30"/>
              </w:rPr>
            </w:pPr>
            <w:r>
              <w:rPr>
                <w:rFonts w:hint="eastAsia" w:ascii="黑体" w:hAnsi="宋体" w:eastAsia="黑体" w:cs="宋体"/>
                <w:color w:val="000000"/>
                <w:kern w:val="0"/>
                <w:sz w:val="30"/>
                <w:szCs w:val="30"/>
              </w:rPr>
              <w:t>保定市满城区“十四五”经济社会发展主要目标</w:t>
            </w:r>
          </w:p>
        </w:tc>
      </w:tr>
      <w:tr>
        <w:tblPrEx>
          <w:tblCellMar>
            <w:top w:w="0" w:type="dxa"/>
            <w:left w:w="0" w:type="dxa"/>
            <w:bottom w:w="0" w:type="dxa"/>
            <w:right w:w="0" w:type="dxa"/>
          </w:tblCellMar>
        </w:tblPrEx>
        <w:trPr>
          <w:trHeight w:val="380" w:hRule="atLeast"/>
        </w:trPr>
        <w:tc>
          <w:tcPr>
            <w:tcW w:w="29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序号</w:t>
            </w:r>
          </w:p>
        </w:tc>
        <w:tc>
          <w:tcPr>
            <w:tcW w:w="254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指标名称</w:t>
            </w:r>
          </w:p>
        </w:tc>
        <w:tc>
          <w:tcPr>
            <w:tcW w:w="566"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指标属性</w:t>
            </w:r>
          </w:p>
        </w:tc>
        <w:tc>
          <w:tcPr>
            <w:tcW w:w="1594"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w:t>
            </w:r>
            <w:r>
              <w:rPr>
                <w:rFonts w:hint="eastAsia" w:ascii="仿宋_GB2312" w:hAnsi="宋体" w:eastAsia="仿宋_GB2312" w:cs="宋体"/>
                <w:color w:val="000000"/>
                <w:spacing w:val="-8"/>
                <w:kern w:val="0"/>
                <w:sz w:val="24"/>
                <w:szCs w:val="21"/>
              </w:rPr>
              <w:t>十四五</w:t>
            </w:r>
            <w:r>
              <w:rPr>
                <w:rFonts w:hint="eastAsia" w:ascii="仿宋_GB2312" w:hAnsi="Tahoma" w:eastAsia="仿宋_GB2312" w:cs="Tahoma"/>
                <w:color w:val="000000"/>
                <w:spacing w:val="-8"/>
                <w:kern w:val="0"/>
                <w:sz w:val="24"/>
                <w:szCs w:val="21"/>
              </w:rPr>
              <w:t>”</w:t>
            </w:r>
            <w:r>
              <w:rPr>
                <w:rFonts w:hint="eastAsia" w:ascii="仿宋_GB2312" w:hAnsi="宋体" w:eastAsia="仿宋_GB2312" w:cs="宋体"/>
                <w:color w:val="000000"/>
                <w:spacing w:val="-8"/>
                <w:kern w:val="0"/>
                <w:sz w:val="24"/>
                <w:szCs w:val="21"/>
              </w:rPr>
              <w:t>规划目标</w:t>
            </w:r>
          </w:p>
        </w:tc>
      </w:tr>
      <w:tr>
        <w:tblPrEx>
          <w:tblCellMar>
            <w:top w:w="0" w:type="dxa"/>
            <w:left w:w="0" w:type="dxa"/>
            <w:bottom w:w="0" w:type="dxa"/>
            <w:right w:w="0" w:type="dxa"/>
          </w:tblCellMar>
        </w:tblPrEx>
        <w:trPr>
          <w:trHeight w:val="547" w:hRule="atLeast"/>
        </w:trPr>
        <w:tc>
          <w:tcPr>
            <w:tcW w:w="29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254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2020</w:t>
            </w:r>
            <w:r>
              <w:rPr>
                <w:rFonts w:hint="eastAsia" w:ascii="仿宋_GB2312" w:hAnsi="宋体" w:eastAsia="仿宋_GB2312" w:cs="宋体"/>
                <w:color w:val="000000"/>
                <w:spacing w:val="-8"/>
                <w:kern w:val="0"/>
                <w:sz w:val="24"/>
                <w:szCs w:val="21"/>
              </w:rPr>
              <w:t>年</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2025</w:t>
            </w:r>
            <w:r>
              <w:rPr>
                <w:rFonts w:hint="eastAsia" w:ascii="仿宋_GB2312" w:hAnsi="宋体" w:eastAsia="仿宋_GB2312" w:cs="宋体"/>
                <w:color w:val="000000"/>
                <w:spacing w:val="-8"/>
                <w:kern w:val="0"/>
                <w:sz w:val="24"/>
                <w:szCs w:val="21"/>
              </w:rPr>
              <w:t>年</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宋体" w:eastAsia="仿宋_GB2312" w:cs="宋体"/>
                <w:color w:val="000000"/>
                <w:spacing w:val="-8"/>
                <w:kern w:val="0"/>
                <w:sz w:val="24"/>
                <w:szCs w:val="21"/>
              </w:rPr>
            </w:pPr>
            <w:r>
              <w:rPr>
                <w:rFonts w:hint="eastAsia" w:ascii="仿宋_GB2312" w:hAnsi="宋体" w:eastAsia="仿宋_GB2312" w:cs="宋体"/>
                <w:color w:val="000000"/>
                <w:spacing w:val="-8"/>
                <w:kern w:val="0"/>
                <w:sz w:val="24"/>
                <w:szCs w:val="21"/>
              </w:rPr>
              <w:t>年均增长</w:t>
            </w:r>
          </w:p>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经济发展（2项）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地区生产总值增长（%）</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8</w:t>
            </w:r>
            <w:r>
              <w:rPr>
                <w:rFonts w:hint="eastAsia" w:ascii="仿宋_GB2312" w:hAnsi="宋体" w:eastAsia="仿宋_GB2312" w:cs="宋体"/>
                <w:color w:val="000000"/>
                <w:spacing w:val="-8"/>
                <w:kern w:val="0"/>
                <w:sz w:val="24"/>
                <w:szCs w:val="21"/>
              </w:rPr>
              <w:t>以上</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2</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常住人口城镇化率（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55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64</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创新驱动（</w:t>
            </w:r>
            <w:r>
              <w:rPr>
                <w:rFonts w:hint="eastAsia" w:ascii="仿宋_GB2312" w:hAnsi="Tahoma" w:eastAsia="仿宋_GB2312" w:cs="Tahoma"/>
                <w:b/>
                <w:color w:val="000000"/>
                <w:spacing w:val="-8"/>
                <w:kern w:val="0"/>
                <w:sz w:val="24"/>
                <w:szCs w:val="21"/>
              </w:rPr>
              <w:t>2</w:t>
            </w:r>
            <w:r>
              <w:rPr>
                <w:rFonts w:hint="eastAsia" w:ascii="仿宋_GB2312" w:hAnsi="宋体" w:eastAsia="仿宋_GB2312" w:cs="宋体"/>
                <w:b/>
                <w:color w:val="000000"/>
                <w:spacing w:val="-8"/>
                <w:kern w:val="0"/>
                <w:sz w:val="24"/>
                <w:szCs w:val="21"/>
              </w:rPr>
              <w:t>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3</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全社会研发经费投入增长（</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2.01</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2.1</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4</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每万人口高价值发明专利拥有量（件）</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3.5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hAnsi="Tahoma" w:eastAsia="仿宋_GB2312" w:cs="Tahoma"/>
                <w:b/>
                <w:color w:val="000000"/>
                <w:spacing w:val="-8"/>
                <w:sz w:val="24"/>
                <w:szCs w:val="21"/>
              </w:rPr>
            </w:pPr>
            <w:r>
              <w:rPr>
                <w:rFonts w:hint="eastAsia" w:ascii="仿宋_GB2312" w:hAnsi="宋体" w:eastAsia="仿宋_GB2312" w:cs="宋体"/>
                <w:b/>
                <w:color w:val="000000"/>
                <w:spacing w:val="-8"/>
                <w:kern w:val="0"/>
                <w:sz w:val="24"/>
                <w:szCs w:val="21"/>
              </w:rPr>
              <w:t>民生福祉（</w:t>
            </w:r>
            <w:r>
              <w:rPr>
                <w:rFonts w:ascii="仿宋_GB2312" w:hAnsi="Tahoma" w:eastAsia="仿宋_GB2312" w:cs="Tahoma"/>
                <w:b/>
                <w:color w:val="000000"/>
                <w:spacing w:val="-8"/>
                <w:kern w:val="0"/>
                <w:sz w:val="24"/>
                <w:szCs w:val="21"/>
              </w:rPr>
              <w:t>7</w:t>
            </w:r>
            <w:r>
              <w:rPr>
                <w:rFonts w:hint="eastAsia" w:ascii="仿宋_GB2312" w:hAnsi="宋体" w:eastAsia="仿宋_GB2312" w:cs="宋体"/>
                <w:b/>
                <w:color w:val="000000"/>
                <w:spacing w:val="-8"/>
                <w:kern w:val="0"/>
                <w:sz w:val="24"/>
                <w:szCs w:val="21"/>
              </w:rPr>
              <w:t>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5</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居民人均可支配收入增长（</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8</w:t>
            </w:r>
            <w:r>
              <w:rPr>
                <w:rFonts w:hint="eastAsia" w:ascii="仿宋_GB2312" w:hAnsi="宋体" w:eastAsia="仿宋_GB2312" w:cs="宋体"/>
                <w:color w:val="000000"/>
                <w:spacing w:val="-8"/>
                <w:kern w:val="0"/>
                <w:sz w:val="24"/>
                <w:szCs w:val="21"/>
              </w:rPr>
              <w:t>以上</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6</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城镇调查失业率（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5.5</w:t>
            </w:r>
            <w:r>
              <w:rPr>
                <w:rFonts w:hint="eastAsia" w:ascii="仿宋_GB2312" w:hAnsi="宋体" w:eastAsia="仿宋_GB2312" w:cs="宋体"/>
                <w:color w:val="000000"/>
                <w:spacing w:val="-8"/>
                <w:kern w:val="0"/>
                <w:sz w:val="24"/>
                <w:szCs w:val="21"/>
              </w:rPr>
              <w:t>左右</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7</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劳动年龄人口平均受教育年限（年）</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11.2</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8</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每千人口执业（助理）医师数（人）</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3.75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4</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9</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基本养老保险参保率（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90</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95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0</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hAnsi="Tahoma" w:eastAsia="仿宋_GB2312" w:cs="Tahoma"/>
                <w:color w:val="000000"/>
                <w:spacing w:val="-12"/>
                <w:sz w:val="24"/>
                <w:szCs w:val="21"/>
              </w:rPr>
            </w:pPr>
            <w:r>
              <w:rPr>
                <w:rFonts w:hint="eastAsia" w:ascii="仿宋_GB2312" w:hAnsi="宋体" w:eastAsia="仿宋_GB2312" w:cs="宋体"/>
                <w:color w:val="000000"/>
                <w:spacing w:val="-12"/>
                <w:kern w:val="0"/>
                <w:sz w:val="24"/>
                <w:szCs w:val="21"/>
              </w:rPr>
              <w:t>每千人口拥有</w:t>
            </w:r>
            <w:r>
              <w:rPr>
                <w:rFonts w:ascii="仿宋_GB2312" w:hAnsi="Tahoma" w:eastAsia="仿宋_GB2312" w:cs="Tahoma"/>
                <w:color w:val="000000"/>
                <w:spacing w:val="-12"/>
                <w:kern w:val="0"/>
                <w:sz w:val="24"/>
                <w:szCs w:val="21"/>
              </w:rPr>
              <w:t>3</w:t>
            </w:r>
            <w:r>
              <w:rPr>
                <w:rFonts w:hint="eastAsia" w:ascii="仿宋_GB2312" w:hAnsi="宋体" w:eastAsia="仿宋_GB2312" w:cs="宋体"/>
                <w:color w:val="000000"/>
                <w:spacing w:val="-12"/>
                <w:kern w:val="0"/>
                <w:sz w:val="24"/>
                <w:szCs w:val="21"/>
              </w:rPr>
              <w:t>岁以下婴幼儿托位数（个）</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3</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1</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人均预期寿命（岁）</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77.59</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78.5</w:t>
            </w:r>
            <w:r>
              <w:rPr>
                <w:rFonts w:hint="eastAsia" w:ascii="仿宋_GB2312" w:hAnsi="宋体" w:eastAsia="仿宋_GB2312" w:cs="宋体"/>
                <w:color w:val="000000"/>
                <w:spacing w:val="-8"/>
                <w:kern w:val="0"/>
                <w:sz w:val="24"/>
                <w:szCs w:val="21"/>
              </w:rPr>
              <w:t>9</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绿色发展（6项）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2</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hAnsi="Tahoma" w:eastAsia="仿宋_GB2312" w:cs="Tahoma"/>
                <w:color w:val="000000"/>
                <w:spacing w:val="-8"/>
                <w:sz w:val="24"/>
                <w:szCs w:val="21"/>
              </w:rPr>
            </w:pPr>
            <w:r>
              <w:rPr>
                <w:rFonts w:hint="eastAsia" w:ascii="仿宋_GB2312" w:hAnsi="宋体" w:eastAsia="仿宋_GB2312" w:cs="宋体"/>
                <w:color w:val="000000"/>
                <w:spacing w:val="-8"/>
                <w:kern w:val="0"/>
                <w:sz w:val="24"/>
                <w:szCs w:val="21"/>
              </w:rPr>
              <w:t>单位</w:t>
            </w:r>
            <w:r>
              <w:rPr>
                <w:rFonts w:hint="eastAsia" w:ascii="仿宋_GB2312" w:hAnsi="Tahoma" w:eastAsia="仿宋_GB2312" w:cs="Tahoma"/>
                <w:color w:val="000000"/>
                <w:spacing w:val="-8"/>
                <w:kern w:val="0"/>
                <w:sz w:val="24"/>
                <w:szCs w:val="21"/>
              </w:rPr>
              <w:t>地区生产总值</w:t>
            </w:r>
            <w:r>
              <w:rPr>
                <w:rFonts w:hint="eastAsia" w:ascii="仿宋_GB2312" w:hAnsi="宋体" w:eastAsia="仿宋_GB2312" w:cs="宋体"/>
                <w:color w:val="000000"/>
                <w:spacing w:val="-8"/>
                <w:kern w:val="0"/>
                <w:sz w:val="24"/>
                <w:szCs w:val="21"/>
              </w:rPr>
              <w:t>能源消耗降低（</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3</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hAnsi="Tahoma" w:eastAsia="仿宋_GB2312" w:cs="Tahoma"/>
                <w:color w:val="000000"/>
                <w:spacing w:val="-8"/>
                <w:sz w:val="24"/>
                <w:szCs w:val="21"/>
              </w:rPr>
            </w:pPr>
            <w:r>
              <w:rPr>
                <w:rFonts w:hint="eastAsia" w:ascii="仿宋_GB2312" w:hAnsi="宋体" w:eastAsia="仿宋_GB2312" w:cs="宋体"/>
                <w:color w:val="000000"/>
                <w:spacing w:val="-8"/>
                <w:kern w:val="0"/>
                <w:sz w:val="24"/>
                <w:szCs w:val="21"/>
              </w:rPr>
              <w:t>单位</w:t>
            </w:r>
            <w:r>
              <w:rPr>
                <w:rFonts w:hint="eastAsia" w:ascii="仿宋_GB2312" w:hAnsi="Tahoma" w:eastAsia="仿宋_GB2312" w:cs="Tahoma"/>
                <w:color w:val="000000"/>
                <w:spacing w:val="-8"/>
                <w:kern w:val="0"/>
                <w:sz w:val="24"/>
                <w:szCs w:val="21"/>
              </w:rPr>
              <w:t>地区生产总值</w:t>
            </w:r>
            <w:r>
              <w:rPr>
                <w:rFonts w:hint="eastAsia" w:ascii="仿宋_GB2312" w:hAnsi="宋体" w:eastAsia="仿宋_GB2312" w:cs="宋体"/>
                <w:color w:val="000000"/>
                <w:spacing w:val="-8"/>
                <w:kern w:val="0"/>
                <w:sz w:val="24"/>
                <w:szCs w:val="21"/>
              </w:rPr>
              <w:t>二氧化碳排放降低（</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14</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空气质量优良天数比率（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59.8</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15</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细颗粒物（</w:t>
            </w:r>
            <w:r>
              <w:rPr>
                <w:rFonts w:ascii="仿宋_GB2312" w:hAnsi="Tahoma" w:eastAsia="仿宋_GB2312" w:cs="Tahoma"/>
                <w:color w:val="000000"/>
                <w:spacing w:val="-8"/>
                <w:kern w:val="0"/>
                <w:sz w:val="24"/>
                <w:szCs w:val="21"/>
              </w:rPr>
              <w:t>PM2.5</w:t>
            </w:r>
            <w:r>
              <w:rPr>
                <w:rFonts w:hint="eastAsia" w:ascii="仿宋_GB2312" w:hAnsi="宋体" w:eastAsia="仿宋_GB2312" w:cs="宋体"/>
                <w:color w:val="000000"/>
                <w:spacing w:val="-8"/>
                <w:kern w:val="0"/>
                <w:sz w:val="24"/>
                <w:szCs w:val="21"/>
              </w:rPr>
              <w:t>）浓度降低（</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10.53</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16</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地下水压采量（亿立方米）</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 xml:space="preserve">0.059 </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17</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森林覆盖率（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26.7</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27.7</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安全保障（</w:t>
            </w:r>
            <w:r>
              <w:rPr>
                <w:rFonts w:hint="eastAsia" w:ascii="仿宋_GB2312" w:hAnsi="Tahoma" w:eastAsia="仿宋_GB2312" w:cs="Tahoma"/>
                <w:b/>
                <w:color w:val="000000"/>
                <w:spacing w:val="-8"/>
                <w:kern w:val="0"/>
                <w:sz w:val="24"/>
                <w:szCs w:val="21"/>
              </w:rPr>
              <w:t>1</w:t>
            </w:r>
            <w:r>
              <w:rPr>
                <w:rFonts w:hint="eastAsia" w:ascii="仿宋_GB2312" w:hAnsi="宋体" w:eastAsia="仿宋_GB2312" w:cs="宋体"/>
                <w:b/>
                <w:color w:val="000000"/>
                <w:spacing w:val="-8"/>
                <w:kern w:val="0"/>
                <w:sz w:val="24"/>
                <w:szCs w:val="21"/>
              </w:rPr>
              <w:t>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18</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粮食综合生产能力（万吨）</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29.6</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29.6</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bl>
    <w:p>
      <w:pPr>
        <w:pStyle w:val="19"/>
      </w:pPr>
      <w: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8" w:name="_Toc7706"/>
      <w:bookmarkStart w:id="19" w:name="_Toc63009718"/>
      <w:r>
        <w:rPr>
          <w:rFonts w:hint="eastAsia" w:ascii="方正小标宋简体" w:hAnsi="黑体" w:eastAsia="方正小标宋简体" w:cs="宋体"/>
          <w:b w:val="0"/>
          <w:spacing w:val="-8"/>
          <w:kern w:val="2"/>
          <w:sz w:val="36"/>
          <w:szCs w:val="36"/>
        </w:rPr>
        <w:t>第三章实施创新驱动发展战略，增强区域发展活力</w:t>
      </w:r>
      <w:bookmarkEnd w:id="18"/>
      <w:bookmarkEnd w:id="19"/>
    </w:p>
    <w:p>
      <w:pPr>
        <w:spacing w:line="570" w:lineRule="exact"/>
      </w:pPr>
    </w:p>
    <w:p>
      <w:pPr>
        <w:spacing w:line="570" w:lineRule="exact"/>
        <w:ind w:firstLine="643"/>
        <w:rPr>
          <w:rFonts w:ascii="仿宋_GB2312" w:eastAsia="仿宋_GB2312" w:cs="仿宋_GB2312"/>
          <w:spacing w:val="-8"/>
          <w:sz w:val="32"/>
          <w:szCs w:val="32"/>
        </w:rPr>
      </w:pPr>
      <w:r>
        <w:rPr>
          <w:rFonts w:hint="eastAsia" w:ascii="仿宋_GB2312" w:eastAsia="仿宋_GB2312" w:cs="仿宋_GB2312"/>
          <w:spacing w:val="-8"/>
          <w:sz w:val="32"/>
          <w:szCs w:val="32"/>
        </w:rPr>
        <w:t>发展是第一要务，创新是第一动力。紧紧抓住石保廊全面创新改革试验区和京南科技成果转移转化示范区建设的重大机遇，整合创新力量，争当创新发展的“排头兵”。</w:t>
      </w:r>
    </w:p>
    <w:p>
      <w:pPr>
        <w:pStyle w:val="4"/>
        <w:spacing w:before="0" w:after="0" w:line="570" w:lineRule="exact"/>
        <w:jc w:val="center"/>
        <w:rPr>
          <w:rFonts w:ascii="黑体" w:hAnsi="Times New Roman"/>
          <w:b w:val="0"/>
          <w:spacing w:val="-8"/>
          <w:kern w:val="2"/>
          <w:szCs w:val="32"/>
        </w:rPr>
      </w:pPr>
      <w:bookmarkStart w:id="20" w:name="_Toc63009719"/>
      <w:bookmarkStart w:id="21" w:name="_Toc22921"/>
      <w:r>
        <w:rPr>
          <w:rFonts w:hint="eastAsia" w:ascii="黑体" w:hAnsi="Times New Roman"/>
          <w:b w:val="0"/>
          <w:spacing w:val="-8"/>
          <w:kern w:val="2"/>
          <w:szCs w:val="32"/>
        </w:rPr>
        <w:t>第一节提升科技创新能力</w:t>
      </w:r>
      <w:bookmarkEnd w:id="20"/>
      <w:bookmarkEnd w:id="21"/>
    </w:p>
    <w:p>
      <w:pPr>
        <w:pStyle w:val="7"/>
        <w:spacing w:line="570" w:lineRule="exact"/>
        <w:ind w:firstLine="595" w:firstLineChars="200"/>
        <w:rPr>
          <w:rFonts w:ascii="仿宋_GB2312" w:hAnsi="仿宋" w:eastAsia="仿宋_GB2312" w:cs="仿宋_GB2312"/>
          <w:color w:val="000000"/>
          <w:spacing w:val="-12"/>
          <w:sz w:val="32"/>
          <w:szCs w:val="32"/>
        </w:rPr>
      </w:pPr>
      <w:r>
        <w:rPr>
          <w:rFonts w:hint="eastAsia" w:ascii="仿宋_GB2312" w:hAnsi="仿宋" w:eastAsia="仿宋_GB2312" w:cs="仿宋_GB2312"/>
          <w:b/>
          <w:bCs/>
          <w:color w:val="000000"/>
          <w:spacing w:val="-12"/>
          <w:sz w:val="32"/>
          <w:szCs w:val="32"/>
        </w:rPr>
        <w:t>推动协同创新持续发力。</w:t>
      </w:r>
      <w:r>
        <w:rPr>
          <w:rFonts w:hint="eastAsia" w:ascii="仿宋_GB2312" w:hAnsi="仿宋" w:eastAsia="仿宋_GB2312" w:cs="仿宋_GB2312"/>
          <w:color w:val="000000"/>
          <w:spacing w:val="-12"/>
          <w:sz w:val="32"/>
          <w:szCs w:val="32"/>
        </w:rPr>
        <w:t>把握北京非首都功能加速向外疏解的新趋势，全面对接北京、借势雄安、融合保定、全面提升“一区四园”平台功能。完善园区路网管网、电气电网、污水处理、生活服务等配套设施，形成“京津疏解、满城承接”、“雄安引领，满城支撑”发展模式。坚持高端化、特色化、规模化方向发展，推动满城经济开发区创建省级高新技术开发区，进入全省第一方阵。</w:t>
      </w:r>
    </w:p>
    <w:p>
      <w:pPr>
        <w:pStyle w:val="7"/>
        <w:spacing w:line="570" w:lineRule="exact"/>
        <w:ind w:firstLine="611" w:firstLineChars="200"/>
        <w:jc w:val="both"/>
        <w:rPr>
          <w:rFonts w:ascii="仿宋_GB2312" w:hAnsi="仿宋" w:eastAsia="仿宋_GB2312" w:cs="仿宋_GB2312"/>
          <w:color w:val="000000"/>
          <w:spacing w:val="-8"/>
          <w:sz w:val="32"/>
          <w:szCs w:val="32"/>
        </w:rPr>
      </w:pPr>
      <w:r>
        <w:rPr>
          <w:rFonts w:hint="eastAsia" w:ascii="仿宋_GB2312" w:hAnsi="仿宋" w:eastAsia="仿宋_GB2312"/>
          <w:b/>
          <w:bCs/>
          <w:color w:val="000000"/>
          <w:spacing w:val="-8"/>
          <w:sz w:val="32"/>
          <w:szCs w:val="32"/>
        </w:rPr>
        <w:t>搭建科技创新服务平台。</w:t>
      </w:r>
      <w:r>
        <w:rPr>
          <w:rFonts w:hint="eastAsia" w:ascii="仿宋_GB2312" w:hAnsi="仿宋" w:eastAsia="仿宋_GB2312" w:cs="仿宋_GB2312"/>
          <w:color w:val="000000"/>
          <w:spacing w:val="-8"/>
          <w:sz w:val="32"/>
          <w:szCs w:val="32"/>
        </w:rPr>
        <w:t>依托经济开发区，设立孵化基地等科技公共服务平台，促进信息咨询、融资、法律援助等服务机构的发展。搭建产、学、研、政、企相互融合的科技创新平台，支持企业与国内外科研机构、高校联合组建院士工作站、工程技术研发中心、重点实验室、博士后流动站等科研平台。依托“政府</w:t>
      </w:r>
      <w:r>
        <w:rPr>
          <w:rFonts w:ascii="仿宋_GB2312" w:hAnsi="仿宋" w:eastAsia="仿宋_GB2312" w:cs="仿宋_GB2312"/>
          <w:color w:val="000000"/>
          <w:spacing w:val="-8"/>
          <w:sz w:val="32"/>
          <w:szCs w:val="32"/>
        </w:rPr>
        <w:t>+</w:t>
      </w:r>
      <w:r>
        <w:rPr>
          <w:rFonts w:hint="eastAsia" w:ascii="仿宋_GB2312" w:hAnsi="仿宋" w:eastAsia="仿宋_GB2312" w:cs="仿宋_GB2312"/>
          <w:color w:val="000000"/>
          <w:spacing w:val="-8"/>
          <w:sz w:val="32"/>
          <w:szCs w:val="32"/>
        </w:rPr>
        <w:t>智库”的模式，建设产业研究院和科技研究院，助力政府解决产业、政策和前瞻研究等共性技术问题，大力提升重点领域基础研究和共性关键技术创新能力。推进新型产业研究院、产业技术创新联盟等协同创新组织建设，支持社会力量创办科技研发服务机构。搭建企业创新平台，提升产业创新发展能力。加强与京津地区的人才、技术、设备等创新要素对接，推进创新资源向承接平台聚</w:t>
      </w:r>
      <w:r>
        <w:rPr>
          <w:rFonts w:hint="eastAsia" w:ascii="仿宋_GB2312" w:eastAsia="仿宋_GB2312" w:cs="仿宋_GB2312"/>
          <w:spacing w:val="-8"/>
          <w:sz w:val="32"/>
          <w:szCs w:val="32"/>
        </w:rPr>
        <w:t>集，提升创新驱动发展能力。积极引进创新力强、领域高端的企业，加快推动产学研用结合和技术成果转化。</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积极推动重点领域创新。</w:t>
      </w:r>
      <w:r>
        <w:rPr>
          <w:rFonts w:hint="eastAsia" w:ascii="仿宋_GB2312" w:hAnsi="仿宋" w:eastAsia="仿宋_GB2312" w:cs="仿宋_GB2312"/>
          <w:color w:val="000000"/>
          <w:spacing w:val="-8"/>
          <w:sz w:val="32"/>
          <w:szCs w:val="32"/>
        </w:rPr>
        <w:t>整合创新资源，加大创新投入，强化装备更新、技术革新、产品创新、聚焦智能制造技术、节能环保技术、生物技术等核心关键技术，加速新旧动能转换，实施一批重大科技专项，着力在高新技术孵化和产业化、传统产业转型升级、战略性新兴产业壮大方面，</w:t>
      </w:r>
      <w:r>
        <w:rPr>
          <w:rFonts w:hint="eastAsia" w:ascii="仿宋_GB2312" w:hAnsi="仿宋" w:eastAsia="仿宋_GB2312" w:cs="仿宋_GB2312"/>
          <w:spacing w:val="-8"/>
          <w:sz w:val="32"/>
          <w:szCs w:val="32"/>
        </w:rPr>
        <w:t>强化企业创新主体地位，加大对企业技术创新支持力度，</w:t>
      </w:r>
      <w:r>
        <w:rPr>
          <w:rFonts w:hint="eastAsia" w:ascii="仿宋_GB2312" w:hAnsi="仿宋" w:eastAsia="仿宋_GB2312" w:cs="仿宋_GB2312"/>
          <w:color w:val="000000"/>
          <w:spacing w:val="-8"/>
          <w:sz w:val="32"/>
          <w:szCs w:val="32"/>
        </w:rPr>
        <w:t>引导各类创新要素向企业聚集。加快培育创新型企业和高新技术企业，发挥龙头企业的创新引领和科技型中小企业生力军作用，催生一批“独角兽”企业、“瞪羚”企业和行业“小巨人”。</w:t>
      </w:r>
      <w:bookmarkStart w:id="22" w:name="_Toc11216"/>
      <w:r>
        <w:rPr>
          <w:rFonts w:hint="eastAsia" w:ascii="仿宋_GB2312" w:hAnsi="仿宋" w:eastAsia="仿宋_GB2312" w:cs="仿宋_GB2312"/>
          <w:color w:val="000000"/>
          <w:spacing w:val="-8"/>
          <w:sz w:val="32"/>
          <w:szCs w:val="32"/>
        </w:rPr>
        <w:t>支持华源泰盟、永红铸造、邦泰氨纶、保利瑞合等企业尽快形成有行业影响力的“科技巨人”。</w:t>
      </w:r>
      <w:r>
        <w:rPr>
          <w:rFonts w:hint="eastAsia" w:ascii="仿宋_GB2312" w:eastAsia="仿宋_GB2312" w:cs="仿宋_GB2312"/>
          <w:spacing w:val="-8"/>
          <w:sz w:val="32"/>
          <w:szCs w:val="32"/>
        </w:rPr>
        <w:t>大力发展生活用纸深加工、电力电气、高端装备制造、新材料、印刷包装、生物医药、食品加工等相关产业，培育发展一批新技术、新产业、新模式、新业态，培育壮大具有比较优势的战略性新兴产业，力争把我区打造成样板示范区。</w:t>
      </w:r>
    </w:p>
    <w:p>
      <w:pPr>
        <w:spacing w:line="570" w:lineRule="exact"/>
        <w:ind w:firstLine="611" w:firstLineChars="200"/>
        <w:rPr>
          <w:rFonts w:ascii="仿宋_GB2312" w:hAnsi="仿宋" w:eastAsia="仿宋_GB2312"/>
          <w:b/>
          <w:bCs/>
          <w:color w:val="000000"/>
          <w:spacing w:val="-8"/>
          <w:sz w:val="32"/>
          <w:szCs w:val="32"/>
        </w:rPr>
      </w:pPr>
      <w:r>
        <w:rPr>
          <w:rFonts w:hint="eastAsia" w:ascii="仿宋_GB2312" w:hAnsi="仿宋" w:eastAsia="仿宋_GB2312" w:cs="仿宋_GB2312"/>
          <w:b/>
          <w:bCs/>
          <w:color w:val="000000"/>
          <w:spacing w:val="-8"/>
          <w:sz w:val="32"/>
          <w:szCs w:val="32"/>
        </w:rPr>
        <w:t>加强技术创新</w:t>
      </w:r>
      <w:r>
        <w:rPr>
          <w:rFonts w:ascii="仿宋_GB2312" w:hAnsi="仿宋" w:eastAsia="仿宋_GB2312" w:cs="仿宋_GB2312"/>
          <w:b/>
          <w:bCs/>
          <w:color w:val="000000"/>
          <w:spacing w:val="-8"/>
          <w:sz w:val="32"/>
          <w:szCs w:val="32"/>
        </w:rPr>
        <w:t>,</w:t>
      </w:r>
      <w:r>
        <w:rPr>
          <w:rFonts w:hint="eastAsia" w:ascii="仿宋_GB2312" w:hAnsi="仿宋" w:eastAsia="仿宋_GB2312" w:cs="仿宋_GB2312"/>
          <w:b/>
          <w:bCs/>
          <w:color w:val="000000"/>
          <w:spacing w:val="-8"/>
          <w:sz w:val="32"/>
          <w:szCs w:val="32"/>
        </w:rPr>
        <w:t>推动研发转化。</w:t>
      </w:r>
      <w:r>
        <w:rPr>
          <w:rFonts w:hint="eastAsia" w:ascii="仿宋_GB2312" w:hAnsi="仿宋" w:eastAsia="仿宋_GB2312" w:cs="仿宋_GB2312"/>
          <w:color w:val="000000"/>
          <w:spacing w:val="-8"/>
          <w:sz w:val="32"/>
          <w:szCs w:val="32"/>
        </w:rPr>
        <w:t>依托京津研究院所集聚优势，借力雄安新区创新资源，有效整合区域创新链、产业链、价值链、资本链，大力开展关键共性技术、前沿引领技术和现代工程技术创新。推进经济开发区和各类科技成果孵化转化平台与雄安新区的对接合作，构建以企业为主体、市场为导向、产学研用深度融合发展的研发转化体系。</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b/>
          <w:bCs/>
          <w:color w:val="000000"/>
          <w:spacing w:val="-8"/>
          <w:sz w:val="32"/>
          <w:szCs w:val="32"/>
        </w:rPr>
        <w:t>创新活力日益增强。</w:t>
      </w:r>
      <w:r>
        <w:rPr>
          <w:rFonts w:hint="eastAsia" w:ascii="仿宋_GB2312" w:hAnsi="仿宋" w:eastAsia="仿宋_GB2312" w:cs="仿宋_GB2312"/>
          <w:color w:val="000000"/>
          <w:spacing w:val="-8"/>
          <w:sz w:val="32"/>
          <w:szCs w:val="32"/>
        </w:rPr>
        <w:t>打造一批重点实验室、工程研究中心、技术创新中心等科技创新平台，大力推动创新资源开放共享，优化区域创新生态，形成科技创新高地。继续深入实施科技创新、质量提升、企业上市行动计划，持续推动传统产业与新兴产业实现“双融合”。</w:t>
      </w:r>
      <w:bookmarkEnd w:id="22"/>
      <w:bookmarkStart w:id="23" w:name="_Toc3825"/>
      <w:r>
        <w:rPr>
          <w:rFonts w:hint="eastAsia" w:ascii="仿宋_GB2312" w:hAnsi="仿宋" w:eastAsia="仿宋_GB2312" w:cs="仿宋_GB2312"/>
          <w:color w:val="000000"/>
          <w:spacing w:val="-8"/>
          <w:sz w:val="32"/>
          <w:szCs w:val="32"/>
        </w:rPr>
        <w:t>到</w:t>
      </w:r>
      <w:r>
        <w:rPr>
          <w:rFonts w:ascii="仿宋_GB2312" w:hAnsi="仿宋" w:eastAsia="仿宋_GB2312" w:cs="仿宋_GB2312"/>
          <w:color w:val="000000"/>
          <w:spacing w:val="-8"/>
          <w:sz w:val="32"/>
          <w:szCs w:val="32"/>
        </w:rPr>
        <w:t>2025</w:t>
      </w:r>
      <w:r>
        <w:rPr>
          <w:rFonts w:hint="eastAsia" w:ascii="仿宋_GB2312" w:hAnsi="仿宋" w:eastAsia="仿宋_GB2312" w:cs="仿宋_GB2312"/>
          <w:color w:val="000000"/>
          <w:spacing w:val="-8"/>
          <w:sz w:val="32"/>
          <w:szCs w:val="32"/>
        </w:rPr>
        <w:t>年，建成“院士周末工作坊”两个以上，科技型中小企业、高新技术企业、研发平台等创新主体总量翻番。</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b/>
          <w:bCs/>
          <w:color w:val="000000"/>
          <w:spacing w:val="-8"/>
          <w:sz w:val="32"/>
          <w:szCs w:val="32"/>
        </w:rPr>
        <w:t>推动科学普及。</w:t>
      </w:r>
      <w:bookmarkEnd w:id="23"/>
      <w:r>
        <w:rPr>
          <w:rFonts w:hint="eastAsia" w:ascii="仿宋_GB2312" w:hAnsi="仿宋" w:eastAsia="仿宋_GB2312" w:cs="仿宋_GB2312"/>
          <w:color w:val="000000"/>
          <w:spacing w:val="-8"/>
          <w:sz w:val="32"/>
          <w:szCs w:val="32"/>
        </w:rPr>
        <w:t>加强科普基地、科技馆（航空博物馆、蜜蜂博物馆）等科普基础设施建设，完善科普条件。规范科普工作，落实并提高科普专项经费，建立健全科普工作协调机制有序化、有效化、常态化。组织开展儿童、青少年校园科普和“科技三下乡”“科技活动周”“科普日”等科普活动，创新科普方式，整合挖掘保涞线生态、人文资源，融合新业态，开发科普旅游新模式，打造科普主题公园。依托学会、科协、农技协组织开展科学普及和信息服务，营造讲科学、爱科学、学科学、用科学的良好氛围，提高公众科学素养。</w:t>
      </w:r>
    </w:p>
    <w:p>
      <w:pPr>
        <w:pStyle w:val="4"/>
        <w:spacing w:before="0" w:after="0" w:line="570" w:lineRule="exact"/>
        <w:jc w:val="center"/>
        <w:rPr>
          <w:rFonts w:ascii="黑体" w:hAnsi="Times New Roman"/>
          <w:b w:val="0"/>
          <w:spacing w:val="-8"/>
          <w:kern w:val="2"/>
          <w:szCs w:val="32"/>
        </w:rPr>
      </w:pPr>
      <w:bookmarkStart w:id="24" w:name="_Toc63009720"/>
      <w:bookmarkStart w:id="25" w:name="_Toc7402"/>
      <w:r>
        <w:rPr>
          <w:rFonts w:hint="eastAsia" w:ascii="黑体" w:hAnsi="Times New Roman"/>
          <w:b w:val="0"/>
          <w:spacing w:val="-8"/>
          <w:kern w:val="2"/>
          <w:szCs w:val="32"/>
        </w:rPr>
        <w:t>第二节强化人才资源支撑</w:t>
      </w:r>
      <w:bookmarkEnd w:id="24"/>
      <w:bookmarkEnd w:id="25"/>
    </w:p>
    <w:p>
      <w:pPr>
        <w:spacing w:line="570" w:lineRule="exact"/>
        <w:ind w:firstLine="608" w:firstLineChars="200"/>
        <w:rPr>
          <w:rFonts w:ascii="仿宋_GB2312" w:eastAsia="仿宋_GB2312" w:cs="仿宋_GB2312"/>
          <w:spacing w:val="-8"/>
          <w:sz w:val="32"/>
          <w:szCs w:val="32"/>
        </w:rPr>
      </w:pPr>
      <w:r>
        <w:rPr>
          <w:rFonts w:hint="eastAsia" w:ascii="仿宋_GB2312" w:hAnsi="仿宋_GB2312" w:eastAsia="仿宋_GB2312" w:cs="仿宋_GB2312"/>
          <w:spacing w:val="-8"/>
          <w:sz w:val="32"/>
          <w:szCs w:val="32"/>
        </w:rPr>
        <w:t>落实“京畿人才计划”“人才十条”等引才激励政策，大力推进“敬才引智行动计划”，</w:t>
      </w:r>
      <w:r>
        <w:rPr>
          <w:rFonts w:hint="eastAsia" w:ascii="仿宋_GB2312" w:eastAsia="仿宋_GB2312" w:cs="仿宋_GB2312"/>
          <w:spacing w:val="-8"/>
          <w:sz w:val="32"/>
          <w:szCs w:val="32"/>
        </w:rPr>
        <w:t>围绕我区重点产业、新兴产业、传统产业急需的人才，加快建立人才引进激励政策。采取多种方式，给予特殊政策。依托京津保三地的高校、科研院所、骨干企业等，创新人才引进、培养、评价、使用、激励和服务保障机制，落实优惠政策，为人才提供宜居宜业的创新创业环境，</w:t>
      </w:r>
      <w:r>
        <w:rPr>
          <w:rFonts w:hint="eastAsia" w:ascii="仿宋_GB2312" w:hAnsi="仿宋_GB2312" w:eastAsia="仿宋_GB2312" w:cs="仿宋_GB2312"/>
          <w:spacing w:val="-8"/>
          <w:sz w:val="32"/>
          <w:szCs w:val="32"/>
        </w:rPr>
        <w:t>大力培育工匠型人才，支持高校毕业生和各类技能人才来满就业创业</w:t>
      </w:r>
      <w:r>
        <w:rPr>
          <w:rFonts w:hint="eastAsia" w:ascii="仿宋_GB2312" w:eastAsia="仿宋_GB2312" w:cs="仿宋_GB2312"/>
          <w:spacing w:val="-8"/>
          <w:sz w:val="32"/>
          <w:szCs w:val="32"/>
        </w:rPr>
        <w:t>。探索人才和项目相结合的人才引进机制和人力资源优先发展机制。</w:t>
      </w:r>
    </w:p>
    <w:p>
      <w:pPr>
        <w:spacing w:line="570" w:lineRule="exact"/>
        <w:ind w:firstLine="537"/>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强化青年力量支撑。以培养新时代、有担当民族复兴大任的我区青年为着力点，鼓励我区企事业单位建立青年实践基地，鼓励和支持我区青年参与到科技前沿领域，为我区培养一批科技领军的人才后备力量。实施青年人力资源提升行动计划，努力打造一支结构合理、素质优良、富有创新精神的高素质青年人才队伍。推行急需紧缺专门青年人才动态需求目录制度，不断拓宽青年人才引进渠道，实施海内外青年人才、名校精英和我区紧缺人才来满就业创业策略，建立与我区经济社会发展相适应的人才需求。</w:t>
      </w:r>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完善人才培养机制。加强先进技术人才、实用工程人才、高技能人才的本地培养，支持龙头企业（京车</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创办企业大学，推动企业和职业教育共同培养工匠型人才，开展高技能人才申报工程技术职称试点，为有志于学习技能、自我提升的青年劳动者打开更加广阔的职业上升通道，为广大中小企业的产业化创新需求提供适用性人才供给。深化人才评价体制机制创新，深化专业技术人才职称评聘改革，适当向基层一线或艰苦行业的人才倾斜。</w:t>
      </w:r>
    </w:p>
    <w:p>
      <w:pPr>
        <w:pStyle w:val="4"/>
        <w:spacing w:before="0" w:after="0" w:line="570" w:lineRule="exact"/>
        <w:jc w:val="center"/>
        <w:rPr>
          <w:rFonts w:ascii="黑体" w:hAnsi="Times New Roman"/>
          <w:b w:val="0"/>
          <w:spacing w:val="-8"/>
          <w:kern w:val="2"/>
          <w:szCs w:val="32"/>
        </w:rPr>
      </w:pPr>
      <w:bookmarkStart w:id="26" w:name="_Toc63009721"/>
      <w:bookmarkStart w:id="27" w:name="_Toc17386"/>
      <w:r>
        <w:rPr>
          <w:rFonts w:hint="eastAsia" w:ascii="黑体" w:hAnsi="Times New Roman"/>
          <w:b w:val="0"/>
          <w:spacing w:val="-8"/>
          <w:kern w:val="2"/>
          <w:szCs w:val="32"/>
        </w:rPr>
        <w:t>第三节大力推进金融创新</w:t>
      </w:r>
      <w:bookmarkEnd w:id="26"/>
      <w:bookmarkEnd w:id="27"/>
    </w:p>
    <w:p>
      <w:pPr>
        <w:pStyle w:val="19"/>
        <w:spacing w:line="570" w:lineRule="exact"/>
        <w:ind w:left="0" w:leftChars="0"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构建金融服务新体系，加快地方金融机构管理体制机制创新，增多做优金融主体，推进社会信用体系建设，探索建立“政府</w:t>
      </w:r>
      <w:r>
        <w:rPr>
          <w:rFonts w:ascii="仿宋_GB2312" w:eastAsia="仿宋_GB2312" w:cs="仿宋_GB2312"/>
          <w:spacing w:val="-8"/>
          <w:sz w:val="32"/>
          <w:szCs w:val="32"/>
        </w:rPr>
        <w:t>+</w:t>
      </w:r>
      <w:r>
        <w:rPr>
          <w:rFonts w:hint="eastAsia" w:ascii="仿宋_GB2312" w:eastAsia="仿宋_GB2312" w:cs="仿宋_GB2312"/>
          <w:spacing w:val="-8"/>
          <w:sz w:val="32"/>
          <w:szCs w:val="32"/>
        </w:rPr>
        <w:t>保险</w:t>
      </w:r>
      <w:r>
        <w:rPr>
          <w:rFonts w:ascii="仿宋_GB2312" w:eastAsia="仿宋_GB2312" w:cs="仿宋_GB2312"/>
          <w:spacing w:val="-8"/>
          <w:sz w:val="32"/>
          <w:szCs w:val="32"/>
        </w:rPr>
        <w:t>+</w:t>
      </w:r>
      <w:r>
        <w:rPr>
          <w:rFonts w:hint="eastAsia" w:ascii="仿宋_GB2312" w:eastAsia="仿宋_GB2312" w:cs="仿宋_GB2312"/>
          <w:spacing w:val="-8"/>
          <w:sz w:val="32"/>
          <w:szCs w:val="32"/>
        </w:rPr>
        <w:t>银行”合作机制和区乡村三级金融服务新模式，加快形成多层次、多元化的金融服务格局。强力推进直接融资，支持企业上市挂牌，扩大股权、债券和票据融资规模，提高直接融资比重。拓展金融服务新功能，围绕服务科技创新、实体经济、贸易、“三农”等重点领域，拓展融资担保、风险补偿、结算等服务功能。加强对中小微企业发展的金融支持，建立和完善多元化的农村金融服务体系，拓宽农民专业合作社贷款融资渠道，以政府担保的形式，吸引社会资本向农村下沉。</w:t>
      </w:r>
    </w:p>
    <w:p>
      <w:pPr>
        <w:spacing w:line="570" w:lineRule="exact"/>
        <w:ind w:firstLine="600"/>
        <w:rPr>
          <w:rFonts w:ascii="仿宋_GB2312" w:hAnsi="仿宋" w:eastAsia="仿宋_GB2312" w:cs="仿宋_GB2312"/>
          <w:color w:val="000000"/>
          <w:spacing w:val="-8"/>
          <w:sz w:val="32"/>
          <w:szCs w:val="32"/>
        </w:rPr>
      </w:pPr>
      <w:r>
        <w:rPr>
          <w:rFonts w:hint="eastAsia" w:ascii="仿宋_GB2312" w:hAnsi="仿宋" w:eastAsia="仿宋_GB2312" w:cs="仿宋_GB2312"/>
          <w:color w:val="000000"/>
          <w:spacing w:val="-8"/>
          <w:sz w:val="32"/>
          <w:szCs w:val="32"/>
        </w:rPr>
        <w:t>做大做强政府引导基金，发展政府性融资租赁、小额贷款、</w:t>
      </w:r>
      <w:r>
        <w:rPr>
          <w:rFonts w:hint="eastAsia" w:ascii="仿宋_GB2312" w:eastAsia="仿宋_GB2312" w:cs="仿宋_GB2312"/>
          <w:spacing w:val="-8"/>
          <w:sz w:val="32"/>
          <w:szCs w:val="32"/>
        </w:rPr>
        <w:t>商业保理、融资担保、资产管理等投融资平台，组建金融控股投资集团，纸、浆交易所，</w:t>
      </w:r>
      <w:r>
        <w:rPr>
          <w:rFonts w:hint="eastAsia" w:ascii="仿宋_GB2312" w:hAnsi="仿宋" w:eastAsia="仿宋_GB2312" w:cs="仿宋_GB2312"/>
          <w:color w:val="000000"/>
          <w:spacing w:val="-8"/>
          <w:sz w:val="32"/>
          <w:szCs w:val="32"/>
        </w:rPr>
        <w:t>保税仓库。建立产融联动机制，聚合各类金融资源，发挥协同优势，支持我区支柱产业重点项目，加强服务中小企业发展。</w:t>
      </w:r>
    </w:p>
    <w:p>
      <w:pPr>
        <w:spacing w:line="570" w:lineRule="exact"/>
        <w:ind w:firstLine="592" w:firstLineChars="200"/>
        <w:rPr>
          <w:rFonts w:ascii="仿宋_GB2312" w:hAnsi="仿宋" w:eastAsia="仿宋_GB2312" w:cs="仿宋_GB2312"/>
          <w:color w:val="FF0000"/>
          <w:spacing w:val="-12"/>
          <w:sz w:val="32"/>
          <w:szCs w:val="32"/>
        </w:rPr>
      </w:pPr>
      <w:r>
        <w:rPr>
          <w:rFonts w:hint="eastAsia" w:ascii="仿宋_GB2312" w:hAnsi="仿宋" w:eastAsia="仿宋_GB2312" w:cs="仿宋_GB2312"/>
          <w:color w:val="000000"/>
          <w:spacing w:val="-12"/>
          <w:sz w:val="32"/>
          <w:szCs w:val="32"/>
        </w:rPr>
        <w:t>推进金融产品和服务拓展，鼓励金融机构积极提供融资规划、财务顾问、金融租赁、综合金融方案等服务，借鉴联东</w:t>
      </w:r>
      <w:r>
        <w:rPr>
          <w:rFonts w:ascii="仿宋_GB2312" w:hAnsi="仿宋" w:eastAsia="仿宋_GB2312" w:cs="仿宋_GB2312"/>
          <w:color w:val="000000"/>
          <w:spacing w:val="-12"/>
          <w:sz w:val="32"/>
          <w:szCs w:val="32"/>
        </w:rPr>
        <w:t>U</w:t>
      </w:r>
      <w:r>
        <w:rPr>
          <w:rFonts w:hint="eastAsia" w:ascii="仿宋_GB2312" w:hAnsi="仿宋" w:eastAsia="仿宋_GB2312" w:cs="仿宋_GB2312"/>
          <w:color w:val="000000"/>
          <w:spacing w:val="-12"/>
          <w:sz w:val="32"/>
          <w:szCs w:val="32"/>
        </w:rPr>
        <w:t>谷、金融谷的模式为承接产业转移发展提供更有力支撑。构建科技引导基金、产业投资基金、知识产权质押融资等科技创新投融资体系。</w:t>
      </w:r>
    </w:p>
    <w:p>
      <w:pPr>
        <w:pStyle w:val="4"/>
        <w:spacing w:before="0" w:after="0" w:line="570" w:lineRule="exact"/>
        <w:jc w:val="center"/>
        <w:rPr>
          <w:rFonts w:ascii="黑体" w:hAnsi="Times New Roman"/>
          <w:b w:val="0"/>
          <w:spacing w:val="-8"/>
          <w:kern w:val="2"/>
          <w:szCs w:val="32"/>
        </w:rPr>
      </w:pPr>
      <w:bookmarkStart w:id="28" w:name="_Toc17648"/>
      <w:bookmarkStart w:id="29" w:name="_Toc63009722"/>
      <w:r>
        <w:rPr>
          <w:rFonts w:hint="eastAsia" w:ascii="黑体" w:hAnsi="Times New Roman"/>
          <w:b w:val="0"/>
          <w:spacing w:val="-8"/>
          <w:kern w:val="2"/>
          <w:szCs w:val="32"/>
        </w:rPr>
        <w:t>第四节营造全民创新创业新生态</w:t>
      </w:r>
      <w:bookmarkEnd w:id="28"/>
      <w:bookmarkEnd w:id="29"/>
    </w:p>
    <w:p>
      <w:pPr>
        <w:pStyle w:val="7"/>
        <w:spacing w:line="570" w:lineRule="exact"/>
        <w:ind w:firstLine="608" w:firstLineChars="200"/>
        <w:rPr>
          <w:rFonts w:ascii="方正楷体简体" w:eastAsia="方正楷体简体"/>
          <w:spacing w:val="-8"/>
          <w:sz w:val="28"/>
          <w:szCs w:val="28"/>
        </w:rPr>
      </w:pPr>
      <w:r>
        <w:rPr>
          <w:rFonts w:hint="eastAsia" w:ascii="仿宋_GB2312" w:hAnsi="仿宋" w:eastAsia="仿宋_GB2312" w:cs="仿宋_GB2312"/>
          <w:color w:val="000000"/>
          <w:spacing w:val="-8"/>
          <w:sz w:val="32"/>
          <w:szCs w:val="32"/>
        </w:rPr>
        <w:t>紧盯各个专项行动技术创新和产业化发展重点领域、关键环节，科学谋划部署创新链条，强化京津冀协同创新和产学研联合攻关，促进创新资源优化整合和共享共用，全面推进大众创业、万众创新。</w:t>
      </w:r>
      <w:r>
        <w:rPr>
          <w:rFonts w:hint="eastAsia" w:ascii="仿宋_GB2312" w:hAnsi="仿宋_GB2312" w:eastAsia="仿宋_GB2312" w:cs="仿宋_GB2312"/>
          <w:spacing w:val="-8"/>
          <w:sz w:val="32"/>
          <w:szCs w:val="32"/>
        </w:rPr>
        <w:t>理顺支持创新体制机制，完善支持创新政策体系，建立健全科技创新综合服务体系，打造全链条、专业化公共服务平台。鼓励推动高水平、专业化众创空间建设，推动创新、创业、创意、创投、创客“五创联动”，打造大众创业、万众创新升级版。加快科技管理职能转变，支持企业扩大研发投入。</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推进体制机制创新</w:t>
      </w:r>
      <w:r>
        <w:rPr>
          <w:rFonts w:hint="eastAsia" w:ascii="仿宋_GB2312" w:hAnsi="仿宋" w:eastAsia="仿宋_GB2312" w:cs="仿宋"/>
          <w:color w:val="000000"/>
          <w:spacing w:val="-8"/>
          <w:sz w:val="32"/>
          <w:szCs w:val="32"/>
        </w:rPr>
        <w:t>。</w:t>
      </w:r>
      <w:r>
        <w:rPr>
          <w:rFonts w:hint="eastAsia" w:ascii="仿宋_GB2312" w:hAnsi="仿宋" w:eastAsia="仿宋_GB2312" w:cs="仿宋_GB2312"/>
          <w:color w:val="000000"/>
          <w:spacing w:val="-8"/>
          <w:sz w:val="32"/>
          <w:szCs w:val="32"/>
        </w:rPr>
        <w:t>建立健全支持重点承接平台建设的长效机制，推进产权保护、要素市场化、政府行政管理等关键领域取得实质性成果。以科技成果产业化指标作为产业承接平台考核重点依据，形成推动产业转型升级的政策合力。</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着力优化市场。</w:t>
      </w:r>
      <w:r>
        <w:rPr>
          <w:rFonts w:hint="eastAsia" w:ascii="仿宋_GB2312" w:hAnsi="仿宋" w:eastAsia="仿宋_GB2312" w:cs="仿宋_GB2312"/>
          <w:color w:val="000000"/>
          <w:spacing w:val="-8"/>
          <w:sz w:val="32"/>
          <w:szCs w:val="32"/>
        </w:rPr>
        <w:t>优化投资营商环境，强化企业创新主体地位，推动产业转型升级由依靠要素驱动向依靠创新驱动转变，全面实施准入负面清单制度，清理废除妨碍统一市场和公平竞争的做法，激发各类市场主体活力。着力构建亲清政商关系，坚决打破“中梗阻”、拆除“旋转门”，当好服务企业、有呼必应、无事不扰的“店小二”。</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深化简政放权。</w:t>
      </w:r>
      <w:r>
        <w:rPr>
          <w:rFonts w:hint="eastAsia" w:ascii="仿宋_GB2312" w:hAnsi="仿宋" w:eastAsia="仿宋_GB2312" w:cs="仿宋_GB2312"/>
          <w:color w:val="000000"/>
          <w:spacing w:val="-8"/>
          <w:sz w:val="32"/>
          <w:szCs w:val="32"/>
        </w:rPr>
        <w:t>深化行政审批制度改革，健全行政审批服务体系，提升行政审批服务效率。根据项目类别、投资主体、建设规模、产业政策等明确和简化项目审批、核准、备案事权与流程，探索简政放权在京津冀区域内跨省合作方式，确保区域间行政审批政策联动、改革同步。</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推进精准招商。</w:t>
      </w:r>
      <w:r>
        <w:rPr>
          <w:rFonts w:hint="eastAsia" w:ascii="仿宋_GB2312" w:hAnsi="仿宋" w:eastAsia="仿宋_GB2312" w:cs="仿宋_GB2312"/>
          <w:color w:val="000000"/>
          <w:spacing w:val="-8"/>
          <w:sz w:val="32"/>
          <w:szCs w:val="32"/>
        </w:rPr>
        <w:t>引导“一区四园”做好招商基础工作，鼓励开展市场化、专业化招商，组织承接平台瞄准京津重点发展的新兴产业参加系列招商，以延伸企业产业链为目的，精准招商，重点引进优质战略性新兴产业项目、总部型项目、高端领域项目，发挥产业集群的优势，达到聚集经济的效益。</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进一步减税降费。</w:t>
      </w:r>
      <w:r>
        <w:rPr>
          <w:rFonts w:hint="eastAsia" w:ascii="仿宋_GB2312" w:hAnsi="仿宋" w:eastAsia="仿宋_GB2312" w:cs="仿宋_GB2312"/>
          <w:color w:val="000000"/>
          <w:spacing w:val="-8"/>
          <w:sz w:val="32"/>
          <w:szCs w:val="32"/>
        </w:rPr>
        <w:t>把各项减税降费措施落到实处，坚决查处违法违纪行为，抓紧研究提出降低社保费率方案，与征收体制改革同步实施。</w:t>
      </w:r>
    </w:p>
    <w:p>
      <w:pPr>
        <w:pStyle w:val="19"/>
      </w:pPr>
    </w:p>
    <w:p/>
    <w:p>
      <w:pPr>
        <w:pStyle w:val="2"/>
        <w:ind w:firstLine="420"/>
      </w:pPr>
    </w:p>
    <w:p>
      <w:pPr>
        <w:pStyle w:val="3"/>
        <w:spacing w:before="0" w:after="0" w:line="570" w:lineRule="exact"/>
        <w:jc w:val="center"/>
        <w:rPr>
          <w:rFonts w:ascii="方正小标宋简体" w:hAnsi="黑体" w:eastAsia="方正小标宋简体" w:cs="宋体"/>
          <w:b w:val="0"/>
          <w:spacing w:val="-8"/>
          <w:kern w:val="2"/>
          <w:sz w:val="36"/>
          <w:szCs w:val="36"/>
        </w:rPr>
      </w:pPr>
      <w:bookmarkStart w:id="30" w:name="_Toc63009723"/>
      <w:bookmarkStart w:id="31" w:name="_Toc17277"/>
      <w:r>
        <w:rPr>
          <w:rFonts w:hint="eastAsia" w:ascii="方正小标宋简体" w:hAnsi="黑体" w:eastAsia="方正小标宋简体" w:cs="宋体"/>
          <w:b w:val="0"/>
          <w:spacing w:val="-8"/>
          <w:kern w:val="2"/>
          <w:sz w:val="36"/>
          <w:szCs w:val="36"/>
        </w:rPr>
        <w:t>第四章积极对接雄安新区</w:t>
      </w:r>
      <w:r>
        <w:rPr>
          <w:rFonts w:ascii="方正小标宋简体" w:hAnsi="黑体" w:eastAsia="方正小标宋简体" w:cs="宋体"/>
          <w:b w:val="0"/>
          <w:spacing w:val="-8"/>
          <w:kern w:val="2"/>
          <w:sz w:val="36"/>
          <w:szCs w:val="36"/>
        </w:rPr>
        <w:t>,</w:t>
      </w:r>
      <w:r>
        <w:rPr>
          <w:rFonts w:hint="eastAsia" w:ascii="方正小标宋简体" w:hAnsi="黑体" w:eastAsia="方正小标宋简体" w:cs="宋体"/>
          <w:b w:val="0"/>
          <w:spacing w:val="-8"/>
          <w:kern w:val="2"/>
          <w:sz w:val="36"/>
          <w:szCs w:val="36"/>
        </w:rPr>
        <w:t>承接京津功能疏解</w:t>
      </w:r>
      <w:bookmarkEnd w:id="30"/>
      <w:bookmarkEnd w:id="31"/>
    </w:p>
    <w:p>
      <w:pPr>
        <w:spacing w:line="570" w:lineRule="exact"/>
      </w:pPr>
    </w:p>
    <w:p>
      <w:pPr>
        <w:spacing w:line="54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牢牢抓住京津冀协同发展战略，主动在承接北京非首都功能疏解和服务雄安新区建设上双向发力，用借位发展思路构筑承接平台，用协同发展机制推动产业转型，与京津、雄安等地形成生产要素、现代产业、生态环境和基础设施四大循环，集中优势力量重点发展支柱产业，利用交通通道、社会网络等各种有利条件打造成为京津冀世界级城市群中的重要一极。</w:t>
      </w:r>
    </w:p>
    <w:p>
      <w:pPr>
        <w:pStyle w:val="4"/>
        <w:spacing w:before="0" w:after="0" w:line="540" w:lineRule="exact"/>
        <w:jc w:val="center"/>
        <w:rPr>
          <w:rFonts w:ascii="黑体" w:hAnsi="Times New Roman"/>
          <w:b w:val="0"/>
          <w:spacing w:val="-8"/>
          <w:kern w:val="2"/>
          <w:szCs w:val="32"/>
        </w:rPr>
      </w:pPr>
      <w:bookmarkStart w:id="32" w:name="_Toc22501"/>
      <w:bookmarkStart w:id="33" w:name="_Toc63009724"/>
      <w:r>
        <w:rPr>
          <w:rFonts w:hint="eastAsia" w:ascii="黑体" w:hAnsi="Times New Roman"/>
          <w:b w:val="0"/>
          <w:spacing w:val="-8"/>
          <w:kern w:val="2"/>
          <w:szCs w:val="32"/>
        </w:rPr>
        <w:t>第一节推进与雄安新区常态化对接</w:t>
      </w:r>
      <w:bookmarkEnd w:id="32"/>
      <w:bookmarkEnd w:id="33"/>
    </w:p>
    <w:p>
      <w:pPr>
        <w:spacing w:line="54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以建设雄安协同保障高地为抓手，全力保障雄安新区开发建设，推进我区经济社会发展、产业布局、生态环保等规划与雄安新区积极对接，全面融入京雄保一体化发展格局。加大基础设施建设，打造与雄安新区互联互通的道路交通网（安大线）、互联信息网，保证交通、信息顺畅。加大生态环境保护与治理、公共服务发展等方面协同力度，努力与雄安新区优化成同一个生态，同一个体系。深化与雄安新区建立产业链、资金链、创新链和供应链合作，与雄安新区实现统筹、协调、错位、融合、一体化发展。紧紧抓住雄忻高铁建设的契机，深入推进我区和雄安新区的常态化对接，共同为京津冀成为世界级城市群努力。</w:t>
      </w:r>
    </w:p>
    <w:p>
      <w:pPr>
        <w:spacing w:line="540" w:lineRule="exact"/>
        <w:ind w:firstLine="608" w:firstLineChars="200"/>
        <w:rPr>
          <w:rFonts w:ascii="仿宋_GB2312" w:hAnsi="仿宋_GB2312" w:eastAsia="仿宋_GB2312"/>
          <w:spacing w:val="-8"/>
          <w:sz w:val="32"/>
          <w:szCs w:val="32"/>
        </w:rPr>
      </w:pPr>
      <w:r>
        <w:rPr>
          <w:rFonts w:hint="eastAsia" w:ascii="仿宋_GB2312" w:hAnsi="仿宋_GB2312" w:eastAsia="仿宋_GB2312"/>
          <w:spacing w:val="-8"/>
          <w:sz w:val="32"/>
          <w:szCs w:val="32"/>
        </w:rPr>
        <w:t>对接雄安新区建设绿色智慧新城的需求，丰富低碳经济内涵，大力发展高效节能环保产业。依托华源泰盟节能设备企业，专注于电厂、化工及冶金等行业的余热回收及城市集中供热领域，在扩大城市供热能力的同时，最大限度的节约能耗，减少排放，创建低碳绿色家园，打造节能环保示范基地。</w:t>
      </w:r>
    </w:p>
    <w:p>
      <w:pPr>
        <w:pStyle w:val="4"/>
        <w:spacing w:before="0" w:after="0" w:line="570" w:lineRule="exact"/>
        <w:jc w:val="center"/>
        <w:rPr>
          <w:rFonts w:ascii="黑体" w:hAnsi="Times New Roman"/>
          <w:b w:val="0"/>
          <w:spacing w:val="-8"/>
          <w:kern w:val="2"/>
          <w:szCs w:val="32"/>
        </w:rPr>
      </w:pPr>
      <w:bookmarkStart w:id="34" w:name="_Toc27569"/>
      <w:bookmarkStart w:id="35" w:name="_Toc63009725"/>
      <w:r>
        <w:rPr>
          <w:rFonts w:hint="eastAsia" w:ascii="黑体" w:hAnsi="Times New Roman"/>
          <w:b w:val="0"/>
          <w:spacing w:val="-8"/>
          <w:kern w:val="2"/>
          <w:szCs w:val="32"/>
        </w:rPr>
        <w:t>第二节积极承接京津功能疏解</w:t>
      </w:r>
      <w:bookmarkEnd w:id="34"/>
      <w:bookmarkEnd w:id="35"/>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完善落实共建共享机制，坚持错位发展、优势互补、互利共赢，以创新驱动为抓手，优化产业布局，强化生态环境综合治理。利用我区在产业承载空间、交通、文化、资源等方面的有利条件，创新发展模式，突破体制、机制障碍，在产业对接、环境对接、交通对接的基础上，教育、医疗、人才等公共服务领域全面对接，协同联动发展，努力实现我区跨越发展、绿色发展、科技驱动发展，打造京津冀协同发展合作共建产业园区的先行先试示范区。</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重点产业对接。</w:t>
      </w:r>
      <w:r>
        <w:rPr>
          <w:rFonts w:hint="eastAsia" w:ascii="仿宋_GB2312" w:eastAsia="仿宋_GB2312" w:cs="仿宋_GB2312"/>
          <w:spacing w:val="-12"/>
          <w:sz w:val="32"/>
          <w:szCs w:val="32"/>
        </w:rPr>
        <w:t>找准我区定位，选准对接重点，创新工作举措，开展全方位、多领域、深层次合作对接，主动融入京津冀协同发展的大格局。引导科技创新成果转化型企业、高端生产制造业、零部件配套加工企业向园区转移。深化与北京中关村丰台园、生命科学院全方位对接，拓展“京研满造”模式、精准对接北京技术转移、成果转化和产业外溢，统筹推进与北京在重点产业上的对接。第一产业重点统筹推进与京津在农业技术、人才、农业园区、资金等方面全方位对接，不断提高农业综合生产能力和市场竞争力，保障粮食安全；要以满足京津市场需求为目标，着力推进现代农业示范工程、农业龙头企业提升工程、品牌农产品打造工程；要立足草莓、葡萄、桃、柿等传统果蔬，不断做大、做强、做优、做精；开展多种形式的采摘、林下经济、生态旅游等产业模式，吸引京津人员。第二产业重点承接新材料、生物制药、高端装备制造、节能环保、大数据、人工智能等产业，提速建设中关村丰台园满城分园。第三产业重点承接养老、生态、健康、休闲、会展、体育等，引进京津知名企业开发西部山区特色文化旅游与生态资源；大力发展生态养生、滑雪等旅游业态，建设精品旅游景区、精品旅游环线；以旅游标准化建设为抓手，完善旅游基础设施建设。</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生态环境对接。</w:t>
      </w:r>
      <w:r>
        <w:rPr>
          <w:rFonts w:hint="eastAsia" w:ascii="仿宋_GB2312" w:eastAsia="仿宋_GB2312" w:cs="仿宋_GB2312"/>
          <w:spacing w:val="-8"/>
          <w:sz w:val="32"/>
          <w:szCs w:val="32"/>
        </w:rPr>
        <w:t>贯彻实施《国家关于加快推进生态文明建设的意见》和《河北省山水林田湖规划》，加强与京津在环境治理和生态建设方面的协调合作，实施生态环境保护与综合治理，打造京津冀生态环境支撑区</w:t>
      </w:r>
      <w:r>
        <w:rPr>
          <w:rFonts w:hint="eastAsia" w:ascii="仿宋_GB2312" w:eastAsia="仿宋_GB2312" w:cs="仿宋_GB2312"/>
          <w:b/>
          <w:bCs/>
          <w:spacing w:val="-8"/>
          <w:sz w:val="32"/>
          <w:szCs w:val="32"/>
        </w:rPr>
        <w:t>。</w:t>
      </w:r>
      <w:r>
        <w:rPr>
          <w:rFonts w:hint="eastAsia" w:ascii="仿宋_GB2312" w:eastAsia="仿宋_GB2312" w:cs="仿宋_GB2312"/>
          <w:spacing w:val="-8"/>
          <w:sz w:val="32"/>
          <w:szCs w:val="32"/>
        </w:rPr>
        <w:t>大气污染综合治理。落实国家大气污染防治行动计划，深化“压煤、抑尘、控车、减排、迁企、增绿”各项措施；实施山体修复，开展敏感地带矿山环境治理和矿山复绿工程。加强西部山区生态涵养保护。大力发展林业产业，提升西部山区森林覆盖率，为改善京津冀生态环境提供有力的生态支撑。加快低碳城市建设。在城区全面实现集中供热，扩大和优化城区生态空间，大幅提高绿化覆盖率、绿地率和人均绿地面积，建设生态宜居家园。</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社会公共服务功能对接。</w:t>
      </w:r>
      <w:r>
        <w:rPr>
          <w:rFonts w:hint="eastAsia" w:ascii="仿宋_GB2312" w:hAnsi="仿宋_GB2312" w:eastAsia="仿宋_GB2312" w:cs="仿宋_GB2312"/>
          <w:spacing w:val="-8"/>
          <w:sz w:val="32"/>
          <w:szCs w:val="32"/>
        </w:rPr>
        <w:t>积极引入京津优质教育、医疗卫生、文化体育等资源，建设优质资源共享的公共服务设施，提升公共服务水平。大力实施“五个一”行动，对接一家央企或京企，对接北京一所科研机构、一所基础教育学校、一所科研机构、一家三级医院。通过对接引进一批有实力、有品质、有社会责任感的战略合作者，大幅提升城乡社会事业水平，为群众提供更高标准、高品质的公共服务。</w:t>
      </w:r>
    </w:p>
    <w:p>
      <w:pPr>
        <w:spacing w:line="570" w:lineRule="exact"/>
        <w:ind w:firstLine="595" w:firstLineChars="200"/>
        <w:rPr>
          <w:spacing w:val="-12"/>
        </w:rPr>
      </w:pPr>
      <w:r>
        <w:rPr>
          <w:rFonts w:hint="eastAsia" w:ascii="仿宋_GB2312" w:eastAsia="仿宋_GB2312" w:cs="仿宋_GB2312"/>
          <w:b/>
          <w:bCs/>
          <w:spacing w:val="-12"/>
          <w:sz w:val="32"/>
          <w:szCs w:val="32"/>
        </w:rPr>
        <w:t>推进与京津的教育合作。</w:t>
      </w:r>
      <w:r>
        <w:rPr>
          <w:rFonts w:hint="eastAsia" w:ascii="仿宋_GB2312" w:eastAsia="仿宋_GB2312" w:cs="仿宋_GB2312"/>
          <w:spacing w:val="-12"/>
          <w:sz w:val="32"/>
          <w:szCs w:val="32"/>
        </w:rPr>
        <w:t>整合现有教育资源，调整优化布局，完善配套条件，承接京津优质教育资源转移；积极与京津知名院校对接，加强交流合作，建立教育资源共享机制，力争到我区建立分校或分支机构和人才培训基地；引入京津中小学素质教育办学理念，统筹城乡义务教育资源均衡配置，提升我区整体教育水平。</w:t>
      </w:r>
      <w:r>
        <w:rPr>
          <w:rFonts w:hint="eastAsia" w:ascii="仿宋_GB2312" w:eastAsia="仿宋_GB2312" w:cs="仿宋_GB2312"/>
          <w:b/>
          <w:bCs/>
          <w:spacing w:val="-12"/>
          <w:sz w:val="32"/>
          <w:szCs w:val="32"/>
        </w:rPr>
        <w:t>加强医疗联动协作。</w:t>
      </w:r>
      <w:r>
        <w:rPr>
          <w:rFonts w:hint="eastAsia" w:ascii="仿宋_GB2312" w:eastAsia="仿宋_GB2312" w:cs="仿宋_GB2312"/>
          <w:spacing w:val="-12"/>
          <w:sz w:val="32"/>
          <w:szCs w:val="32"/>
        </w:rPr>
        <w:t>统筹全区医疗资源布局，进一步优化整合，提高我区医疗机构的综合医疗服务能力和医疗资源利用效率；积极承接京津康复中心、培训基地、后勤基地等向外疏解转移，吸引更多的优质医疗机构以合作办医、专科协作等模式向我区疏解；进一步深化与京津知名医院合作，拓展合作领域和合作方式，争取更多京津优质医疗资源及社会资本进入我区医疗卫生领域。</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创新功能疏解合作模式。</w:t>
      </w:r>
      <w:r>
        <w:rPr>
          <w:rFonts w:hint="eastAsia" w:ascii="仿宋_GB2312" w:eastAsia="仿宋_GB2312" w:cs="仿宋_GB2312"/>
          <w:spacing w:val="-8"/>
          <w:sz w:val="32"/>
          <w:szCs w:val="32"/>
        </w:rPr>
        <w:t>强化对外互联互通，以提升合作效益为中心找准利益契合点，探索符合实际的合作新模式。加强与京津、全市所辖园区的合作，引入共建、共管、共享的园区开发管理模式</w:t>
      </w:r>
      <w:r>
        <w:rPr>
          <w:rFonts w:ascii="仿宋_GB2312" w:eastAsia="仿宋_GB2312" w:cs="仿宋_GB2312"/>
          <w:spacing w:val="-8"/>
          <w:sz w:val="32"/>
          <w:szCs w:val="32"/>
        </w:rPr>
        <w:t>,</w:t>
      </w:r>
      <w:r>
        <w:rPr>
          <w:rFonts w:hint="eastAsia" w:ascii="仿宋_GB2312" w:eastAsia="仿宋_GB2312" w:cs="仿宋_GB2312"/>
          <w:spacing w:val="-8"/>
          <w:sz w:val="32"/>
          <w:szCs w:val="32"/>
        </w:rPr>
        <w:t>试点一区多园的“飞地”园区开发模式，谋划建设一批合作共建园区。积极发展总部经济，采取“总部</w:t>
      </w:r>
      <w:r>
        <w:rPr>
          <w:rFonts w:ascii="仿宋_GB2312" w:eastAsia="仿宋_GB2312" w:cs="仿宋_GB2312"/>
          <w:spacing w:val="-8"/>
          <w:sz w:val="32"/>
          <w:szCs w:val="32"/>
        </w:rPr>
        <w:t>+</w:t>
      </w:r>
      <w:r>
        <w:rPr>
          <w:rFonts w:hint="eastAsia" w:ascii="仿宋_GB2312" w:eastAsia="仿宋_GB2312" w:cs="仿宋_GB2312"/>
          <w:spacing w:val="-8"/>
          <w:sz w:val="32"/>
          <w:szCs w:val="32"/>
        </w:rPr>
        <w:t>基地”的模式，坚持错位发展、优势互补、互利共赢，深化与中关村丰台园、生命科学院全方位合作对接，拓展“京研满造”模式，精准承接北京技术转移、成果转化和产业外溢，统筹推进与京津文化、教育、医疗等领域资源深度对接。</w:t>
      </w:r>
    </w:p>
    <w:p>
      <w:pPr>
        <w:pStyle w:val="4"/>
        <w:spacing w:before="0" w:after="0" w:line="570" w:lineRule="exact"/>
        <w:jc w:val="center"/>
        <w:rPr>
          <w:rFonts w:ascii="黑体" w:hAnsi="Times New Roman"/>
          <w:b w:val="0"/>
          <w:spacing w:val="-8"/>
          <w:kern w:val="2"/>
          <w:szCs w:val="32"/>
        </w:rPr>
      </w:pPr>
      <w:bookmarkStart w:id="36" w:name="_Toc63009726"/>
      <w:bookmarkStart w:id="37" w:name="_Toc31154"/>
      <w:r>
        <w:rPr>
          <w:rFonts w:hint="eastAsia" w:ascii="黑体" w:hAnsi="Times New Roman"/>
          <w:b w:val="0"/>
          <w:spacing w:val="-8"/>
          <w:kern w:val="2"/>
          <w:szCs w:val="32"/>
        </w:rPr>
        <w:t>第三节建设区域协同发展平台</w:t>
      </w:r>
      <w:bookmarkEnd w:id="36"/>
      <w:bookmarkEnd w:id="37"/>
    </w:p>
    <w:p>
      <w:pPr>
        <w:pStyle w:val="2"/>
        <w:spacing w:line="570" w:lineRule="exact"/>
        <w:ind w:firstLine="603"/>
        <w:rPr>
          <w:rFonts w:ascii="仿宋_GB2312" w:eastAsia="仿宋_GB2312" w:cs="仿宋_GB2312"/>
          <w:spacing w:val="-10"/>
          <w:sz w:val="32"/>
          <w:szCs w:val="32"/>
        </w:rPr>
      </w:pPr>
      <w:r>
        <w:rPr>
          <w:rFonts w:hint="eastAsia" w:ascii="仿宋_GB2312" w:hAnsi="仿宋" w:eastAsia="仿宋_GB2312" w:cs="仿宋"/>
          <w:b/>
          <w:bCs/>
          <w:spacing w:val="-10"/>
          <w:sz w:val="32"/>
          <w:szCs w:val="32"/>
        </w:rPr>
        <w:t>全力打造京津冀协同共同体。</w:t>
      </w:r>
      <w:r>
        <w:rPr>
          <w:rFonts w:hint="eastAsia" w:ascii="仿宋_GB2312" w:eastAsia="仿宋_GB2312" w:cs="仿宋_GB2312"/>
          <w:spacing w:val="-10"/>
          <w:sz w:val="32"/>
          <w:szCs w:val="32"/>
        </w:rPr>
        <w:t>瞄准北京、天津等地的高端创新资源，对接用好中关村、中科协、中科院等创新“发动机”。以京津保协同为主线，服务雄安新区为抓手，强化京津雄等地优质、前沿创新资源对接合作，促进更多科技成果在我区孵化转化，加快融入环京津国家自主创新示范区建设，依托京保科技创新走廊承接北京创新链向我区延伸辐射，推动形成“北京研发、保定转化、满城服务；雄安开发、满城链接；雄安创新、满城先行”新格局。建立健全以“一区四园”平台为核心载体的产业转型升级支撑体系，探索出推进承接平台带动产业转型升级的有效途径。</w:t>
      </w:r>
    </w:p>
    <w:p>
      <w:pPr>
        <w:spacing w:line="570" w:lineRule="exact"/>
        <w:ind w:firstLine="598" w:firstLineChars="196"/>
        <w:rPr>
          <w:rFonts w:ascii="仿宋_GB2312" w:hAnsi="仿宋" w:eastAsia="仿宋_GB2312"/>
          <w:spacing w:val="-8"/>
          <w:sz w:val="32"/>
          <w:szCs w:val="32"/>
        </w:rPr>
      </w:pPr>
      <w:r>
        <w:rPr>
          <w:rFonts w:hint="eastAsia" w:ascii="仿宋_GB2312" w:hAnsi="仿宋" w:eastAsia="仿宋_GB2312" w:cs="仿宋"/>
          <w:b/>
          <w:bCs/>
          <w:spacing w:val="-8"/>
          <w:sz w:val="32"/>
          <w:szCs w:val="32"/>
        </w:rPr>
        <w:t>实施重点平台建设工程。</w:t>
      </w:r>
      <w:r>
        <w:rPr>
          <w:rFonts w:hint="eastAsia" w:ascii="仿宋_GB2312" w:eastAsia="仿宋_GB2312" w:cs="仿宋_GB2312"/>
          <w:spacing w:val="-8"/>
          <w:sz w:val="32"/>
          <w:szCs w:val="32"/>
        </w:rPr>
        <w:t>围绕行动计划专项领域，优化创新链条布局，建立“政府</w:t>
      </w:r>
      <w:r>
        <w:rPr>
          <w:rFonts w:ascii="仿宋_GB2312" w:eastAsia="仿宋_GB2312" w:cs="仿宋_GB2312"/>
          <w:spacing w:val="-8"/>
          <w:sz w:val="32"/>
          <w:szCs w:val="32"/>
        </w:rPr>
        <w:t>+</w:t>
      </w:r>
      <w:r>
        <w:rPr>
          <w:rFonts w:hint="eastAsia" w:ascii="仿宋_GB2312" w:eastAsia="仿宋_GB2312" w:cs="仿宋_GB2312"/>
          <w:spacing w:val="-8"/>
          <w:sz w:val="32"/>
          <w:szCs w:val="32"/>
        </w:rPr>
        <w:t>智库”的产业研究院和技术工程中心，深化产学研协同创新，加强与国际国内高等院校及科研院所专家的交流与合作，推动院士工作站、博士后工作站的设立，联盟国内国际高端新材料领域的研究院，广泛进行学术交流与合作，促进新产品开发升级，同时加快成果产业化，推动我区传统产业的转型升级。大力提升重点企业领域基础研究和共性关键技术创新能力。依托河北邦泰氨纶科技有限公司和康强医疗器械有限公司成立“邦泰新材料应用技术研究院”和“医疗器械技术研究院”，搭建更大的技术交流平台。</w:t>
      </w:r>
    </w:p>
    <w:p>
      <w:pPr>
        <w:pStyle w:val="4"/>
        <w:spacing w:before="0" w:after="0" w:line="570" w:lineRule="exact"/>
        <w:jc w:val="center"/>
        <w:rPr>
          <w:rFonts w:ascii="黑体" w:hAnsi="Times New Roman"/>
          <w:b w:val="0"/>
          <w:spacing w:val="-8"/>
          <w:kern w:val="2"/>
          <w:szCs w:val="32"/>
        </w:rPr>
      </w:pPr>
      <w:bookmarkStart w:id="38" w:name="_Toc32310"/>
      <w:bookmarkStart w:id="39" w:name="_Toc63009727"/>
      <w:r>
        <w:rPr>
          <w:rFonts w:hint="eastAsia" w:ascii="黑体" w:hAnsi="Times New Roman"/>
          <w:b w:val="0"/>
          <w:spacing w:val="-8"/>
          <w:kern w:val="2"/>
          <w:szCs w:val="32"/>
        </w:rPr>
        <w:t>第四节优化区域协同发展环境</w:t>
      </w:r>
      <w:bookmarkEnd w:id="38"/>
      <w:bookmarkEnd w:id="39"/>
    </w:p>
    <w:p>
      <w:pPr>
        <w:spacing w:line="570" w:lineRule="exact"/>
        <w:ind w:firstLine="595" w:firstLineChars="196"/>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全面优化提升承接平台硬件设施水平，提高要素保障能力。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优化园区设施环境。</w:t>
      </w:r>
      <w:r>
        <w:rPr>
          <w:rFonts w:hint="eastAsia" w:ascii="仿宋_GB2312" w:eastAsia="仿宋_GB2312" w:cs="仿宋_GB2312"/>
          <w:spacing w:val="-8"/>
          <w:sz w:val="32"/>
          <w:szCs w:val="32"/>
        </w:rPr>
        <w:t>促进承接平台绿色低碳发展，加强污水处理等基础设施建设。创建新型园区、绿色园区、环境友好型园区，严格项目准入和土地投入产出标准，严格禁止高耗低效及污染项目入园。</w:t>
      </w:r>
    </w:p>
    <w:p>
      <w:pPr>
        <w:spacing w:line="570" w:lineRule="exact"/>
        <w:ind w:firstLine="611" w:firstLineChars="200"/>
        <w:rPr>
          <w:rFonts w:ascii="仿宋_GB2312" w:hAnsi="仿宋" w:eastAsia="仿宋_GB2312" w:cs="仿宋"/>
          <w:b/>
          <w:bCs/>
          <w:spacing w:val="-8"/>
          <w:sz w:val="32"/>
          <w:szCs w:val="32"/>
        </w:rPr>
      </w:pPr>
      <w:r>
        <w:rPr>
          <w:rFonts w:hint="eastAsia" w:ascii="仿宋_GB2312" w:hAnsi="仿宋" w:eastAsia="仿宋_GB2312" w:cs="仿宋"/>
          <w:b/>
          <w:bCs/>
          <w:spacing w:val="-8"/>
          <w:sz w:val="32"/>
          <w:szCs w:val="32"/>
        </w:rPr>
        <w:t>构建现代综合交通体系。</w:t>
      </w:r>
      <w:r>
        <w:rPr>
          <w:rFonts w:hint="eastAsia" w:ascii="仿宋_GB2312" w:eastAsia="仿宋_GB2312" w:cs="仿宋_GB2312"/>
          <w:spacing w:val="-8"/>
          <w:sz w:val="32"/>
          <w:szCs w:val="32"/>
        </w:rPr>
        <w:t>深度融入京津，全力推进城市路网攻坚，积极推进七一路西延、玉川路东延、复兴路再西延（满于西线至京昆高速满城出口段）、宏昌大街南延工程，省道</w:t>
      </w:r>
      <w:r>
        <w:rPr>
          <w:rFonts w:ascii="仿宋_GB2312" w:eastAsia="仿宋_GB2312" w:cs="仿宋_GB2312"/>
          <w:spacing w:val="-8"/>
          <w:sz w:val="32"/>
          <w:szCs w:val="32"/>
        </w:rPr>
        <w:t>333</w:t>
      </w:r>
      <w:r>
        <w:rPr>
          <w:rFonts w:hint="eastAsia" w:ascii="仿宋_GB2312" w:eastAsia="仿宋_GB2312" w:cs="仿宋_GB2312"/>
          <w:spacing w:val="-8"/>
          <w:sz w:val="32"/>
          <w:szCs w:val="32"/>
        </w:rPr>
        <w:t>改线连接安大线，升级改造满于西线南段、西坨线、满于东线、保满北线、龙潭旅游路、满于西线</w:t>
      </w:r>
      <w:r>
        <w:rPr>
          <w:rFonts w:ascii="仿宋_GB2312" w:eastAsia="仿宋_GB2312" w:cs="仿宋_GB2312"/>
          <w:spacing w:val="-8"/>
          <w:sz w:val="32"/>
          <w:szCs w:val="32"/>
        </w:rPr>
        <w:t>-107</w:t>
      </w:r>
      <w:r>
        <w:rPr>
          <w:rFonts w:hint="eastAsia" w:ascii="仿宋_GB2312" w:eastAsia="仿宋_GB2312" w:cs="仿宋_GB2312"/>
          <w:spacing w:val="-8"/>
          <w:sz w:val="32"/>
          <w:szCs w:val="32"/>
        </w:rPr>
        <w:t>和京赞线</w:t>
      </w:r>
      <w:r>
        <w:rPr>
          <w:rFonts w:ascii="仿宋_GB2312" w:eastAsia="仿宋_GB2312" w:cs="仿宋_GB2312"/>
          <w:spacing w:val="-8"/>
          <w:sz w:val="32"/>
          <w:szCs w:val="32"/>
        </w:rPr>
        <w:t>-</w:t>
      </w:r>
      <w:r>
        <w:rPr>
          <w:rFonts w:hint="eastAsia" w:ascii="仿宋_GB2312" w:eastAsia="仿宋_GB2312" w:cs="仿宋_GB2312"/>
          <w:spacing w:val="-8"/>
          <w:sz w:val="32"/>
          <w:szCs w:val="32"/>
        </w:rPr>
        <w:t>白堡（徐水界）。</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优化产业承接布局。</w:t>
      </w:r>
      <w:r>
        <w:rPr>
          <w:rFonts w:hint="eastAsia" w:ascii="仿宋_GB2312" w:eastAsia="仿宋_GB2312" w:cs="仿宋_GB2312"/>
          <w:spacing w:val="-8"/>
          <w:sz w:val="32"/>
          <w:szCs w:val="32"/>
        </w:rPr>
        <w:t>根据“一区四园”产业集聚特点和资源环境承载能力，积极承接有利于延伸产业链、提高技术水平、促进资源综合利用、充分吸纳就业的产业，更好的发挥重点承接平台的引领带动作用，促进产业集中布局和集聚发展，发挥规模效应和龙头效应，提高辐射带动能力。“十四五”期间“一区四园”入园规模以上企业达到</w:t>
      </w:r>
      <w:r>
        <w:rPr>
          <w:rFonts w:ascii="仿宋_GB2312" w:eastAsia="仿宋_GB2312" w:cs="仿宋_GB2312"/>
          <w:spacing w:val="-8"/>
          <w:sz w:val="32"/>
          <w:szCs w:val="32"/>
        </w:rPr>
        <w:t>400</w:t>
      </w:r>
      <w:r>
        <w:rPr>
          <w:rFonts w:hint="eastAsia" w:ascii="仿宋_GB2312" w:eastAsia="仿宋_GB2312" w:cs="仿宋_GB2312"/>
          <w:spacing w:val="-8"/>
          <w:sz w:val="32"/>
          <w:szCs w:val="32"/>
        </w:rPr>
        <w:t>家以上，形成主业突出。行业聚集、配套完善的产业集群，向千亿级园区迈进。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优先保障重点承接产业用地。</w:t>
      </w:r>
      <w:r>
        <w:rPr>
          <w:rFonts w:hint="eastAsia" w:ascii="仿宋_GB2312" w:eastAsia="仿宋_GB2312" w:cs="仿宋_GB2312"/>
          <w:spacing w:val="-8"/>
          <w:sz w:val="32"/>
          <w:szCs w:val="32"/>
        </w:rPr>
        <w:t>提高要素保障能力，全面优化提升承接平台硬件设施水平。加强项目规划和选址引导，土地指标、占补平衡指标向重点承接平台倾斜，新增工业用地和生产性服务业用地计划对重点承接平台优先安排，实施园区工业“标准地”改革，探索“先租后让、达标出让”供地模式，提高土地利用效率，建立有效的承接产业转移项目的土地储备制度。</w:t>
      </w:r>
    </w:p>
    <w:p>
      <w:pPr>
        <w:rPr>
          <w:rFonts w:ascii="方正小标宋简体" w:hAnsi="黑体" w:eastAsia="方正小标宋简体" w:cs="宋体"/>
          <w:spacing w:val="-8"/>
          <w:sz w:val="32"/>
          <w:szCs w:val="32"/>
        </w:rPr>
      </w:pPr>
      <w:bookmarkStart w:id="40" w:name="_Toc63009728"/>
      <w:r>
        <w:rPr>
          <w:rFonts w:hint="eastAsia" w:ascii="方正小标宋简体" w:hAnsi="黑体" w:eastAsia="方正小标宋简体" w:cs="宋体"/>
          <w:spacing w:val="-8"/>
          <w:sz w:val="32"/>
          <w:szCs w:val="32"/>
        </w:rPr>
        <w:br w:type="page"/>
      </w:r>
    </w:p>
    <w:p>
      <w:pPr>
        <w:pStyle w:val="3"/>
        <w:spacing w:before="0" w:after="0" w:line="570" w:lineRule="exact"/>
        <w:jc w:val="center"/>
        <w:rPr>
          <w:rFonts w:ascii="方正小标宋简体" w:hAnsi="黑体" w:eastAsia="方正小标宋简体" w:cs="宋体"/>
          <w:b w:val="0"/>
          <w:spacing w:val="-8"/>
          <w:kern w:val="2"/>
          <w:sz w:val="32"/>
          <w:szCs w:val="32"/>
        </w:rPr>
      </w:pPr>
      <w:bookmarkStart w:id="41" w:name="_Toc1284"/>
      <w:r>
        <w:rPr>
          <w:rFonts w:hint="eastAsia" w:ascii="方正小标宋简体" w:hAnsi="黑体" w:eastAsia="方正小标宋简体" w:cs="宋体"/>
          <w:b w:val="0"/>
          <w:spacing w:val="-8"/>
          <w:kern w:val="2"/>
          <w:sz w:val="32"/>
          <w:szCs w:val="32"/>
        </w:rPr>
        <w:t>第五章推动区域产业转型升级，构建“</w:t>
      </w:r>
      <w:r>
        <w:rPr>
          <w:rFonts w:ascii="方正小标宋简体" w:hAnsi="黑体" w:eastAsia="方正小标宋简体" w:cs="宋体"/>
          <w:b w:val="0"/>
          <w:spacing w:val="-8"/>
          <w:kern w:val="2"/>
          <w:sz w:val="32"/>
          <w:szCs w:val="32"/>
        </w:rPr>
        <w:t>2+3</w:t>
      </w:r>
      <w:r>
        <w:rPr>
          <w:rFonts w:hint="eastAsia" w:ascii="方正小标宋简体" w:hAnsi="黑体" w:eastAsia="方正小标宋简体" w:cs="宋体"/>
          <w:b w:val="0"/>
          <w:spacing w:val="-8"/>
          <w:kern w:val="2"/>
          <w:sz w:val="32"/>
          <w:szCs w:val="32"/>
        </w:rPr>
        <w:t>”产业体系</w:t>
      </w:r>
      <w:bookmarkEnd w:id="40"/>
      <w:bookmarkEnd w:id="41"/>
    </w:p>
    <w:p>
      <w:pPr>
        <w:spacing w:line="570" w:lineRule="exact"/>
      </w:pPr>
    </w:p>
    <w:p>
      <w:pPr>
        <w:spacing w:line="570" w:lineRule="exact"/>
        <w:ind w:firstLine="608" w:firstLineChars="200"/>
        <w:rPr>
          <w:rFonts w:ascii="仿宋_GB2312" w:eastAsia="仿宋_GB2312" w:cs="仿宋_GB2312"/>
          <w:b/>
          <w:spacing w:val="-8"/>
          <w:szCs w:val="32"/>
        </w:rPr>
      </w:pPr>
      <w:r>
        <w:rPr>
          <w:rFonts w:hint="eastAsia" w:ascii="仿宋_GB2312" w:eastAsia="仿宋_GB2312" w:cs="仿宋_GB2312"/>
          <w:spacing w:val="-8"/>
          <w:sz w:val="32"/>
          <w:szCs w:val="32"/>
        </w:rPr>
        <w:t>积极抓住京津冀协同发展和雄安新区建设的重大机遇，按照高质量发展要求，紧紧围绕全区“</w:t>
      </w:r>
      <w:r>
        <w:rPr>
          <w:rFonts w:ascii="仿宋_GB2312" w:eastAsia="仿宋_GB2312" w:cs="仿宋_GB2312"/>
          <w:spacing w:val="-8"/>
          <w:sz w:val="32"/>
          <w:szCs w:val="32"/>
        </w:rPr>
        <w:t>2+3</w:t>
      </w:r>
      <w:r>
        <w:rPr>
          <w:rFonts w:hint="eastAsia" w:ascii="仿宋_GB2312" w:eastAsia="仿宋_GB2312" w:cs="仿宋_GB2312"/>
          <w:spacing w:val="-8"/>
          <w:sz w:val="32"/>
          <w:szCs w:val="32"/>
        </w:rPr>
        <w:t>”产业体系（两大传统产业：生活用纸、电力电气；三个新兴产业：高端装备制造、新材料、生物大健康），在建链、强链、补链、延链上下功夫，着力打造产业集群。</w:t>
      </w:r>
    </w:p>
    <w:p>
      <w:pPr>
        <w:pStyle w:val="4"/>
        <w:spacing w:before="0" w:after="0" w:line="570" w:lineRule="exact"/>
        <w:jc w:val="center"/>
        <w:rPr>
          <w:rFonts w:ascii="黑体" w:hAnsi="Times New Roman"/>
          <w:b w:val="0"/>
          <w:spacing w:val="-8"/>
          <w:kern w:val="2"/>
          <w:szCs w:val="32"/>
        </w:rPr>
      </w:pPr>
      <w:bookmarkStart w:id="42" w:name="_Toc5049"/>
      <w:r>
        <w:fldChar w:fldCharType="begin"/>
      </w:r>
      <w:r>
        <w:instrText xml:space="preserve"> HYPERLINK \l "_Toc436683213"</w:instrText>
      </w:r>
      <w:r>
        <w:fldChar w:fldCharType="separate"/>
      </w:r>
      <w:bookmarkStart w:id="43" w:name="_Toc63009729"/>
      <w:r>
        <w:rPr>
          <w:rFonts w:hint="eastAsia" w:ascii="黑体" w:hAnsi="Times New Roman"/>
          <w:b w:val="0"/>
          <w:spacing w:val="-8"/>
          <w:kern w:val="2"/>
          <w:szCs w:val="32"/>
        </w:rPr>
        <w:t>第一节改造提升传统产业，释放优势产业潜能</w:t>
      </w:r>
      <w:bookmarkEnd w:id="43"/>
      <w:r>
        <w:rPr>
          <w:rFonts w:ascii="黑体" w:hAnsi="Times New Roman"/>
          <w:b w:val="0"/>
          <w:spacing w:val="-8"/>
          <w:kern w:val="2"/>
          <w:szCs w:val="32"/>
        </w:rPr>
        <w:tab/>
      </w:r>
      <w:r>
        <w:rPr>
          <w:rFonts w:ascii="黑体" w:hAnsi="Times New Roman"/>
          <w:b w:val="0"/>
          <w:spacing w:val="-8"/>
          <w:kern w:val="2"/>
          <w:szCs w:val="32"/>
        </w:rPr>
        <w:fldChar w:fldCharType="end"/>
      </w:r>
      <w:bookmarkEnd w:id="42"/>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深入传统产业改造提升和做强做优行动。引进和研发关键技术、生产经营方式，尽快推进生活用纸、电力电气、有色金属、食品加工等传统产业技术改造，将传统产业改造升级和延伸产业链、发展上下游产业紧密结合起来，培育发展一批有基础、有潜力、有需求的特色产业集群。提高产品科技含量和附加值，实现产品升级换代。</w:t>
      </w:r>
    </w:p>
    <w:p>
      <w:pPr>
        <w:spacing w:line="570" w:lineRule="exact"/>
        <w:ind w:firstLine="611" w:firstLineChars="200"/>
        <w:rPr>
          <w:rFonts w:ascii="仿宋_GB2312" w:eastAsia="仿宋_GB2312" w:cs="仿宋_GB2312"/>
          <w:spacing w:val="-8"/>
          <w:sz w:val="32"/>
          <w:szCs w:val="32"/>
        </w:rPr>
      </w:pPr>
      <w:r>
        <w:rPr>
          <w:rFonts w:hint="eastAsia" w:ascii="仿宋_GB2312" w:eastAsia="仿宋_GB2312"/>
          <w:b/>
          <w:bCs/>
          <w:spacing w:val="-8"/>
          <w:sz w:val="32"/>
          <w:szCs w:val="32"/>
        </w:rPr>
        <w:t>生活用纸深加工产业。</w:t>
      </w:r>
      <w:r>
        <w:rPr>
          <w:rFonts w:hint="eastAsia" w:ascii="仿宋_GB2312" w:eastAsia="仿宋_GB2312" w:cs="仿宋_GB2312"/>
          <w:spacing w:val="-8"/>
          <w:sz w:val="32"/>
          <w:szCs w:val="32"/>
        </w:rPr>
        <w:t>实施生活用纸产业“二次腾飞”五年计划，推动纸制品产业结构优化升级。提高产业集中度，促进规模化、集约化经营，增强市场竞争力，培育一批在全国极具实力和影响力的大型企业集团。采用“政府</w:t>
      </w:r>
      <w:r>
        <w:rPr>
          <w:rFonts w:ascii="仿宋_GB2312" w:eastAsia="仿宋_GB2312" w:cs="仿宋_GB2312"/>
          <w:spacing w:val="-8"/>
          <w:sz w:val="32"/>
          <w:szCs w:val="32"/>
        </w:rPr>
        <w:t>+</w:t>
      </w:r>
      <w:r>
        <w:rPr>
          <w:rFonts w:hint="eastAsia" w:ascii="仿宋_GB2312" w:eastAsia="仿宋_GB2312" w:cs="仿宋_GB2312"/>
          <w:spacing w:val="-8"/>
          <w:sz w:val="32"/>
          <w:szCs w:val="32"/>
        </w:rPr>
        <w:t>智库”的模式，提升共性创新能力，重点扶持雨森、金博士、港兴、新宇等企业，打造一批在国际国内行业内具有一定影响力和知名度的</w:t>
      </w:r>
      <w:r>
        <w:rPr>
          <w:rFonts w:hint="eastAsia" w:ascii="仿宋_GB2312" w:hAnsi="仿宋_GB2312" w:eastAsia="仿宋_GB2312" w:cs="仿宋_GB2312"/>
          <w:spacing w:val="-8"/>
          <w:sz w:val="32"/>
          <w:szCs w:val="32"/>
        </w:rPr>
        <w:t>“百年老店”</w:t>
      </w:r>
      <w:r>
        <w:rPr>
          <w:rFonts w:hint="eastAsia" w:ascii="仿宋_GB2312" w:eastAsia="仿宋_GB2312" w:cs="仿宋_GB2312"/>
          <w:spacing w:val="-8"/>
          <w:sz w:val="32"/>
          <w:szCs w:val="32"/>
        </w:rPr>
        <w:t>知名品牌。加大企业科技创新力度，加大新产品研发力度，积极引进高端人才和高端技术，推动专家智库共建产业联盟，建立产品研发中心，提高产品附加值和科技含量。加速产业基金的建立，延伸产业链条，细分产品市场，逐步形成适应不同层次、多元化市场需求的产品结构。支持组建行业协会，强化行业约束管理，全面提升满城生活用纸影响力和话语权。</w:t>
      </w:r>
      <w:r>
        <w:rPr>
          <w:rFonts w:hint="eastAsia" w:ascii="仿宋_GB2312" w:hAnsi="仿宋" w:eastAsia="仿宋_GB2312" w:cs="仿宋"/>
          <w:bCs/>
          <w:spacing w:val="-8"/>
          <w:sz w:val="32"/>
          <w:szCs w:val="32"/>
        </w:rPr>
        <w:t>大力实施技术改造。</w:t>
      </w:r>
      <w:r>
        <w:rPr>
          <w:rFonts w:hint="eastAsia" w:ascii="仿宋_GB2312" w:eastAsia="仿宋_GB2312" w:cs="仿宋_GB2312"/>
          <w:spacing w:val="-8"/>
          <w:sz w:val="32"/>
          <w:szCs w:val="32"/>
        </w:rPr>
        <w:t>实施</w:t>
      </w:r>
      <w:r>
        <w:rPr>
          <w:rFonts w:ascii="仿宋_GB2312" w:eastAsia="仿宋_GB2312" w:cs="仿宋_GB2312"/>
          <w:spacing w:val="-8"/>
          <w:sz w:val="32"/>
          <w:szCs w:val="32"/>
        </w:rPr>
        <w:t>1</w:t>
      </w:r>
      <w:r>
        <w:rPr>
          <w:rFonts w:hint="eastAsia" w:ascii="仿宋_GB2312" w:eastAsia="仿宋_GB2312" w:cs="仿宋_GB2312"/>
          <w:spacing w:val="-8"/>
          <w:sz w:val="32"/>
          <w:szCs w:val="32"/>
        </w:rPr>
        <w:t>项省级以上重点技改项目，实现重点规上工业企业技改“全覆盖”。充分发挥技术改造专项资金引导作用，围绕推进产业链条化、产品高端化、生产绿色化，支持一批重点技术改造项目。着力加大企业兼并重组力度，使卫生用品生产规模达到较高竞争力水平；扩大宣传，创优品牌，逐步创建全国著名品牌。加快完善京津冀生活用纸科技创新产业园区规划，拉大园区发展框架，满足企业用地、用电、用水、用气等方面的需求，拓宽交通路网，为纸制品企业做大做强提供保障。充分利用互联网，打造“互联网</w:t>
      </w:r>
      <w:r>
        <w:rPr>
          <w:rFonts w:ascii="仿宋_GB2312" w:eastAsia="仿宋_GB2312" w:cs="仿宋_GB2312"/>
          <w:spacing w:val="-8"/>
          <w:sz w:val="32"/>
          <w:szCs w:val="32"/>
        </w:rPr>
        <w:t>+</w:t>
      </w:r>
      <w:r>
        <w:rPr>
          <w:rFonts w:hint="eastAsia" w:ascii="仿宋_GB2312" w:eastAsia="仿宋_GB2312" w:cs="仿宋_GB2312"/>
          <w:spacing w:val="-8"/>
          <w:sz w:val="32"/>
          <w:szCs w:val="32"/>
        </w:rPr>
        <w:t>”的生态模式进行市场开拓、宣传推广、产品销售，加快发展电子商务，借助快手、天猫、抖音等直播平台，借力淘宝、天猫、京东等电商平台，拓宽销售渠道，发展以纸制品为基础的现代物流业，实现现代化物流功能，充分利用交通、信息、仓储的优势，打造辐射能力强、运转效率高的北方物流中心。力争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年巩固北方最大的纸制品产业基地地位，做优做强“华北纸都”，打造省级示范区、可持续发展的样板区。</w:t>
      </w:r>
    </w:p>
    <w:p>
      <w:pPr>
        <w:spacing w:line="570" w:lineRule="exact"/>
        <w:ind w:firstLine="595" w:firstLineChars="200"/>
        <w:rPr>
          <w:rFonts w:ascii="仿宋_GB2312" w:eastAsia="仿宋_GB2312" w:cs="仿宋_GB2312"/>
          <w:spacing w:val="-12"/>
          <w:sz w:val="32"/>
          <w:szCs w:val="32"/>
        </w:rPr>
      </w:pPr>
      <w:r>
        <w:rPr>
          <w:rFonts w:hint="eastAsia" w:ascii="仿宋_GB2312" w:hAnsi="仿宋_GB2312" w:eastAsia="仿宋_GB2312"/>
          <w:b/>
          <w:bCs/>
          <w:spacing w:val="-12"/>
          <w:sz w:val="32"/>
          <w:szCs w:val="32"/>
        </w:rPr>
        <w:t>电力电气产业。</w:t>
      </w:r>
      <w:r>
        <w:rPr>
          <w:rFonts w:hint="eastAsia" w:ascii="仿宋_GB2312" w:eastAsia="仿宋_GB2312" w:cs="仿宋_GB2312"/>
          <w:spacing w:val="-12"/>
          <w:sz w:val="32"/>
          <w:szCs w:val="32"/>
        </w:rPr>
        <w:t>依托冀开、鑫环通、科捷、华森、宏远天成、方圆等电力企业，培育壮大龙头企业，扶持一批领军企业，加大科研投入力度，积极引进高端人才和高端技术，推动专家智库共建产业联盟，建立产品研发中心，提高产品附加值和科技含量。着力培育一批发展潜力大的小微企业，强化与龙头企业的配套合作，形成以专业化分工和社会化协作为基础、大中小企业共存、不同类型企业共生的产业链。依托河北京车制造基地，加强电力电气企业和京车供应商合作，重点承接轨道交通、智慧数据、智慧物流等上下游配套产业、新能源、智慧电网装备业引进工作，加速产业配套聚集，延伸壮大产业链条，形成整体竞争优势。加快推进电力电气产业提档升级，形成辐射面广的高端制造业产业集群。</w:t>
      </w:r>
    </w:p>
    <w:p>
      <w:pPr>
        <w:pStyle w:val="4"/>
        <w:spacing w:before="0" w:after="0" w:line="570" w:lineRule="exact"/>
        <w:jc w:val="center"/>
        <w:rPr>
          <w:rFonts w:ascii="黑体" w:hAnsi="Times New Roman"/>
          <w:b w:val="0"/>
          <w:spacing w:val="-8"/>
          <w:kern w:val="2"/>
          <w:szCs w:val="32"/>
        </w:rPr>
      </w:pPr>
      <w:bookmarkStart w:id="44" w:name="_Toc7591"/>
      <w:bookmarkStart w:id="45" w:name="_Toc63009730"/>
      <w:r>
        <w:rPr>
          <w:rFonts w:hint="eastAsia" w:ascii="黑体" w:hAnsi="Times New Roman"/>
          <w:b w:val="0"/>
          <w:spacing w:val="-8"/>
          <w:kern w:val="2"/>
          <w:szCs w:val="32"/>
        </w:rPr>
        <w:t>第二节打造生物产业集群，培育特色工业增长级</w:t>
      </w:r>
      <w:bookmarkEnd w:id="44"/>
      <w:bookmarkEnd w:id="45"/>
    </w:p>
    <w:p>
      <w:pPr>
        <w:spacing w:line="570" w:lineRule="exact"/>
        <w:ind w:firstLine="608" w:firstLineChars="200"/>
        <w:rPr>
          <w:rFonts w:ascii="仿宋_GB2312" w:eastAsia="仿宋_GB2312" w:cs="仿宋_GB2312"/>
          <w:spacing w:val="-8"/>
          <w:sz w:val="32"/>
          <w:szCs w:val="32"/>
          <w:highlight w:val="red"/>
        </w:rPr>
      </w:pPr>
      <w:r>
        <w:rPr>
          <w:rFonts w:hint="eastAsia" w:ascii="仿宋_GB2312" w:eastAsia="仿宋_GB2312" w:cs="仿宋_GB2312"/>
          <w:spacing w:val="-8"/>
          <w:sz w:val="32"/>
          <w:szCs w:val="32"/>
        </w:rPr>
        <w:t>以雄安新区建设世界一流生物技术与生命科学创新示范中心、高端医疗和健康服务中心、生物产业基地为契机，以成果转化、质量提升、链条延伸为主攻方向</w:t>
      </w:r>
      <w:r>
        <w:rPr>
          <w:rFonts w:hint="eastAsia" w:ascii="仿宋_GB2312" w:eastAsia="仿宋_GB2312" w:cs="仿宋_GB2312"/>
          <w:color w:val="FF0000"/>
          <w:spacing w:val="-8"/>
          <w:sz w:val="32"/>
          <w:szCs w:val="32"/>
        </w:rPr>
        <w:t>，</w:t>
      </w:r>
      <w:r>
        <w:rPr>
          <w:rFonts w:hint="eastAsia" w:ascii="仿宋_GB2312" w:eastAsia="仿宋_GB2312" w:cs="仿宋_GB2312"/>
          <w:spacing w:val="-8"/>
          <w:sz w:val="32"/>
          <w:szCs w:val="32"/>
        </w:rPr>
        <w:t>依托中关村生命科学院科创新基地项目，促进生物医药与大健康产业聚集和转型升级</w:t>
      </w:r>
      <w:r>
        <w:rPr>
          <w:rFonts w:ascii="仿宋_GB2312" w:eastAsia="仿宋_GB2312" w:cs="仿宋_GB2312"/>
          <w:spacing w:val="-8"/>
          <w:sz w:val="32"/>
          <w:szCs w:val="32"/>
        </w:rPr>
        <w:t xml:space="preserve">, </w:t>
      </w:r>
      <w:r>
        <w:rPr>
          <w:rFonts w:hint="eastAsia" w:ascii="仿宋_GB2312" w:eastAsia="仿宋_GB2312" w:cs="仿宋_GB2312"/>
          <w:spacing w:val="-8"/>
          <w:sz w:val="32"/>
          <w:szCs w:val="32"/>
        </w:rPr>
        <w:t>构建技术创新和成果转化生态体系，实现生命健康产业协同发展目标；依托九孚生化、保利瑞和、达瑞生物等企业，研发和应用生物酶催化技术替代传统化学合成技术，生产高端甾体药物中间体和甾体药物，大力研发新药物中间体的生产技术，打造一套产业链、技术链、价值链。</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四五”期间，积极推动生物制药产业创新发展，依托骨干企业、高校院所，深化产学研合作，加快打造创新型龙头企业和科技型领军企业。推进要素整合，吸引域外生物制药企业进驻产业园区。研发和引进先进技术，以高新技术引领产业发展。培育特色工业增长级，围绕九孚、保利瑞和、北瑞甾体等生物制药企业，鼓励其自主研发，提升整体竞争力，打造满城区主导、优势型产业。依托国药乐仁堂保定医药有限公司保定医药港项目和保定市微诺生物科技有限公司冻干赋形新型口服药品研究项目，借势现有生物医药企业，打造河北省乃至全国性的集研发、生产、销售一体化的生物医药中心，将满城生物制药产业在全市乃至全省范围占据一席之地。</w:t>
      </w:r>
    </w:p>
    <w:p>
      <w:pPr>
        <w:pStyle w:val="4"/>
        <w:spacing w:before="0" w:after="0" w:line="570" w:lineRule="exact"/>
        <w:jc w:val="center"/>
        <w:rPr>
          <w:rFonts w:ascii="黑体" w:hAnsi="Times New Roman"/>
          <w:b w:val="0"/>
          <w:spacing w:val="-8"/>
          <w:kern w:val="2"/>
          <w:szCs w:val="32"/>
        </w:rPr>
      </w:pPr>
      <w:bookmarkStart w:id="46" w:name="_Toc16231"/>
      <w:r>
        <w:rPr>
          <w:rFonts w:hint="eastAsia"/>
        </w:rPr>
        <w:fldChar w:fldCharType="begin"/>
      </w:r>
      <w:r>
        <w:instrText xml:space="preserve"> HYPERLINK \l "_Toc436683214"</w:instrText>
      </w:r>
      <w:r>
        <w:rPr>
          <w:rFonts w:hint="eastAsia"/>
        </w:rPr>
        <w:fldChar w:fldCharType="separate"/>
      </w:r>
      <w:bookmarkStart w:id="47" w:name="_Toc63009731"/>
      <w:r>
        <w:rPr>
          <w:rFonts w:hint="eastAsia" w:ascii="黑体" w:hAnsi="Times New Roman"/>
          <w:b w:val="0"/>
          <w:spacing w:val="-8"/>
          <w:kern w:val="2"/>
          <w:szCs w:val="32"/>
        </w:rPr>
        <w:t>第三节延伸高端制造产业，优化产业链条发展</w:t>
      </w:r>
      <w:bookmarkEnd w:id="47"/>
      <w:r>
        <w:rPr>
          <w:rFonts w:hint="eastAsia" w:ascii="黑体" w:hAnsi="Times New Roman"/>
          <w:b w:val="0"/>
          <w:spacing w:val="-8"/>
          <w:kern w:val="2"/>
          <w:szCs w:val="32"/>
        </w:rPr>
        <w:fldChar w:fldCharType="end"/>
      </w:r>
      <w:bookmarkEnd w:id="46"/>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坚持高端化、创新型和绿色化，以扩大产业规模和提质增效为目标，以园区为载体，以招商引资和项目建设为重点，着力优化产业布局，构建营造良好发展环境，推进形成特色产品优势突出、核心技术自主研发能力较强、产业和产品结构优化、专业化协作分工合理的先进装备制造业产业集群，着力推动满城区产业结构转型升级。</w:t>
      </w:r>
    </w:p>
    <w:p>
      <w:pPr>
        <w:spacing w:line="570" w:lineRule="exact"/>
        <w:ind w:firstLine="592" w:firstLineChars="200"/>
        <w:rPr>
          <w:rFonts w:ascii="仿宋_GB2312" w:eastAsia="仿宋_GB2312" w:cs="仿宋_GB2312"/>
          <w:spacing w:val="-12"/>
          <w:sz w:val="32"/>
          <w:szCs w:val="32"/>
          <w:highlight w:val="yellow"/>
        </w:rPr>
      </w:pPr>
      <w:r>
        <w:rPr>
          <w:rFonts w:hint="eastAsia" w:ascii="仿宋_GB2312" w:eastAsia="仿宋_GB2312" w:cs="仿宋_GB2312"/>
          <w:spacing w:val="-12"/>
          <w:sz w:val="32"/>
          <w:szCs w:val="32"/>
        </w:rPr>
        <w:t>依托河北京车造车基地，建设高端装备行业创新平台，引进高水平研发机构</w:t>
      </w:r>
      <w:r>
        <w:rPr>
          <w:rFonts w:ascii="仿宋_GB2312" w:eastAsia="仿宋_GB2312" w:cs="仿宋_GB2312"/>
          <w:spacing w:val="-12"/>
          <w:sz w:val="32"/>
          <w:szCs w:val="32"/>
        </w:rPr>
        <w:t>,</w:t>
      </w:r>
      <w:r>
        <w:rPr>
          <w:rFonts w:hint="eastAsia" w:ascii="仿宋_GB2312" w:eastAsia="仿宋_GB2312" w:cs="仿宋_GB2312"/>
          <w:spacing w:val="-12"/>
          <w:sz w:val="32"/>
          <w:szCs w:val="32"/>
        </w:rPr>
        <w:t>建设工程技术研究中心、重点实验室、企业技术中心</w:t>
      </w:r>
      <w:r>
        <w:rPr>
          <w:rFonts w:ascii="仿宋_GB2312" w:eastAsia="仿宋_GB2312" w:cs="仿宋_GB2312"/>
          <w:spacing w:val="-12"/>
          <w:sz w:val="32"/>
          <w:szCs w:val="32"/>
        </w:rPr>
        <w:t>,</w:t>
      </w:r>
      <w:r>
        <w:rPr>
          <w:rFonts w:hint="eastAsia" w:ascii="仿宋_GB2312" w:eastAsia="仿宋_GB2312" w:cs="仿宋_GB2312"/>
          <w:spacing w:val="-12"/>
          <w:sz w:val="32"/>
          <w:szCs w:val="32"/>
        </w:rPr>
        <w:t>引进多家上下游配套企业，建成以高端化、智能化、服务化、国际化为代表，成套设备制造与零配件制造协调发展的轨道装备制造业基地，形成完整的产业链结构，优化高端制造业的产业结构。到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年，力争主营业务收入达到</w:t>
      </w:r>
      <w:r>
        <w:rPr>
          <w:rFonts w:ascii="仿宋_GB2312" w:eastAsia="仿宋_GB2312" w:cs="仿宋_GB2312"/>
          <w:spacing w:val="-12"/>
          <w:sz w:val="32"/>
          <w:szCs w:val="32"/>
        </w:rPr>
        <w:t>100</w:t>
      </w:r>
      <w:r>
        <w:rPr>
          <w:rFonts w:hint="eastAsia" w:ascii="仿宋_GB2312" w:eastAsia="仿宋_GB2312" w:cs="仿宋_GB2312"/>
          <w:spacing w:val="-12"/>
          <w:sz w:val="32"/>
          <w:szCs w:val="32"/>
        </w:rPr>
        <w:t>亿元，大企业群体进一步扩大，研发经费支出占主营业务收入比重达到</w:t>
      </w:r>
      <w:r>
        <w:rPr>
          <w:rFonts w:ascii="仿宋_GB2312" w:eastAsia="仿宋_GB2312" w:cs="仿宋_GB2312"/>
          <w:spacing w:val="-12"/>
          <w:sz w:val="32"/>
          <w:szCs w:val="32"/>
        </w:rPr>
        <w:t>3%</w:t>
      </w:r>
      <w:r>
        <w:rPr>
          <w:rFonts w:hint="eastAsia" w:ascii="仿宋_GB2312" w:eastAsia="仿宋_GB2312" w:cs="仿宋_GB2312"/>
          <w:spacing w:val="-12"/>
          <w:sz w:val="32"/>
          <w:szCs w:val="32"/>
        </w:rPr>
        <w:t>，力争建成</w:t>
      </w:r>
      <w:r>
        <w:rPr>
          <w:rFonts w:ascii="仿宋_GB2312" w:eastAsia="仿宋_GB2312" w:cs="仿宋_GB2312"/>
          <w:spacing w:val="-12"/>
          <w:sz w:val="32"/>
          <w:szCs w:val="32"/>
        </w:rPr>
        <w:t>3</w:t>
      </w:r>
      <w:r>
        <w:rPr>
          <w:rFonts w:hint="eastAsia" w:ascii="仿宋_GB2312" w:eastAsia="仿宋_GB2312" w:cs="仿宋_GB2312"/>
          <w:spacing w:val="-12"/>
          <w:sz w:val="32"/>
          <w:szCs w:val="32"/>
        </w:rPr>
        <w:t>个省级以上工程技术研究中心、重点实验室、企业技术中心。</w:t>
      </w:r>
    </w:p>
    <w:p>
      <w:pPr>
        <w:spacing w:line="570" w:lineRule="exact"/>
        <w:ind w:firstLine="592" w:firstLineChars="200"/>
        <w:rPr>
          <w:rFonts w:ascii="仿宋_GB2312" w:eastAsia="仿宋_GB2312" w:cs="仿宋_GB2312"/>
          <w:spacing w:val="-12"/>
          <w:sz w:val="32"/>
          <w:szCs w:val="32"/>
        </w:rPr>
      </w:pPr>
      <w:r>
        <w:rPr>
          <w:rFonts w:hint="eastAsia" w:ascii="仿宋_GB2312" w:eastAsia="仿宋_GB2312" w:cs="仿宋_GB2312"/>
          <w:spacing w:val="-12"/>
          <w:sz w:val="32"/>
          <w:szCs w:val="32"/>
        </w:rPr>
        <w:t>推进河北瑞创网络科技有限公司中瑞人工智能产业基地项目和保定市金源科技有限公司年产</w:t>
      </w:r>
      <w:r>
        <w:rPr>
          <w:rFonts w:ascii="仿宋_GB2312" w:eastAsia="仿宋_GB2312" w:cs="仿宋_GB2312"/>
          <w:spacing w:val="-12"/>
          <w:sz w:val="32"/>
          <w:szCs w:val="32"/>
        </w:rPr>
        <w:t>2500</w:t>
      </w:r>
      <w:r>
        <w:rPr>
          <w:rFonts w:hint="eastAsia" w:ascii="仿宋_GB2312" w:eastAsia="仿宋_GB2312" w:cs="仿宋_GB2312"/>
          <w:spacing w:val="-12"/>
          <w:sz w:val="32"/>
          <w:szCs w:val="32"/>
        </w:rPr>
        <w:t>台输变电检测设备项目的建设，加快智能制造与高端装备制造业融合发展的步伐。选择产品有市场、发展有潜力的规模以上企业，运用智能制造等新技术对生产线、生产车间实施改造升级，建成智能工厂、数字化车间</w:t>
      </w:r>
      <w:r>
        <w:rPr>
          <w:rFonts w:ascii="仿宋_GB2312" w:eastAsia="仿宋_GB2312" w:cs="仿宋_GB2312"/>
          <w:spacing w:val="-12"/>
          <w:sz w:val="32"/>
          <w:szCs w:val="32"/>
        </w:rPr>
        <w:t>10</w:t>
      </w:r>
      <w:r>
        <w:rPr>
          <w:rFonts w:hint="eastAsia" w:ascii="仿宋_GB2312" w:eastAsia="仿宋_GB2312" w:cs="仿宋_GB2312"/>
          <w:spacing w:val="-12"/>
          <w:sz w:val="32"/>
          <w:szCs w:val="32"/>
        </w:rPr>
        <w:t>个，全面提升装备制造企业数字化、网络化、智能化水平。到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年，培育出有竞争优势和影响力的领军企业，带动高端装备所需的关键配套系统与设备、关键零部件与基础件制造能力显著提升，做好“延链、补链、强链、育链”工作。形成优势互补、协同发展的产业体系。到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年，建成</w:t>
      </w:r>
      <w:r>
        <w:rPr>
          <w:rFonts w:ascii="仿宋_GB2312" w:eastAsia="仿宋_GB2312" w:cs="仿宋_GB2312"/>
          <w:spacing w:val="-12"/>
          <w:sz w:val="32"/>
          <w:szCs w:val="32"/>
        </w:rPr>
        <w:t>2</w:t>
      </w:r>
      <w:r>
        <w:rPr>
          <w:rFonts w:hint="eastAsia" w:ascii="仿宋_GB2312" w:eastAsia="仿宋_GB2312" w:cs="仿宋_GB2312"/>
          <w:spacing w:val="-12"/>
          <w:sz w:val="32"/>
          <w:szCs w:val="32"/>
        </w:rPr>
        <w:t>个以上特色优势产业集群（基地），形成特色鲜明、优势突出、协同联动的高端装备产业区。</w:t>
      </w:r>
    </w:p>
    <w:p>
      <w:pPr>
        <w:spacing w:line="570" w:lineRule="exact"/>
        <w:ind w:firstLine="592" w:firstLineChars="200"/>
        <w:rPr>
          <w:rFonts w:ascii="仿宋_GB2312" w:eastAsia="仿宋_GB2312" w:cs="仿宋_GB2312"/>
          <w:spacing w:val="-12"/>
          <w:sz w:val="32"/>
          <w:szCs w:val="32"/>
          <w:lang w:val="zh-CN"/>
        </w:rPr>
      </w:pPr>
      <w:r>
        <w:rPr>
          <w:rFonts w:hint="eastAsia" w:ascii="仿宋_GB2312" w:eastAsia="仿宋_GB2312" w:cs="仿宋_GB2312"/>
          <w:spacing w:val="-12"/>
          <w:sz w:val="32"/>
          <w:szCs w:val="32"/>
        </w:rPr>
        <w:t>加快制造业与服务业深度融合，实现服务化。围绕高端装备制造产业体系形成一批以服务运营与服务增值为主体业务的新型服务业态，推动装备制造业与生产性服务业互动发展。到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年，规模以上服务业收入增加</w:t>
      </w:r>
      <w:r>
        <w:rPr>
          <w:rFonts w:ascii="仿宋_GB2312" w:eastAsia="仿宋_GB2312" w:cs="仿宋_GB2312"/>
          <w:spacing w:val="-12"/>
          <w:sz w:val="32"/>
          <w:szCs w:val="32"/>
        </w:rPr>
        <w:t>20%</w:t>
      </w:r>
      <w:r>
        <w:rPr>
          <w:rFonts w:hint="eastAsia" w:ascii="仿宋_GB2312" w:eastAsia="仿宋_GB2312" w:cs="仿宋_GB2312"/>
          <w:spacing w:val="-12"/>
          <w:sz w:val="32"/>
          <w:szCs w:val="32"/>
        </w:rPr>
        <w:t>，建设</w:t>
      </w:r>
      <w:r>
        <w:rPr>
          <w:rFonts w:ascii="仿宋_GB2312" w:eastAsia="仿宋_GB2312" w:cs="仿宋_GB2312"/>
          <w:spacing w:val="-12"/>
          <w:sz w:val="32"/>
          <w:szCs w:val="32"/>
        </w:rPr>
        <w:t>2</w:t>
      </w:r>
      <w:r>
        <w:rPr>
          <w:rFonts w:hint="eastAsia" w:ascii="仿宋_GB2312" w:eastAsia="仿宋_GB2312" w:cs="仿宋_GB2312"/>
          <w:spacing w:val="-12"/>
          <w:sz w:val="32"/>
          <w:szCs w:val="32"/>
        </w:rPr>
        <w:t>个生产性服务业公共服务平台。集聚一批具有突出影响力的高端装备制造企业，培育形成一批有较强竞争力的装备制造业，储备一批具有自主知识产权的产品和技术，基本建成以高端化、智能化、服务化、国际化为代表、成套设备制造与零配件制造协调发展的高端装备制造业基地。</w:t>
      </w:r>
    </w:p>
    <w:p>
      <w:pPr>
        <w:pStyle w:val="4"/>
        <w:spacing w:before="0" w:after="0" w:line="570" w:lineRule="exact"/>
        <w:jc w:val="center"/>
        <w:rPr>
          <w:rFonts w:ascii="黑体" w:hAnsi="Times New Roman"/>
          <w:b w:val="0"/>
          <w:spacing w:val="-8"/>
          <w:kern w:val="2"/>
          <w:szCs w:val="32"/>
        </w:rPr>
      </w:pPr>
      <w:bookmarkStart w:id="48" w:name="_Toc63009732"/>
      <w:bookmarkStart w:id="49" w:name="_Toc13945"/>
      <w:r>
        <w:rPr>
          <w:rFonts w:hint="eastAsia" w:ascii="黑体" w:hAnsi="Times New Roman"/>
          <w:b w:val="0"/>
          <w:spacing w:val="-8"/>
          <w:kern w:val="2"/>
          <w:szCs w:val="32"/>
        </w:rPr>
        <w:t>第四节优化提升新材料产业，推动绿色产业发展</w:t>
      </w:r>
      <w:bookmarkEnd w:id="48"/>
      <w:bookmarkEnd w:id="49"/>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积极顺应和协同京津冀、雄安新区新材料产业发展布局，依托航天乐凯新材料和邦泰新材料等企业，完善中国功能性膜材料的产业链，提高国内产品在高端膜材料的竞争力，推动中国功能性膜材料产业稳定、快速发展；通过</w:t>
      </w:r>
      <w:r>
        <w:rPr>
          <w:rFonts w:hint="eastAsia" w:ascii="仿宋_GB2312" w:hAnsi="仿宋_GB2312" w:eastAsia="仿宋_GB2312" w:cs="仿宋_GB2312"/>
          <w:spacing w:val="-8"/>
          <w:sz w:val="32"/>
          <w:szCs w:val="32"/>
          <w:lang w:val="zh-CN"/>
        </w:rPr>
        <w:t>研发的</w:t>
      </w:r>
      <w:r>
        <w:rPr>
          <w:rFonts w:ascii="仿宋_GB2312" w:hAnsi="仿宋_GB2312" w:eastAsia="仿宋_GB2312" w:cs="仿宋_GB2312"/>
          <w:spacing w:val="-8"/>
          <w:sz w:val="32"/>
          <w:szCs w:val="32"/>
          <w:lang w:val="zh-CN"/>
        </w:rPr>
        <w:t>TPU</w:t>
      </w:r>
      <w:r>
        <w:rPr>
          <w:rFonts w:hint="eastAsia" w:ascii="仿宋_GB2312" w:hAnsi="仿宋_GB2312" w:eastAsia="仿宋_GB2312" w:cs="仿宋_GB2312"/>
          <w:spacing w:val="-8"/>
          <w:sz w:val="32"/>
          <w:szCs w:val="32"/>
          <w:lang w:val="zh-CN"/>
        </w:rPr>
        <w:t>熔纺氨纶切片及纺丝生产技术，开发上下游产业链，打造中国乃至亚洲最大的</w:t>
      </w:r>
      <w:r>
        <w:rPr>
          <w:rFonts w:ascii="仿宋_GB2312" w:hAnsi="仿宋_GB2312" w:eastAsia="仿宋_GB2312" w:cs="仿宋_GB2312"/>
          <w:spacing w:val="-8"/>
          <w:sz w:val="32"/>
          <w:szCs w:val="32"/>
          <w:lang w:val="zh-CN"/>
        </w:rPr>
        <w:t>TPU</w:t>
      </w:r>
      <w:r>
        <w:rPr>
          <w:rFonts w:hint="eastAsia" w:ascii="仿宋_GB2312" w:hAnsi="仿宋_GB2312" w:eastAsia="仿宋_GB2312" w:cs="仿宋_GB2312"/>
          <w:spacing w:val="-8"/>
          <w:sz w:val="32"/>
          <w:szCs w:val="32"/>
          <w:lang w:val="zh-CN"/>
        </w:rPr>
        <w:t>熔纺氨纶切片及纺丝生产基地。</w:t>
      </w:r>
    </w:p>
    <w:p>
      <w:pPr>
        <w:spacing w:line="570" w:lineRule="exact"/>
        <w:ind w:firstLine="595" w:firstLineChars="200"/>
        <w:rPr>
          <w:rFonts w:ascii="仿宋_GB2312" w:hAnsi="仿宋_GB2312" w:eastAsia="仿宋_GB2312" w:cs="仿宋_GB2312"/>
          <w:spacing w:val="-12"/>
          <w:sz w:val="32"/>
          <w:szCs w:val="32"/>
        </w:rPr>
      </w:pPr>
      <w:r>
        <w:rPr>
          <w:rFonts w:hint="eastAsia" w:ascii="仿宋_GB2312" w:hAnsi="仿宋" w:eastAsia="仿宋_GB2312" w:cs="仿宋"/>
          <w:b/>
          <w:bCs/>
          <w:spacing w:val="-12"/>
          <w:sz w:val="32"/>
          <w:szCs w:val="32"/>
        </w:rPr>
        <w:t>优化提升新材料</w:t>
      </w:r>
      <w:r>
        <w:rPr>
          <w:rFonts w:hint="eastAsia" w:ascii="仿宋_GB2312" w:hAnsi="仿宋" w:eastAsia="仿宋_GB2312" w:cs="仿宋"/>
          <w:spacing w:val="-12"/>
          <w:sz w:val="32"/>
          <w:szCs w:val="32"/>
        </w:rPr>
        <w:t>。</w:t>
      </w:r>
      <w:r>
        <w:rPr>
          <w:rFonts w:hint="eastAsia" w:ascii="仿宋_GB2312" w:eastAsia="仿宋_GB2312" w:cs="仿宋_GB2312"/>
          <w:spacing w:val="-12"/>
          <w:sz w:val="32"/>
          <w:szCs w:val="32"/>
        </w:rPr>
        <w:t>聚焦新型纺织材料、高</w:t>
      </w:r>
      <w:r>
        <w:rPr>
          <w:rFonts w:hint="eastAsia" w:ascii="仿宋_GB2312" w:hAnsi="仿宋_GB2312" w:eastAsia="仿宋_GB2312" w:cs="仿宋_GB2312"/>
          <w:spacing w:val="-12"/>
          <w:sz w:val="32"/>
          <w:szCs w:val="32"/>
        </w:rPr>
        <w:t>端感光材料两大重点领域。围绕纺织企业、胶片企业等行业，推动一批产品绿色化、产品高端化企业发展。创建一批绿色产业园区，绿色工厂、绿色车间，重点发展现代纺织新材料、先进高分子材料。</w:t>
      </w:r>
      <w:r>
        <w:rPr>
          <w:rFonts w:hint="eastAsia" w:ascii="仿宋_GB2312" w:hAnsi="仿宋" w:eastAsia="仿宋_GB2312" w:cs="仿宋_GB2312"/>
          <w:color w:val="000000"/>
          <w:spacing w:val="-12"/>
          <w:sz w:val="32"/>
          <w:szCs w:val="32"/>
        </w:rPr>
        <w:t>集聚资源要素，推动河北九五新材料科技有限公司河北省硼化物产业技术研究院项目建设、</w:t>
      </w:r>
      <w:r>
        <w:rPr>
          <w:rFonts w:hint="eastAsia" w:ascii="仿宋_GB2312" w:hAnsi="仿宋_GB2312" w:eastAsia="仿宋_GB2312" w:cs="仿宋_GB2312"/>
          <w:spacing w:val="-12"/>
          <w:sz w:val="32"/>
          <w:szCs w:val="32"/>
        </w:rPr>
        <w:t>引进一批新材料产业，延伸产业链体系，推进河北邦泰氨纶科技有限公司、乐凯胶片厂向经济开发区聚焦，形成结构合理，特色鲜明的新材料产业体系，支持优势企业做大做强。到“十四五”末，新材料产业增加值年均增速追赶到保定市第一方阵系列中。</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积极引进新材料。</w:t>
      </w:r>
      <w:r>
        <w:rPr>
          <w:rFonts w:hint="eastAsia" w:ascii="仿宋_GB2312" w:hAnsi="仿宋_GB2312" w:eastAsia="仿宋_GB2312" w:cs="仿宋_GB2312"/>
          <w:spacing w:val="-8"/>
          <w:sz w:val="32"/>
          <w:szCs w:val="32"/>
        </w:rPr>
        <w:t>以园区为单位加强与京津地区人才、技术、设备等创新要素对接，谋划布局省工程研究中心，搭建高水平产业共性关键技术研发及产业化能力支撑平台，提升创新驱动发展能力。积极引进创新力强、领域高端的企业，加快推动产学研用结合和技术成果转化，培育发展一批新技术、新产业、新模式、新业态，积极引进具有优势的战略性新兴材料产业，发展壮大我区新型材料产业。</w:t>
      </w:r>
    </w:p>
    <w:p>
      <w:pPr>
        <w:pStyle w:val="4"/>
        <w:spacing w:before="0" w:after="0" w:line="570" w:lineRule="exact"/>
        <w:jc w:val="center"/>
        <w:rPr>
          <w:rFonts w:ascii="黑体" w:hAnsi="Times New Roman"/>
          <w:b w:val="0"/>
          <w:spacing w:val="-8"/>
          <w:kern w:val="2"/>
          <w:szCs w:val="32"/>
        </w:rPr>
      </w:pPr>
      <w:bookmarkStart w:id="50" w:name="_Toc11133"/>
      <w:bookmarkStart w:id="51" w:name="_Toc63009733"/>
      <w:r>
        <w:rPr>
          <w:rFonts w:hint="eastAsia" w:ascii="黑体" w:hAnsi="Times New Roman"/>
          <w:b w:val="0"/>
          <w:spacing w:val="-8"/>
          <w:kern w:val="2"/>
          <w:szCs w:val="32"/>
        </w:rPr>
        <w:t>第五节发展现代服务产业，强化要素支撑体系</w:t>
      </w:r>
      <w:bookmarkEnd w:id="50"/>
      <w:bookmarkEnd w:id="51"/>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提升现代物流水平。提档升级现代商贸物流、推动线上线下共同努力，积极发展零售模式。依托雄安新区、京津，做强做专物流市场，积极培育国际物流、保税区物流、跨境电商等产业，打造几个具有影响力的国际物流基地。以提高服务质量和效率为核心，以市场为导向、企业为主体、交通设施为保障，着力建立和完善商贸物流服务体系，提升商贸物流运行效率和服务水平，大力发展跨境电子商务。</w:t>
      </w:r>
    </w:p>
    <w:p>
      <w:pPr>
        <w:spacing w:line="570" w:lineRule="exact"/>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rPr>
        <w:t>依托生活用纸基地优势，发展以纸制品为基础的现代物流业，实现现代化物流功能，充分利用交通、信息、仓储的优势，打造辐射能力强、运转效率高的北方生活用纸物流中心；依托华夏智行项目，打造电子商务交易平台，重点发展跨境电商交易平台、农产品电商交易平台、工业品电商交易平台；依托</w:t>
      </w:r>
      <w:r>
        <w:rPr>
          <w:rFonts w:hint="eastAsia" w:ascii="仿宋_GB2312" w:eastAsia="仿宋_GB2312"/>
          <w:color w:val="000000"/>
          <w:sz w:val="32"/>
          <w:szCs w:val="32"/>
          <w:shd w:val="clear" w:color="auto" w:fill="FFFFFF"/>
        </w:rPr>
        <w:t>“淘拾惠”电商，加强与电商巨头合作，大力发展互联网</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农业，促进线上线下销售。</w:t>
      </w:r>
    </w:p>
    <w:p>
      <w:pPr>
        <w:spacing w:line="570" w:lineRule="exact"/>
        <w:ind w:firstLine="611" w:firstLineChars="200"/>
        <w:rPr>
          <w:rFonts w:ascii="仿宋_GB2312" w:eastAsia="仿宋_GB2312" w:cs="仿宋_GB2312"/>
          <w:spacing w:val="-8"/>
          <w:sz w:val="32"/>
          <w:szCs w:val="32"/>
        </w:rPr>
      </w:pPr>
      <w:r>
        <w:rPr>
          <w:rFonts w:hint="eastAsia" w:ascii="仿宋_GB2312" w:eastAsia="仿宋_GB2312"/>
          <w:b/>
          <w:bCs/>
          <w:color w:val="000000"/>
          <w:spacing w:val="-8"/>
          <w:sz w:val="32"/>
          <w:szCs w:val="32"/>
          <w:shd w:val="clear" w:color="auto" w:fill="FFFFFF"/>
        </w:rPr>
        <w:t>打造高品质康养基地。</w:t>
      </w:r>
      <w:r>
        <w:rPr>
          <w:rFonts w:hint="eastAsia" w:ascii="仿宋_GB2312" w:eastAsia="仿宋_GB2312"/>
          <w:spacing w:val="-8"/>
          <w:sz w:val="32"/>
          <w:szCs w:val="32"/>
        </w:rPr>
        <w:t>大力发展康养服务业，着眼京津冀老年群体，推动医养健康产业与相关产业跨界融合发展，发展一批医养结合的高品质社会养老服务机构和康养基地，建设一批康养小镇。积极推动旅游康养基地，参照莫干山模式，依托我区现有的旅游产业，形成休闲娱乐，康复养老为一体的健康旅游业态。</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发展制造型服务业。</w:t>
      </w:r>
      <w:r>
        <w:rPr>
          <w:rFonts w:hint="eastAsia" w:ascii="仿宋_GB2312" w:eastAsia="仿宋_GB2312" w:cs="仿宋_GB2312"/>
          <w:spacing w:val="-8"/>
          <w:sz w:val="32"/>
          <w:szCs w:val="32"/>
        </w:rPr>
        <w:t>深化“工业设计</w:t>
      </w:r>
      <w:r>
        <w:rPr>
          <w:rFonts w:ascii="仿宋_GB2312" w:eastAsia="仿宋_GB2312" w:cs="仿宋_GB2312"/>
          <w:spacing w:val="-8"/>
          <w:sz w:val="32"/>
          <w:szCs w:val="32"/>
        </w:rPr>
        <w:t>+</w:t>
      </w:r>
      <w:r>
        <w:rPr>
          <w:rFonts w:hint="eastAsia" w:ascii="仿宋_GB2312" w:eastAsia="仿宋_GB2312" w:cs="仿宋_GB2312"/>
          <w:spacing w:val="-8"/>
          <w:sz w:val="32"/>
          <w:szCs w:val="32"/>
        </w:rPr>
        <w:t>”行动，培育工业设计中心，力争打造一批制造业设计领军企业。推广工业设计载体建设，引进培育工业设计机构。鼓励企业发展个性化定制、全生命周期管理、网络精准营销、在线支持服务等新业态新模式。</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发展金融服务业。</w:t>
      </w:r>
      <w:r>
        <w:rPr>
          <w:rFonts w:hint="eastAsia" w:ascii="仿宋_GB2312" w:eastAsia="仿宋_GB2312" w:cs="仿宋_GB2312"/>
          <w:spacing w:val="-12"/>
          <w:sz w:val="32"/>
          <w:szCs w:val="32"/>
        </w:rPr>
        <w:t>拓宽融资渠道，发挥政府引导带动基金作用，发展政府性融资租赁、融资担保、资产管理等平台。积极争取上级各类专项资金优先用于产业项目建设。依托社会力量发展银行、保险、风险管控等综合金融服务平台，补齐我区社会金融平台短板。</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加快发展社区服务业。</w:t>
      </w:r>
      <w:r>
        <w:rPr>
          <w:rFonts w:hint="eastAsia" w:ascii="仿宋_GB2312" w:eastAsia="仿宋_GB2312" w:cs="仿宋_GB2312"/>
          <w:spacing w:val="-8"/>
          <w:sz w:val="32"/>
          <w:szCs w:val="32"/>
        </w:rPr>
        <w:t>坚持市场主导与政府引导相结合，以社区为依托，均衡布局养老、医疗、体育、教育、文化等配套服务设施。完善社区服务体系建设，构建方便、快捷的社区生活服务圈。引进品牌综合服务商，提供物业、养老与家政、医疗、终端配送等一体化服务，支持中小家政服务企业专业化、特色化发展。支持社会力量参与社区服务网点建设，鼓励社会力量兴办看护、托育服务机构，统筹推进养老服务、物业管理、环境绿化、家政保洁、治安管理等相关社区服务业市场化运营，大力促进社区服务企业规模化、品牌化和网络化发展。</w:t>
      </w:r>
    </w:p>
    <w:p>
      <w:pPr>
        <w:pStyle w:val="19"/>
        <w:spacing w:line="570" w:lineRule="exact"/>
      </w:pPr>
    </w:p>
    <w:p>
      <w:pPr>
        <w:rPr>
          <w:rFonts w:ascii="方正小标宋简体" w:hAnsi="黑体" w:eastAsia="方正小标宋简体" w:cs="宋体"/>
          <w:spacing w:val="-8"/>
          <w:sz w:val="36"/>
          <w:szCs w:val="36"/>
        </w:rPr>
      </w:pPr>
      <w:bookmarkStart w:id="52" w:name="_Toc63009734"/>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53" w:name="_Toc12341"/>
      <w:r>
        <w:rPr>
          <w:rFonts w:hint="eastAsia" w:ascii="方正小标宋简体" w:hAnsi="黑体" w:eastAsia="方正小标宋简体" w:cs="宋体"/>
          <w:b w:val="0"/>
          <w:spacing w:val="-8"/>
          <w:kern w:val="2"/>
          <w:sz w:val="36"/>
          <w:szCs w:val="36"/>
        </w:rPr>
        <w:t>第六章加快产业园区建设步伐，促进项目集聚发展</w:t>
      </w:r>
      <w:bookmarkEnd w:id="52"/>
      <w:bookmarkEnd w:id="53"/>
    </w:p>
    <w:p>
      <w:pPr>
        <w:spacing w:line="570" w:lineRule="exact"/>
      </w:pPr>
    </w:p>
    <w:p>
      <w:pPr>
        <w:pStyle w:val="4"/>
        <w:spacing w:before="0" w:after="0" w:line="570" w:lineRule="exact"/>
        <w:jc w:val="center"/>
        <w:rPr>
          <w:rFonts w:ascii="黑体" w:hAnsi="Times New Roman"/>
          <w:b w:val="0"/>
          <w:spacing w:val="-8"/>
          <w:kern w:val="2"/>
          <w:szCs w:val="32"/>
        </w:rPr>
      </w:pPr>
      <w:bookmarkStart w:id="54" w:name="_Toc24437"/>
      <w:bookmarkStart w:id="55" w:name="_Toc63009735"/>
      <w:r>
        <w:rPr>
          <w:rFonts w:hint="eastAsia" w:ascii="黑体" w:hAnsi="Times New Roman"/>
          <w:b w:val="0"/>
          <w:spacing w:val="-8"/>
          <w:kern w:val="2"/>
          <w:szCs w:val="32"/>
        </w:rPr>
        <w:t>第一节优化园区空间格局，构建“一区四园”布局</w:t>
      </w:r>
      <w:bookmarkEnd w:id="54"/>
      <w:bookmarkEnd w:id="55"/>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聚力推进创新驱动，实现经济大提升。推动实施</w:t>
      </w:r>
      <w:r>
        <w:rPr>
          <w:rFonts w:hint="eastAsia" w:ascii="仿宋_GB2312" w:eastAsia="仿宋_GB2312" w:cs="仿宋_GB2312"/>
          <w:spacing w:val="-8"/>
          <w:sz w:val="32"/>
          <w:szCs w:val="32"/>
          <w:lang w:eastAsia="zh-CN"/>
        </w:rPr>
        <w:t>创新驱动发展战略</w:t>
      </w:r>
      <w:r>
        <w:rPr>
          <w:rFonts w:hint="eastAsia" w:ascii="仿宋_GB2312" w:eastAsia="仿宋_GB2312" w:cs="仿宋_GB2312"/>
          <w:spacing w:val="-8"/>
          <w:sz w:val="32"/>
          <w:szCs w:val="32"/>
        </w:rPr>
        <w:t>，借助北京非首都功能加速向外疏解趋势，加快推进新旧动能转化。大力实施“四园”联动战略，构建以经济开发区为“面”，漕河科技创新示范园、新兴产业园、轨道交通产业园、京津冀生活用纸科技创新产业园为支撑的“一区四园”发展格局。</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漕河科技创新示范园。</w:t>
      </w:r>
      <w:r>
        <w:rPr>
          <w:rFonts w:hint="eastAsia" w:ascii="仿宋_GB2312" w:eastAsia="仿宋_GB2312" w:cs="仿宋_GB2312"/>
          <w:spacing w:val="-8"/>
          <w:sz w:val="32"/>
          <w:szCs w:val="32"/>
        </w:rPr>
        <w:t>以漕河两岸区域为主，承接发展新材料、节能环保、生物医药等产业，重点在生产力促进中心、科技企业孵化器、众创空间等科技服务机构建设方面对接。大力推动园区内华源泰盟、邦泰氨纶、微诺生物等企业创新发展和延伸产业链。结合“中关村生命科学园”园区发展经验及品牌影响力，围绕生物医药与大健康产业，打造生物医药和医疗健康领域的研发、转化、生产示范基地。</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新兴产业园。</w:t>
      </w:r>
      <w:r>
        <w:rPr>
          <w:rFonts w:hint="eastAsia" w:ascii="仿宋_GB2312" w:eastAsia="仿宋_GB2312" w:cs="仿宋_GB2312"/>
          <w:spacing w:val="-12"/>
          <w:sz w:val="32"/>
          <w:szCs w:val="32"/>
        </w:rPr>
        <w:t>以南韩村镇、于家庄镇为主，重点对接食品加工、印刷包装、生物医药、通用航空等产业；依托航空运动管理中心（原保定江城机场），大力开展通用航空运营，打造京津冀地区乃至华北地区重要的通用航空转运承载基地和小飞机物流基地，发展航空文化、航空会展、航空体育等服务产业。提升新希望天香乳业、宏腾科技、保利瑞合、九孚生化等企业产能做大做强。</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轨道交通产业园。</w:t>
      </w:r>
      <w:r>
        <w:rPr>
          <w:rFonts w:hint="eastAsia" w:ascii="仿宋_GB2312" w:eastAsia="仿宋_GB2312" w:cs="仿宋_GB2312"/>
          <w:spacing w:val="-8"/>
          <w:sz w:val="32"/>
          <w:szCs w:val="32"/>
        </w:rPr>
        <w:t>以方顺桥镇、于家庄镇为主，依托河北京车项目，重点承接轨道交通、数据集成、智慧电网等配套产业，加快打造定位清晰、功能齐全、产业聚集、优势明显的轨道交通千亿级产业集群。带动原有电力电气、有色金属企业提档升级。稳步实施园区内增量配电业务试点改革。</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京津冀生活用纸科技创新产业园</w:t>
      </w:r>
      <w:r>
        <w:rPr>
          <w:rFonts w:hint="eastAsia" w:ascii="仿宋_GB2312" w:hAnsi="仿宋" w:eastAsia="仿宋_GB2312" w:cs="仿宋"/>
          <w:spacing w:val="-8"/>
          <w:sz w:val="32"/>
          <w:szCs w:val="32"/>
        </w:rPr>
        <w:t>。</w:t>
      </w:r>
      <w:r>
        <w:rPr>
          <w:rFonts w:hint="eastAsia" w:ascii="仿宋_GB2312" w:eastAsia="仿宋_GB2312" w:cs="仿宋_GB2312"/>
          <w:spacing w:val="-8"/>
          <w:sz w:val="32"/>
          <w:szCs w:val="32"/>
        </w:rPr>
        <w:t>依托大册营镇，重点发展高端专业用纸，承接生活用纸生产；依托中国生活用纸产业联盟技术优势，建设“华北纸都”电子商务产业园，整合升级提升纸制品产业，打造一个集总部商务办公、科技研发、复卷加工、展示展销、仓储物流、质量检验检测于一体的高端生活用纸基地。</w:t>
      </w:r>
    </w:p>
    <w:p>
      <w:pPr>
        <w:pStyle w:val="4"/>
        <w:spacing w:before="0" w:after="0" w:line="570" w:lineRule="exact"/>
        <w:jc w:val="center"/>
        <w:rPr>
          <w:rFonts w:ascii="黑体" w:hAnsi="Times New Roman"/>
          <w:b w:val="0"/>
          <w:spacing w:val="-8"/>
          <w:kern w:val="2"/>
          <w:szCs w:val="32"/>
        </w:rPr>
      </w:pPr>
      <w:bookmarkStart w:id="56" w:name="_Toc63009736"/>
      <w:bookmarkStart w:id="57" w:name="_Toc8044"/>
      <w:r>
        <w:rPr>
          <w:rFonts w:hint="eastAsia" w:ascii="黑体" w:hAnsi="Times New Roman"/>
          <w:b w:val="0"/>
          <w:spacing w:val="-8"/>
          <w:kern w:val="2"/>
          <w:szCs w:val="32"/>
        </w:rPr>
        <w:t>第二节加强项目运行管理，保障园区有序运行</w:t>
      </w:r>
      <w:bookmarkEnd w:id="56"/>
      <w:bookmarkEnd w:id="57"/>
    </w:p>
    <w:p>
      <w:pPr>
        <w:pStyle w:val="19"/>
        <w:spacing w:line="570" w:lineRule="exact"/>
        <w:ind w:left="0" w:leftChars="0"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合理安排项目的结构和规模，提升传统产业、培育新兴产业、壮大高端装备制造业等重大投资项目，重点引进集聚带动力强、能耗低污染小的绿色项目。加强协调和推动，力争更多的项目列入国家和省市计划盘子，制定园区项目建设投产时间表，落实责任，做到谋划项目早落地、新上项目早启动、在建项目早竣工。</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鼓励产业园区规范设立创业投资基金及小额贷款公司等新型金融组织。支持有条件的产业园区设立金融分支机构，发行企业债券、中期票据。龙头和骨干企业可优先纳入重点上市后备企业培育范围。</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围绕传统产业优化升级、战略性新兴产业培育壮大、现代服务业提质上档和农业产业化水平提升，多措并举，综合施策，支持园区各类平台有序运行。加强项目筛选，不断优化项目产业链，畅通产业链，形成园区产业链集群化发展格局。同时突出龙头企业带动作用，建立健全相关配套机制。</w:t>
      </w:r>
    </w:p>
    <w:p>
      <w:pPr>
        <w:pStyle w:val="4"/>
        <w:spacing w:before="0" w:after="0" w:line="570" w:lineRule="exact"/>
        <w:jc w:val="center"/>
        <w:rPr>
          <w:rFonts w:ascii="黑体" w:hAnsi="Times New Roman"/>
          <w:b w:val="0"/>
          <w:spacing w:val="-8"/>
          <w:kern w:val="2"/>
          <w:szCs w:val="32"/>
        </w:rPr>
      </w:pPr>
      <w:bookmarkStart w:id="58" w:name="_Toc9365"/>
      <w:bookmarkStart w:id="59" w:name="_Toc63009737"/>
      <w:r>
        <w:rPr>
          <w:rFonts w:hint="eastAsia" w:ascii="黑体" w:hAnsi="Times New Roman"/>
          <w:b w:val="0"/>
          <w:spacing w:val="-8"/>
          <w:kern w:val="2"/>
          <w:szCs w:val="32"/>
        </w:rPr>
        <w:t>第三节优化招商层次方式，完善园区产业供应</w:t>
      </w:r>
      <w:bookmarkEnd w:id="58"/>
      <w:bookmarkEnd w:id="59"/>
    </w:p>
    <w:p>
      <w:pPr>
        <w:spacing w:line="570" w:lineRule="exact"/>
        <w:ind w:firstLine="608" w:firstLineChars="200"/>
        <w:textAlignment w:val="baseline"/>
        <w:rPr>
          <w:rFonts w:ascii="仿宋_GB2312" w:eastAsia="仿宋_GB2312" w:cs="仿宋_GB2312"/>
          <w:spacing w:val="-8"/>
          <w:sz w:val="32"/>
          <w:szCs w:val="32"/>
        </w:rPr>
      </w:pPr>
      <w:r>
        <w:rPr>
          <w:rFonts w:hint="eastAsia" w:ascii="仿宋_GB2312" w:eastAsia="仿宋_GB2312" w:cs="仿宋_GB2312"/>
          <w:spacing w:val="-8"/>
          <w:sz w:val="32"/>
          <w:szCs w:val="32"/>
        </w:rPr>
        <w:t>精心做好项目挖掘、包装、储备，围绕全区产业链布局深入谋划实施一批提士气、壮实力、增后劲的顶天立地项目。</w:t>
      </w:r>
    </w:p>
    <w:p>
      <w:pPr>
        <w:spacing w:line="570" w:lineRule="exact"/>
        <w:ind w:firstLine="611" w:firstLineChars="200"/>
        <w:textAlignment w:val="baseline"/>
        <w:rPr>
          <w:rStyle w:val="44"/>
          <w:rFonts w:ascii="楷体" w:hAnsi="楷体" w:eastAsia="楷体" w:cs="楷体"/>
          <w:spacing w:val="-8"/>
          <w:sz w:val="28"/>
          <w:szCs w:val="28"/>
        </w:rPr>
      </w:pPr>
      <w:r>
        <w:rPr>
          <w:rFonts w:hint="eastAsia" w:ascii="仿宋_GB2312" w:eastAsia="仿宋_GB2312" w:cs="仿宋_GB2312"/>
          <w:b/>
          <w:bCs/>
          <w:spacing w:val="-8"/>
          <w:sz w:val="32"/>
          <w:szCs w:val="32"/>
        </w:rPr>
        <w:t>成立区项目服务中心。</w:t>
      </w:r>
      <w:r>
        <w:rPr>
          <w:rFonts w:hint="eastAsia" w:ascii="仿宋_GB2312" w:eastAsia="仿宋_GB2312" w:cs="仿宋_GB2312"/>
          <w:spacing w:val="-8"/>
          <w:sz w:val="32"/>
          <w:szCs w:val="32"/>
        </w:rPr>
        <w:t>积极建立与国内外大型企业的信息联络机制，扩大项目招商范围，以主导产业为中心、配套产业为辐射点，实现结构合理的网状化招商体系和组织管理体系，立足产业链集群化发展，依据需求开展精准招商。扶持科技含量高、具有发展潜力的企业，建立保障机制。</w:t>
      </w:r>
    </w:p>
    <w:p>
      <w:pPr>
        <w:pStyle w:val="7"/>
        <w:spacing w:line="570" w:lineRule="exact"/>
        <w:ind w:firstLine="604" w:firstLineChars="198"/>
        <w:jc w:val="both"/>
        <w:rPr>
          <w:rFonts w:ascii="仿宋_GB2312" w:eastAsia="仿宋_GB2312" w:cs="仿宋_GB2312"/>
          <w:spacing w:val="-8"/>
          <w:sz w:val="32"/>
          <w:szCs w:val="32"/>
        </w:rPr>
      </w:pPr>
      <w:r>
        <w:rPr>
          <w:rFonts w:hint="eastAsia" w:ascii="仿宋_GB2312" w:eastAsia="仿宋_GB2312" w:cs="仿宋_GB2312"/>
          <w:b/>
          <w:bCs/>
          <w:spacing w:val="-8"/>
          <w:sz w:val="32"/>
          <w:szCs w:val="32"/>
        </w:rPr>
        <w:t>优化招商层次。</w:t>
      </w:r>
      <w:r>
        <w:rPr>
          <w:rFonts w:hint="eastAsia" w:ascii="仿宋_GB2312" w:eastAsia="仿宋_GB2312" w:cs="仿宋_GB2312"/>
          <w:spacing w:val="-8"/>
          <w:sz w:val="32"/>
          <w:szCs w:val="32"/>
        </w:rPr>
        <w:t>强化大开放、招大商意识，积极与世界</w:t>
      </w:r>
      <w:r>
        <w:rPr>
          <w:rFonts w:ascii="仿宋_GB2312" w:eastAsia="仿宋_GB2312" w:cs="仿宋_GB2312"/>
          <w:spacing w:val="-8"/>
          <w:sz w:val="32"/>
          <w:szCs w:val="32"/>
        </w:rPr>
        <w:t>500</w:t>
      </w:r>
      <w:r>
        <w:rPr>
          <w:rFonts w:hint="eastAsia" w:ascii="仿宋_GB2312" w:eastAsia="仿宋_GB2312" w:cs="仿宋_GB2312"/>
          <w:spacing w:val="-8"/>
          <w:sz w:val="32"/>
          <w:szCs w:val="32"/>
        </w:rPr>
        <w:t>强、中国民营企业</w:t>
      </w:r>
      <w:r>
        <w:rPr>
          <w:rFonts w:ascii="仿宋_GB2312" w:eastAsia="仿宋_GB2312" w:cs="仿宋_GB2312"/>
          <w:spacing w:val="-8"/>
          <w:sz w:val="32"/>
          <w:szCs w:val="32"/>
        </w:rPr>
        <w:t>500</w:t>
      </w:r>
      <w:r>
        <w:rPr>
          <w:rFonts w:hint="eastAsia" w:ascii="仿宋_GB2312" w:eastAsia="仿宋_GB2312" w:cs="仿宋_GB2312"/>
          <w:spacing w:val="-8"/>
          <w:sz w:val="32"/>
          <w:szCs w:val="32"/>
        </w:rPr>
        <w:t>强，重点行业前</w:t>
      </w:r>
      <w:r>
        <w:rPr>
          <w:rFonts w:ascii="仿宋_GB2312" w:eastAsia="仿宋_GB2312" w:cs="仿宋_GB2312"/>
          <w:spacing w:val="-8"/>
          <w:sz w:val="32"/>
          <w:szCs w:val="32"/>
        </w:rPr>
        <w:t>50</w:t>
      </w:r>
      <w:r>
        <w:rPr>
          <w:rFonts w:hint="eastAsia" w:ascii="仿宋_GB2312" w:eastAsia="仿宋_GB2312" w:cs="仿宋_GB2312"/>
          <w:spacing w:val="-8"/>
          <w:sz w:val="32"/>
          <w:szCs w:val="32"/>
        </w:rPr>
        <w:t>强企业建立联系，提高招商对象层次。发展“亲商、富商、安商”的工作机制，发挥区项目服务中心职能，通过积极宣传洽谈和开展广泛联合招商、中介招商、小组团招商、以商招商等活动，不断降低招商成本，激活职能部门、园区、乡镇、企业等各类招商主体作用和积极性，打造网上招商平台。完善园区管委会机构设置，加强招商引资队伍建设，建立并完善激励与考核机制。建立健全政府招商与社会招商共同推进机制，完善招商优惠政策，举办招商推介会，提高项目准入门槛，保证土地节约率高、科技含量高、附加值高的项目入驻园区。确保“十四五”期间引进和建设亿元以上项目不低于</w:t>
      </w:r>
      <w:r>
        <w:rPr>
          <w:rFonts w:ascii="仿宋_GB2312" w:eastAsia="仿宋_GB2312" w:cs="仿宋_GB2312"/>
          <w:spacing w:val="-8"/>
          <w:sz w:val="32"/>
          <w:szCs w:val="32"/>
        </w:rPr>
        <w:t>30</w:t>
      </w:r>
      <w:r>
        <w:rPr>
          <w:rFonts w:hint="eastAsia" w:ascii="仿宋_GB2312" w:eastAsia="仿宋_GB2312" w:cs="仿宋_GB2312"/>
          <w:spacing w:val="-8"/>
          <w:sz w:val="32"/>
          <w:szCs w:val="32"/>
        </w:rPr>
        <w:t>个，力争在引进重大产业项目方面取得突破性进展，引进亿元以上产业项目不低于</w:t>
      </w:r>
      <w:r>
        <w:rPr>
          <w:rFonts w:ascii="仿宋_GB2312" w:eastAsia="仿宋_GB2312" w:cs="仿宋_GB2312"/>
          <w:spacing w:val="-8"/>
          <w:sz w:val="32"/>
          <w:szCs w:val="32"/>
        </w:rPr>
        <w:t>60%</w:t>
      </w:r>
      <w:r>
        <w:rPr>
          <w:rFonts w:hint="eastAsia" w:ascii="仿宋_GB2312" w:eastAsia="仿宋_GB2312" w:cs="仿宋_GB2312"/>
          <w:spacing w:val="-8"/>
          <w:sz w:val="32"/>
          <w:szCs w:val="32"/>
        </w:rPr>
        <w:t>。</w:t>
      </w:r>
    </w:p>
    <w:p>
      <w:pPr>
        <w:pStyle w:val="4"/>
        <w:spacing w:before="0" w:after="0" w:line="570" w:lineRule="exact"/>
        <w:jc w:val="center"/>
        <w:rPr>
          <w:rFonts w:ascii="黑体" w:hAnsi="Times New Roman"/>
          <w:b w:val="0"/>
          <w:spacing w:val="-8"/>
          <w:kern w:val="2"/>
          <w:szCs w:val="32"/>
        </w:rPr>
      </w:pPr>
      <w:bookmarkStart w:id="60" w:name="_Toc31583"/>
      <w:bookmarkStart w:id="61" w:name="_Toc63009738"/>
      <w:r>
        <w:rPr>
          <w:rFonts w:hint="eastAsia" w:ascii="黑体" w:hAnsi="Times New Roman"/>
          <w:b w:val="0"/>
          <w:spacing w:val="-8"/>
          <w:kern w:val="2"/>
          <w:szCs w:val="32"/>
        </w:rPr>
        <w:t>第四节提升“软硬”环境，服务项目发展</w:t>
      </w:r>
      <w:bookmarkEnd w:id="60"/>
      <w:bookmarkEnd w:id="61"/>
    </w:p>
    <w:p>
      <w:pPr>
        <w:pStyle w:val="7"/>
        <w:spacing w:line="570" w:lineRule="exact"/>
        <w:ind w:firstLine="611" w:firstLineChars="200"/>
        <w:jc w:val="both"/>
        <w:rPr>
          <w:rFonts w:ascii="仿宋_GB2312" w:eastAsia="仿宋_GB2312" w:cs="仿宋_GB2312"/>
          <w:spacing w:val="-8"/>
          <w:sz w:val="32"/>
          <w:szCs w:val="32"/>
        </w:rPr>
      </w:pPr>
      <w:r>
        <w:rPr>
          <w:rFonts w:hint="eastAsia" w:ascii="仿宋_GB2312" w:hAnsi="仿宋" w:eastAsia="仿宋_GB2312" w:cs="仿宋"/>
          <w:b/>
          <w:color w:val="000000"/>
          <w:spacing w:val="-8"/>
          <w:sz w:val="32"/>
          <w:szCs w:val="32"/>
        </w:rPr>
        <w:t>加强“硬”环境建设，提升园区承载力。</w:t>
      </w:r>
      <w:r>
        <w:rPr>
          <w:rFonts w:hint="eastAsia" w:ascii="仿宋_GB2312" w:eastAsia="仿宋_GB2312" w:cs="仿宋_GB2312"/>
          <w:spacing w:val="-8"/>
          <w:sz w:val="32"/>
          <w:szCs w:val="32"/>
        </w:rPr>
        <w:t>完善园区基础配套设施，加快建设园区路网管网、电网气网、污水处理、生活服务等配套设施，延伸天然气管网，保障电力、热力等能源供应。重点抓好经一路（建设路至北三环）、经二路（马坊路到北三环）的排水、供水、绿化工程照明等基础设施建设及配套排污、排水管网工程，园区的污水和雨水排放及净化处理等，提升园区形象。实施深能二期、长青二期建设和漕河科技创新示范园雨水排放工程。超前布局“智慧”园区，积极引入</w:t>
      </w:r>
      <w:r>
        <w:rPr>
          <w:rFonts w:ascii="仿宋_GB2312" w:eastAsia="仿宋_GB2312" w:cs="仿宋_GB2312"/>
          <w:spacing w:val="-8"/>
          <w:sz w:val="32"/>
          <w:szCs w:val="32"/>
        </w:rPr>
        <w:t>5G</w:t>
      </w:r>
      <w:r>
        <w:rPr>
          <w:rFonts w:hint="eastAsia" w:ascii="仿宋_GB2312" w:eastAsia="仿宋_GB2312" w:cs="仿宋_GB2312"/>
          <w:spacing w:val="-8"/>
          <w:sz w:val="32"/>
          <w:szCs w:val="32"/>
        </w:rPr>
        <w:t>网络和一批数字化、智能化新工程，推进园区加速迈向</w:t>
      </w:r>
      <w:r>
        <w:rPr>
          <w:rFonts w:ascii="仿宋_GB2312" w:eastAsia="仿宋_GB2312" w:cs="仿宋_GB2312"/>
          <w:spacing w:val="-8"/>
          <w:sz w:val="32"/>
          <w:szCs w:val="32"/>
        </w:rPr>
        <w:t>4.0</w:t>
      </w:r>
      <w:r>
        <w:rPr>
          <w:rFonts w:hint="eastAsia" w:ascii="仿宋_GB2312" w:eastAsia="仿宋_GB2312" w:cs="仿宋_GB2312"/>
          <w:spacing w:val="-8"/>
          <w:sz w:val="32"/>
          <w:szCs w:val="32"/>
        </w:rPr>
        <w:t>。</w:t>
      </w:r>
    </w:p>
    <w:p>
      <w:pPr>
        <w:pStyle w:val="7"/>
        <w:spacing w:line="570" w:lineRule="exact"/>
        <w:ind w:firstLine="595" w:firstLineChars="200"/>
        <w:jc w:val="both"/>
        <w:rPr>
          <w:rFonts w:ascii="仿宋_GB2312" w:eastAsia="仿宋_GB2312" w:cs="仿宋_GB2312"/>
          <w:spacing w:val="-12"/>
          <w:sz w:val="32"/>
          <w:szCs w:val="32"/>
        </w:rPr>
      </w:pPr>
      <w:r>
        <w:rPr>
          <w:rFonts w:hint="eastAsia" w:ascii="仿宋_GB2312" w:hAnsi="仿宋" w:eastAsia="仿宋_GB2312" w:cs="仿宋"/>
          <w:b/>
          <w:color w:val="000000"/>
          <w:spacing w:val="-12"/>
          <w:sz w:val="32"/>
          <w:szCs w:val="32"/>
        </w:rPr>
        <w:t>实施“软”环境配套提升工程。</w:t>
      </w:r>
      <w:r>
        <w:rPr>
          <w:rFonts w:hint="eastAsia" w:ascii="仿宋_GB2312" w:eastAsia="仿宋_GB2312" w:cs="仿宋_GB2312"/>
          <w:spacing w:val="-12"/>
          <w:sz w:val="32"/>
          <w:szCs w:val="32"/>
        </w:rPr>
        <w:t>强化管理，提高园区服务水平和财税支持力度，积极争取国家发展专项资金、创新项目的风险补贴和优惠政策。加快完善投资和建设项目审批制度改革。积极推动华夏智行保定科技园有限公司保定高技术服务产业园项目、保定市金创园区建设发展有限公司保定·金融谷项目建设，依托企业建设一批科技研发中心，聚集创新资源和人才形成产品创新的新力量，并就近转化投产。建设信息服务平台，及时更新数据库信息，为项目提供动态人才、技术等要素以及市场需求的信息服务。</w:t>
      </w:r>
    </w:p>
    <w:p>
      <w:pPr>
        <w:spacing w:line="570" w:lineRule="exact"/>
        <w:ind w:firstLine="570"/>
        <w:rPr>
          <w:rFonts w:ascii="仿宋_GB2312" w:eastAsia="仿宋_GB2312" w:cs="仿宋_GB2312"/>
          <w:spacing w:val="-8"/>
          <w:sz w:val="32"/>
          <w:szCs w:val="32"/>
        </w:rPr>
      </w:pPr>
      <w:r>
        <w:rPr>
          <w:rFonts w:hint="eastAsia" w:ascii="仿宋_GB2312" w:hAnsi="仿宋" w:eastAsia="仿宋_GB2312" w:cs="仿宋"/>
          <w:b/>
          <w:color w:val="000000"/>
          <w:spacing w:val="-8"/>
          <w:sz w:val="32"/>
          <w:szCs w:val="32"/>
        </w:rPr>
        <w:t>服务环境全面做优</w:t>
      </w:r>
      <w:r>
        <w:rPr>
          <w:rFonts w:hint="eastAsia" w:ascii="仿宋_GB2312" w:eastAsia="仿宋_GB2312"/>
          <w:spacing w:val="-8"/>
          <w:sz w:val="32"/>
          <w:szCs w:val="32"/>
        </w:rPr>
        <w:t>。</w:t>
      </w:r>
      <w:r>
        <w:rPr>
          <w:rFonts w:hint="eastAsia" w:ascii="仿宋_GB2312" w:eastAsia="仿宋_GB2312" w:cs="仿宋_GB2312"/>
          <w:spacing w:val="-8"/>
          <w:sz w:val="32"/>
          <w:szCs w:val="32"/>
        </w:rPr>
        <w:t>继续秉承“重商、亲商、爱商”的理念，继续推行重点项目领办代办制和“点对点”全程跟踪服务，全面落实政务事项“网上办”、工商登记“秒批”等措施，推行“拿地即开工”机制，压减项目审批时限，深化扫黑除恶专项斗争，努力为企业打造舒心、安心、放心的投资环境。</w:t>
      </w:r>
    </w:p>
    <w:p>
      <w:pPr>
        <w:pStyle w:val="4"/>
        <w:spacing w:before="0" w:after="0" w:line="570" w:lineRule="exact"/>
        <w:jc w:val="center"/>
        <w:rPr>
          <w:rFonts w:ascii="黑体" w:hAnsi="仿宋" w:cs="仿宋"/>
          <w:b w:val="0"/>
          <w:spacing w:val="-8"/>
          <w:kern w:val="2"/>
        </w:rPr>
      </w:pPr>
      <w:bookmarkStart w:id="62" w:name="_Toc63009739"/>
      <w:bookmarkStart w:id="63" w:name="_Toc25571"/>
      <w:r>
        <w:rPr>
          <w:rFonts w:hint="eastAsia" w:ascii="黑体" w:hAnsi="Times New Roman"/>
          <w:b w:val="0"/>
          <w:spacing w:val="-8"/>
          <w:kern w:val="2"/>
          <w:szCs w:val="32"/>
        </w:rPr>
        <w:t>第五节提高产业链现代化水平，开展精准招商</w:t>
      </w:r>
      <w:bookmarkEnd w:id="62"/>
      <w:bookmarkEnd w:id="63"/>
    </w:p>
    <w:p>
      <w:pPr>
        <w:spacing w:line="570" w:lineRule="exact"/>
        <w:ind w:firstLine="570"/>
        <w:rPr>
          <w:rFonts w:ascii="仿宋_GB2312" w:eastAsia="仿宋_GB2312" w:cs="仿宋_GB2312"/>
          <w:spacing w:val="-12"/>
          <w:sz w:val="32"/>
          <w:szCs w:val="32"/>
        </w:rPr>
      </w:pPr>
      <w:r>
        <w:rPr>
          <w:rFonts w:hint="eastAsia" w:ascii="仿宋_GB2312" w:eastAsia="仿宋_GB2312" w:cs="仿宋_GB2312"/>
          <w:spacing w:val="-12"/>
          <w:sz w:val="32"/>
          <w:szCs w:val="32"/>
        </w:rPr>
        <w:t>保障产业链安全，掌握产业链制高点，补充产业链短板，延伸龙头企业产品线，促进上下游紧密协作，淘汰低端落后产能，通过稳链、强链、补链、延链、优链、清链，全面优化我区产业链。立足产业链集群化发展，根据产业链建设需求开展精准招商，有针对性地疏堵点、通断点、育高点、延强点。发挥龙头企业作用，带动上下游核心配套企业，实现以大带小、上下联动、内外协同。</w:t>
      </w:r>
    </w:p>
    <w:p>
      <w:pPr>
        <w:spacing w:line="570" w:lineRule="exact"/>
        <w:ind w:firstLine="570"/>
        <w:rPr>
          <w:rFonts w:ascii="仿宋_GB2312" w:eastAsia="仿宋_GB2312" w:cs="仿宋_GB2312"/>
          <w:spacing w:val="-12"/>
          <w:sz w:val="32"/>
          <w:szCs w:val="32"/>
        </w:rPr>
      </w:pPr>
      <w:r>
        <w:rPr>
          <w:rFonts w:hint="eastAsia" w:ascii="仿宋_GB2312" w:eastAsia="仿宋_GB2312" w:cs="仿宋_GB2312"/>
          <w:spacing w:val="-12"/>
          <w:sz w:val="32"/>
          <w:szCs w:val="32"/>
        </w:rPr>
        <w:t>依托主导产业与北京未来重点发展的高精尖产业积极对接，延伸产业链条，壮大产业集群。加大财税政策支持，加强项目用地保障，强化人才队伍建设，做好金融科技协作，提升园区建设能级，针对重点产业的薄弱环节和战略性环节，开展产业链精准招商，开创产业链、创新链、金融链、人才链协同培育发展的新格局。</w:t>
      </w:r>
    </w:p>
    <w:p>
      <w:pPr>
        <w:spacing w:line="570" w:lineRule="exact"/>
        <w:ind w:firstLine="570"/>
        <w:rPr>
          <w:rFonts w:ascii="仿宋_GB2312" w:eastAsia="仿宋_GB2312" w:cs="仿宋_GB2312"/>
          <w:spacing w:val="-8"/>
          <w:sz w:val="32"/>
          <w:szCs w:val="32"/>
        </w:rPr>
      </w:pPr>
      <w:r>
        <w:rPr>
          <w:rFonts w:hint="eastAsia" w:ascii="仿宋_GB2312" w:eastAsia="仿宋_GB2312" w:cs="仿宋_GB2312"/>
          <w:spacing w:val="-8"/>
          <w:sz w:val="32"/>
          <w:szCs w:val="32"/>
        </w:rPr>
        <w:t>把项目建设作为提升产业链、畅通供应链的重要抓手，立足补链、强链、延链，围绕传统产业优化升级、战略性新兴产业培育壮大、现代服务业提质上档和农业产业化水平提升，做到谋划一批、实施一批、投产一批，不断夯实产业链基础，提升产业链抗压韧性和发展水平。</w:t>
      </w:r>
    </w:p>
    <w:p>
      <w:pPr>
        <w:pStyle w:val="19"/>
        <w:spacing w:line="570" w:lineRule="exact"/>
      </w:pPr>
    </w:p>
    <w:p>
      <w:pPr>
        <w:rPr>
          <w:rFonts w:ascii="方正小标宋简体" w:hAnsi="黑体" w:eastAsia="方正小标宋简体" w:cs="宋体"/>
          <w:spacing w:val="-8"/>
          <w:sz w:val="36"/>
          <w:szCs w:val="36"/>
        </w:rPr>
      </w:pPr>
      <w:bookmarkStart w:id="64" w:name="_Toc63009740"/>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65" w:name="_Toc17565"/>
      <w:r>
        <w:rPr>
          <w:rFonts w:hint="eastAsia" w:ascii="方正小标宋简体" w:hAnsi="黑体" w:eastAsia="方正小标宋简体" w:cs="宋体"/>
          <w:b w:val="0"/>
          <w:spacing w:val="-8"/>
          <w:kern w:val="2"/>
          <w:sz w:val="36"/>
          <w:szCs w:val="36"/>
        </w:rPr>
        <w:t>第七章优化国土空间开发格局，推进区域协调互动</w:t>
      </w:r>
      <w:bookmarkEnd w:id="64"/>
      <w:bookmarkEnd w:id="65"/>
    </w:p>
    <w:p>
      <w:pPr>
        <w:spacing w:line="570" w:lineRule="exact"/>
      </w:pPr>
    </w:p>
    <w:p>
      <w:pPr>
        <w:spacing w:line="570" w:lineRule="exact"/>
        <w:ind w:firstLine="570"/>
        <w:rPr>
          <w:rFonts w:ascii="仿宋_GB2312" w:eastAsia="仿宋_GB2312" w:cs="仿宋_GB2312"/>
          <w:spacing w:val="-8"/>
          <w:sz w:val="32"/>
          <w:szCs w:val="32"/>
        </w:rPr>
      </w:pPr>
      <w:bookmarkStart w:id="66" w:name="_Toc16627"/>
      <w:r>
        <w:rPr>
          <w:rFonts w:hint="eastAsia" w:ascii="仿宋_GB2312" w:eastAsia="仿宋_GB2312" w:cs="仿宋_GB2312"/>
          <w:spacing w:val="-8"/>
          <w:sz w:val="32"/>
          <w:szCs w:val="32"/>
        </w:rPr>
        <w:t>深入落实“两新一重”要求，对标雄安、借势雄安、服务雄安，推动“产、城、人、文”融合发展，走出一条独具我区特色的新型城镇化路径。</w:t>
      </w:r>
      <w:bookmarkEnd w:id="66"/>
    </w:p>
    <w:p>
      <w:pPr>
        <w:pStyle w:val="4"/>
        <w:spacing w:before="0" w:after="0" w:line="570" w:lineRule="exact"/>
        <w:jc w:val="center"/>
        <w:rPr>
          <w:rFonts w:ascii="黑体" w:hAnsi="Times New Roman"/>
          <w:b w:val="0"/>
          <w:spacing w:val="-8"/>
          <w:kern w:val="2"/>
          <w:szCs w:val="32"/>
        </w:rPr>
      </w:pPr>
      <w:bookmarkStart w:id="67" w:name="_Toc28878"/>
      <w:bookmarkStart w:id="68" w:name="_Toc63009741"/>
      <w:r>
        <w:rPr>
          <w:rFonts w:hint="eastAsia" w:ascii="黑体" w:hAnsi="Times New Roman"/>
          <w:b w:val="0"/>
          <w:spacing w:val="-8"/>
          <w:kern w:val="2"/>
          <w:szCs w:val="32"/>
        </w:rPr>
        <w:t>第一节优化主体空间结构</w:t>
      </w:r>
      <w:bookmarkEnd w:id="67"/>
      <w:bookmarkEnd w:id="68"/>
    </w:p>
    <w:p>
      <w:pPr>
        <w:spacing w:line="570" w:lineRule="exact"/>
        <w:ind w:firstLine="608" w:firstLineChars="200"/>
        <w:rPr>
          <w:rFonts w:ascii="仿宋_GB2312" w:hAnsi="仿宋_GB2312" w:eastAsia="仿宋_GB2312" w:cs="仿宋_GB2312"/>
          <w:bCs/>
          <w:spacing w:val="-8"/>
          <w:sz w:val="32"/>
          <w:szCs w:val="32"/>
        </w:rPr>
      </w:pPr>
      <w:r>
        <w:rPr>
          <w:rFonts w:hint="eastAsia" w:ascii="仿宋_GB2312" w:eastAsia="仿宋_GB2312" w:cs="仿宋_GB2312"/>
          <w:spacing w:val="-8"/>
          <w:sz w:val="32"/>
          <w:szCs w:val="32"/>
        </w:rPr>
        <w:t>统筹考虑城区现状基础设施情况，规范推进土地征收成片开发，制定拟建项目开发时序，确保土地合理有序开发，实现城乡容貌大改观。紧紧围绕“城市让生活更美好”的群众向往和梦想，厚植“城市”理念</w:t>
      </w:r>
      <w:r>
        <w:rPr>
          <w:rFonts w:hint="eastAsia" w:ascii="仿宋_GB2312" w:hAnsi="仿宋_GB2312" w:eastAsia="仿宋_GB2312" w:cs="仿宋_GB2312"/>
          <w:bCs/>
          <w:spacing w:val="-8"/>
          <w:sz w:val="32"/>
          <w:szCs w:val="32"/>
        </w:rPr>
        <w:t>，按照城市做大、功能做全、管理做精的思路，加快打造宜居新区、魅力满城。拉大城市框架，全面启动“一城四星”（中心城区，漕河科创新城、轨道交通新城、通用航空新城、生态休闲新城）总体空间布局，逐步形成功能完备、城乡一体、错位发展式城市发展格局。重点打通以春晖路、安大线为北环，安大线支线、市西三环为东环，复兴路西延、再西延为南环，京赞线、靖云街为西环，</w:t>
      </w:r>
      <w:r>
        <w:rPr>
          <w:rFonts w:ascii="仿宋_GB2312" w:hAnsi="仿宋_GB2312" w:eastAsia="仿宋_GB2312" w:cs="仿宋_GB2312"/>
          <w:bCs/>
          <w:spacing w:val="-8"/>
          <w:sz w:val="32"/>
          <w:szCs w:val="32"/>
        </w:rPr>
        <w:t>40</w:t>
      </w:r>
      <w:r>
        <w:rPr>
          <w:rFonts w:hint="eastAsia" w:ascii="仿宋_GB2312" w:hAnsi="仿宋_GB2312" w:eastAsia="仿宋_GB2312" w:cs="仿宋_GB2312"/>
          <w:bCs/>
          <w:spacing w:val="-8"/>
          <w:sz w:val="32"/>
          <w:szCs w:val="32"/>
        </w:rPr>
        <w:t>公里首尾对接、互联互通的满城新外环闭合体系，城区空间实现扩容一倍。</w:t>
      </w:r>
    </w:p>
    <w:p>
      <w:pPr>
        <w:spacing w:line="570" w:lineRule="exact"/>
        <w:ind w:firstLine="611" w:firstLineChars="200"/>
        <w:rPr>
          <w:rFonts w:ascii="仿宋_GB2312" w:hAnsi="仿宋_GB2312" w:eastAsia="仿宋_GB2312" w:cs="仿宋_GB2312"/>
          <w:bCs/>
          <w:spacing w:val="-8"/>
          <w:sz w:val="32"/>
          <w:szCs w:val="32"/>
        </w:rPr>
      </w:pPr>
      <w:r>
        <w:rPr>
          <w:rFonts w:hint="eastAsia" w:ascii="仿宋_GB2312" w:hAnsi="仿宋_GB2312" w:eastAsia="仿宋_GB2312" w:cs="仿宋_GB2312"/>
          <w:b/>
          <w:spacing w:val="-8"/>
          <w:sz w:val="32"/>
          <w:szCs w:val="32"/>
        </w:rPr>
        <w:t>优化全域总体规划布局。</w:t>
      </w:r>
      <w:r>
        <w:rPr>
          <w:rFonts w:hint="eastAsia" w:ascii="仿宋_GB2312" w:hAnsi="仿宋_GB2312" w:eastAsia="仿宋_GB2312" w:cs="仿宋_GB2312"/>
          <w:bCs/>
          <w:spacing w:val="-8"/>
          <w:sz w:val="32"/>
          <w:szCs w:val="32"/>
        </w:rPr>
        <w:t>大力实施“南移北展西控东优”战略，全域以“一城四星”作为总体布局，“一城”，即建设以中心城区为龙头，以产业新城为依托，以特色小镇为支撑，以高科技农业园区为底色的“众星拱月”式现代田园城市，全面塑造现代城市新形象。“四星”，</w:t>
      </w:r>
      <w:r>
        <w:rPr>
          <w:rFonts w:hint="eastAsia" w:ascii="仿宋_GB2312" w:hAnsi="仿宋_GB2312" w:eastAsia="仿宋_GB2312" w:cs="仿宋_GB2312"/>
          <w:b/>
          <w:spacing w:val="-8"/>
          <w:sz w:val="32"/>
          <w:szCs w:val="32"/>
        </w:rPr>
        <w:t>即漕河科创新城，</w:t>
      </w:r>
      <w:r>
        <w:rPr>
          <w:rFonts w:hint="eastAsia" w:ascii="仿宋_GB2312" w:hAnsi="仿宋_GB2312" w:eastAsia="仿宋_GB2312" w:cs="仿宋_GB2312"/>
          <w:bCs/>
          <w:spacing w:val="-8"/>
          <w:sz w:val="32"/>
          <w:szCs w:val="32"/>
        </w:rPr>
        <w:t>以科技创新为核心，以漕河科技创新示范园和京津冀生活用纸科技创新产业园为基础，重点发展新材料、节能环保、生物医药、人工智能、现代服务业和生活用纸传统特色产业，努力实现小空间、大聚集，小平台、大产业，小载体、大创新，逐步形成布局合理、功能完善、人才聚集、绿色低碳、可持续发展的科创新城。</w:t>
      </w:r>
      <w:r>
        <w:rPr>
          <w:rFonts w:hint="eastAsia" w:ascii="仿宋_GB2312" w:hAnsi="仿宋_GB2312" w:eastAsia="仿宋_GB2312" w:cs="仿宋_GB2312"/>
          <w:b/>
          <w:spacing w:val="-8"/>
          <w:sz w:val="32"/>
          <w:szCs w:val="32"/>
        </w:rPr>
        <w:t>轨道交通新城</w:t>
      </w:r>
      <w:r>
        <w:rPr>
          <w:rFonts w:hint="eastAsia" w:ascii="仿宋_GB2312" w:hAnsi="仿宋_GB2312" w:eastAsia="仿宋_GB2312" w:cs="仿宋_GB2312"/>
          <w:bCs/>
          <w:spacing w:val="-8"/>
          <w:sz w:val="32"/>
          <w:szCs w:val="32"/>
        </w:rPr>
        <w:t>，以河北京车造车基地项目（总投资</w:t>
      </w:r>
      <w:r>
        <w:rPr>
          <w:rFonts w:ascii="仿宋_GB2312" w:hAnsi="仿宋_GB2312" w:eastAsia="仿宋_GB2312" w:cs="仿宋_GB2312"/>
          <w:bCs/>
          <w:spacing w:val="-8"/>
          <w:sz w:val="32"/>
          <w:szCs w:val="32"/>
        </w:rPr>
        <w:t>45.7</w:t>
      </w:r>
      <w:r>
        <w:rPr>
          <w:rFonts w:hint="eastAsia" w:ascii="仿宋_GB2312" w:hAnsi="仿宋_GB2312" w:eastAsia="仿宋_GB2312" w:cs="仿宋_GB2312"/>
          <w:bCs/>
          <w:spacing w:val="-8"/>
          <w:sz w:val="32"/>
          <w:szCs w:val="32"/>
        </w:rPr>
        <w:t>亿元）建成投产为依托，发展轨道交通及相关配套产业，加快大赛村棚户区改造项目（总投资</w:t>
      </w:r>
      <w:r>
        <w:rPr>
          <w:rFonts w:ascii="仿宋_GB2312" w:hAnsi="仿宋_GB2312" w:eastAsia="仿宋_GB2312" w:cs="仿宋_GB2312"/>
          <w:bCs/>
          <w:spacing w:val="-8"/>
          <w:sz w:val="32"/>
          <w:szCs w:val="32"/>
        </w:rPr>
        <w:t>14.4</w:t>
      </w:r>
      <w:r>
        <w:rPr>
          <w:rFonts w:hint="eastAsia" w:ascii="仿宋_GB2312" w:hAnsi="仿宋_GB2312" w:eastAsia="仿宋_GB2312" w:cs="仿宋_GB2312"/>
          <w:bCs/>
          <w:spacing w:val="-8"/>
          <w:sz w:val="32"/>
          <w:szCs w:val="32"/>
        </w:rPr>
        <w:t>亿元）建设，推动二三产融合，以产促城，加快人口聚集，加速提升人口城镇化率，打造轨道交通新城。</w:t>
      </w:r>
      <w:r>
        <w:rPr>
          <w:rFonts w:hint="eastAsia" w:ascii="仿宋_GB2312" w:hAnsi="仿宋_GB2312" w:eastAsia="仿宋_GB2312" w:cs="仿宋_GB2312"/>
          <w:b/>
          <w:spacing w:val="-8"/>
          <w:sz w:val="32"/>
          <w:szCs w:val="32"/>
        </w:rPr>
        <w:t>通用航空新城，</w:t>
      </w:r>
      <w:r>
        <w:rPr>
          <w:rFonts w:hint="eastAsia" w:ascii="仿宋_GB2312" w:hAnsi="仿宋_GB2312" w:eastAsia="仿宋_GB2312" w:cs="仿宋_GB2312"/>
          <w:bCs/>
          <w:spacing w:val="-8"/>
          <w:sz w:val="32"/>
          <w:szCs w:val="32"/>
        </w:rPr>
        <w:t>以航空产业园为依托，重点引进通航商旅飞行、飞行培训、飞行器展示中心、航空物流、航空展览、航空救援等产业；以配套设施为保障，综合发展公共服务设施、公共管理、商业、服务业，服务于园区内外；以飞翔为亮点，未来积极发展空中跳伞、直升机观光等低空旅游项目，让游客在空中俯视满城最美的湖光山色和乡村美景，带动乡村振兴。</w:t>
      </w:r>
      <w:r>
        <w:rPr>
          <w:rFonts w:hint="eastAsia" w:ascii="仿宋_GB2312" w:hAnsi="仿宋_GB2312" w:eastAsia="仿宋_GB2312" w:cs="仿宋_GB2312"/>
          <w:b/>
          <w:spacing w:val="-8"/>
          <w:sz w:val="32"/>
          <w:szCs w:val="32"/>
        </w:rPr>
        <w:t>生态休闲新城，</w:t>
      </w:r>
      <w:r>
        <w:rPr>
          <w:rFonts w:hint="eastAsia" w:ascii="仿宋_GB2312" w:hAnsi="仿宋_GB2312" w:eastAsia="仿宋_GB2312" w:cs="仿宋_GB2312"/>
          <w:bCs/>
          <w:spacing w:val="-8"/>
          <w:sz w:val="32"/>
          <w:szCs w:val="32"/>
        </w:rPr>
        <w:t>深入挖掘该区域的自然景观资源，整合自然文化资源，重点打造以柿子沟生态涵养带为核心，龙潭湖生态涵养带、秀兰文化园生态涵养带、刘家台生态涵养带为顶点的西北生态涵养带，逐步完善水、电、路、讯等基础设施，壮大旅游配套产业，建设集旅游度假、健康养生、娱乐休闲、文化体验等功能于一体的生态休闲新城。</w:t>
      </w:r>
    </w:p>
    <w:p>
      <w:pPr>
        <w:spacing w:line="570" w:lineRule="exact"/>
        <w:ind w:firstLine="595" w:firstLineChars="200"/>
        <w:rPr>
          <w:rFonts w:ascii="仿宋_GB2312" w:hAnsi="仿宋_GB2312" w:eastAsia="仿宋_GB2312" w:cs="仿宋_GB2312"/>
          <w:bCs/>
          <w:spacing w:val="-12"/>
          <w:sz w:val="32"/>
          <w:szCs w:val="32"/>
        </w:rPr>
      </w:pPr>
      <w:r>
        <w:rPr>
          <w:rFonts w:hint="eastAsia" w:ascii="仿宋_GB2312" w:hAnsi="仿宋_GB2312" w:eastAsia="仿宋_GB2312" w:cs="仿宋_GB2312"/>
          <w:b/>
          <w:spacing w:val="-12"/>
          <w:sz w:val="32"/>
          <w:szCs w:val="32"/>
        </w:rPr>
        <w:t>规范城市管理。</w:t>
      </w:r>
      <w:r>
        <w:rPr>
          <w:rFonts w:hint="eastAsia" w:ascii="仿宋_GB2312" w:hAnsi="仿宋_GB2312" w:eastAsia="仿宋_GB2312" w:cs="仿宋_GB2312"/>
          <w:bCs/>
          <w:spacing w:val="-12"/>
          <w:sz w:val="32"/>
          <w:szCs w:val="32"/>
        </w:rPr>
        <w:t>健全完善</w:t>
      </w:r>
      <w:r>
        <w:rPr>
          <w:rFonts w:hint="eastAsia" w:ascii="仿宋_GB2312" w:hAnsi="仿宋_GB2312" w:eastAsia="仿宋_GB2312" w:cs="仿宋_GB2312"/>
          <w:spacing w:val="-12"/>
          <w:sz w:val="32"/>
          <w:szCs w:val="32"/>
        </w:rPr>
        <w:t>城市管理各项长效机制，深入推进城市执法体制改革</w:t>
      </w:r>
      <w:r>
        <w:rPr>
          <w:rFonts w:hint="eastAsia" w:ascii="仿宋_GB2312" w:hAnsi="仿宋_GB2312" w:eastAsia="仿宋_GB2312" w:cs="仿宋_GB2312"/>
          <w:bCs/>
          <w:spacing w:val="-12"/>
          <w:sz w:val="32"/>
          <w:szCs w:val="32"/>
        </w:rPr>
        <w:t>，深化“城管</w:t>
      </w:r>
      <w:r>
        <w:rPr>
          <w:rFonts w:ascii="仿宋_GB2312" w:hAnsi="仿宋_GB2312" w:eastAsia="仿宋_GB2312" w:cs="仿宋_GB2312"/>
          <w:bCs/>
          <w:spacing w:val="-12"/>
          <w:sz w:val="32"/>
          <w:szCs w:val="32"/>
        </w:rPr>
        <w:t>+</w:t>
      </w:r>
      <w:r>
        <w:rPr>
          <w:rFonts w:hint="eastAsia" w:ascii="仿宋_GB2312" w:hAnsi="仿宋_GB2312" w:eastAsia="仿宋_GB2312" w:cs="仿宋_GB2312"/>
          <w:bCs/>
          <w:spacing w:val="-12"/>
          <w:sz w:val="32"/>
          <w:szCs w:val="32"/>
        </w:rPr>
        <w:t>公安”联合执法模式，发挥好数字化城管平台的作用，持续开展“一区三边”专项整治，确保拆出气势、拆出公平、拆出形象。以“深度清洁、全天保洁、全方位整治”为目标，保持已经取得的成绩，加大背街小巷、城乡结合部、城中村和老旧小区深度治理，全面整治乱停乱放等不文明行为，彻底取缔马路市场、外溢市场，全面启动批发市场退市进郊。深入实施市民文明素质提升工程，积极创建文明城区，通过教育引导、舆论宣传、文化熏陶、制度保障等，让文明理念在市民中内化于心、外践于行。加强城市精细化管理，统筹推进清洁城市、海绵城市、智慧城市建设，加快完善城市功能、提升城市形象。</w:t>
      </w:r>
    </w:p>
    <w:p>
      <w:pPr>
        <w:pStyle w:val="4"/>
        <w:spacing w:before="0" w:after="0" w:line="570" w:lineRule="exact"/>
        <w:jc w:val="center"/>
        <w:rPr>
          <w:rFonts w:ascii="黑体" w:hAnsi="Times New Roman"/>
          <w:b w:val="0"/>
          <w:spacing w:val="-8"/>
          <w:kern w:val="2"/>
          <w:szCs w:val="32"/>
        </w:rPr>
      </w:pPr>
      <w:bookmarkStart w:id="69" w:name="_Toc63009742"/>
      <w:bookmarkStart w:id="70" w:name="_Toc27020"/>
      <w:r>
        <w:rPr>
          <w:rFonts w:hint="eastAsia" w:ascii="黑体" w:hAnsi="Times New Roman"/>
          <w:b w:val="0"/>
          <w:spacing w:val="-8"/>
          <w:kern w:val="2"/>
          <w:szCs w:val="32"/>
        </w:rPr>
        <w:t>第二节构建多点支撑体系</w:t>
      </w:r>
      <w:bookmarkEnd w:id="69"/>
      <w:bookmarkEnd w:id="70"/>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坚持主题突出、特色鲜明、功能完善的建设思路，着力打造以城市客厅、立体路网、园林水系等为代表的多个城市新地标，增强政府统一引导、监管能力，放大功能组团辐射带动效能，立体重构多元立体城市新格局。</w:t>
      </w:r>
    </w:p>
    <w:p>
      <w:pPr>
        <w:spacing w:line="570" w:lineRule="exact"/>
        <w:ind w:firstLine="611" w:firstLineChars="200"/>
        <w:jc w:val="left"/>
        <w:rPr>
          <w:rFonts w:ascii="仿宋_GB2312" w:hAnsi="仿宋_GB2312" w:eastAsia="仿宋_GB2312" w:cs="仿宋_GB2312"/>
          <w:spacing w:val="-8"/>
          <w:sz w:val="32"/>
          <w:szCs w:val="32"/>
        </w:rPr>
      </w:pPr>
      <w:r>
        <w:rPr>
          <w:rFonts w:hint="eastAsia" w:ascii="仿宋_GB2312" w:hAnsi="仿宋" w:eastAsia="仿宋_GB2312" w:cs="仿宋"/>
          <w:b/>
          <w:spacing w:val="-8"/>
          <w:sz w:val="32"/>
          <w:szCs w:val="32"/>
        </w:rPr>
        <w:t>打造智慧城市。</w:t>
      </w:r>
      <w:r>
        <w:rPr>
          <w:rFonts w:hint="eastAsia" w:ascii="仿宋_GB2312" w:hAnsi="仿宋_GB2312" w:eastAsia="仿宋_GB2312" w:cs="仿宋_GB2312"/>
          <w:spacing w:val="-8"/>
          <w:sz w:val="32"/>
          <w:szCs w:val="32"/>
        </w:rPr>
        <w:t>围绕“勇当智慧城市</w:t>
      </w:r>
      <w:r>
        <w:rPr>
          <w:rFonts w:ascii="仿宋_GB2312" w:hAnsi="仿宋_GB2312" w:eastAsia="仿宋_GB2312" w:cs="仿宋_GB2312"/>
          <w:spacing w:val="-8"/>
          <w:sz w:val="32"/>
          <w:szCs w:val="32"/>
        </w:rPr>
        <w:t>3.0</w:t>
      </w:r>
      <w:r>
        <w:rPr>
          <w:rFonts w:hint="eastAsia" w:ascii="仿宋_GB2312" w:hAnsi="仿宋_GB2312" w:eastAsia="仿宋_GB2312" w:cs="仿宋_GB2312"/>
          <w:spacing w:val="-8"/>
          <w:sz w:val="32"/>
          <w:szCs w:val="32"/>
        </w:rPr>
        <w:t>的探路者”这一目标，以“六馆一中心”</w:t>
      </w:r>
      <w:r>
        <w:rPr>
          <w:rFonts w:hint="eastAsia" w:ascii="仿宋_GB2312" w:hAnsi="仿宋_GB2312" w:eastAsia="仿宋_GB2312" w:cs="仿宋_GB2312"/>
          <w:bCs/>
          <w:spacing w:val="-8"/>
          <w:sz w:val="32"/>
          <w:szCs w:val="32"/>
        </w:rPr>
        <w:t>（博物馆、规划馆、图书馆、档案馆、体育馆、文化馆，市民中心）</w:t>
      </w:r>
      <w:r>
        <w:rPr>
          <w:rFonts w:hint="eastAsia" w:ascii="仿宋_GB2312" w:hAnsi="仿宋_GB2312" w:eastAsia="仿宋_GB2312" w:cs="仿宋_GB2312"/>
          <w:spacing w:val="-8"/>
          <w:sz w:val="32"/>
          <w:szCs w:val="32"/>
        </w:rPr>
        <w:t>建设为切入点，以“建设城市客厅及智慧大脑、聚集高质量高效益总部”为重点，着力构建“特色突出、创新活跃、要素完整、功能完善”的商务、生活服务配套体系及总部经济产业生态圈。全力打造以会议展览为核心，融合酒店餐饮、会展服务等功能的会展中心。运用物联网、大数据、人工智能等信息技术，建设智慧公共服务和城市管理系统，通过加强就业、医疗、教育、交通、安居、应急等专业性应用系统建设，提升城市建设和管理规范化、精准化、智能化水平，让城市公共资源全民共享。统筹推进数字城市、智慧城市、海绵城市建设。</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spacing w:val="-8"/>
          <w:sz w:val="32"/>
          <w:szCs w:val="32"/>
        </w:rPr>
        <w:t>疏通城市交通网络。</w:t>
      </w:r>
      <w:r>
        <w:rPr>
          <w:rFonts w:hint="eastAsia" w:ascii="仿宋_GB2312" w:hAnsi="仿宋_GB2312" w:eastAsia="仿宋_GB2312" w:cs="仿宋_GB2312"/>
          <w:spacing w:val="-8"/>
          <w:sz w:val="32"/>
          <w:szCs w:val="32"/>
        </w:rPr>
        <w:t>健全城市交通网络，着力打通一批断头路、梗阻路、瓶颈路，加快构建“纵、横、环、桥、隧”一体化城市路网格局。以打通外循环、贯通内循环、疏通微循环为目标，重点打通新外环闭合体系。加快推进</w:t>
      </w:r>
      <w:r>
        <w:rPr>
          <w:rFonts w:hint="eastAsia" w:ascii="仿宋_GB2312" w:hAnsi="黑体" w:eastAsia="仿宋_GB2312"/>
          <w:spacing w:val="-8"/>
          <w:sz w:val="32"/>
          <w:szCs w:val="32"/>
        </w:rPr>
        <w:t>以春晖路、安大线为北环，安大线支线、市西三环为东环，复兴路西延、再西延为南环，京赞线、靖云街为西环，总长约</w:t>
      </w:r>
      <w:r>
        <w:rPr>
          <w:rFonts w:ascii="仿宋_GB2312" w:hAnsi="黑体" w:eastAsia="仿宋_GB2312"/>
          <w:spacing w:val="-8"/>
          <w:sz w:val="32"/>
          <w:szCs w:val="32"/>
        </w:rPr>
        <w:t>40</w:t>
      </w:r>
      <w:r>
        <w:rPr>
          <w:rFonts w:hint="eastAsia" w:ascii="仿宋_GB2312" w:hAnsi="黑体" w:eastAsia="仿宋_GB2312"/>
          <w:spacing w:val="-8"/>
          <w:sz w:val="32"/>
          <w:szCs w:val="32"/>
        </w:rPr>
        <w:t>公里的大外环建设，将城区空间扩容一倍，为新型城镇化发展拉开框架、留足空白</w:t>
      </w:r>
      <w:r>
        <w:rPr>
          <w:rFonts w:hint="eastAsia" w:ascii="仿宋_GB2312" w:hAnsi="仿宋_GB2312" w:eastAsia="仿宋_GB2312" w:cs="仿宋_GB2312"/>
          <w:spacing w:val="-8"/>
          <w:sz w:val="32"/>
          <w:szCs w:val="32"/>
        </w:rPr>
        <w:t>。加快推进七一路西延、北三环西延建设，强化与保定主城区的连接贯通，建设</w:t>
      </w:r>
      <w:r>
        <w:rPr>
          <w:rFonts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rPr>
        <w:t>条连接保定主城道路，放大组团发展的集聚优势。启动宏昌大街南延北扩、京赞线拓宽扩容、满于东线升级改造等道路工程，加快推进安大线、安大线支线、复兴路再西延等道路建设，全力打造与京昆、保沧、荣乌、京港澳四大高速快速连接的半小时交通网。提高城市路网密度，完善城市主次干路网络建设，加快城区支路、微循环道路建设，畅通城市的“毛细血管”，打通满中北路、抱阳路、育才北街、汉贤街南北延、陵山路等城市断头路，打造高效、便捷、立体城区交通路网。</w:t>
      </w:r>
    </w:p>
    <w:p>
      <w:pPr>
        <w:spacing w:line="60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spacing w:val="-8"/>
          <w:sz w:val="32"/>
          <w:szCs w:val="32"/>
        </w:rPr>
        <w:t>优化服务空间格局。</w:t>
      </w:r>
      <w:r>
        <w:rPr>
          <w:rFonts w:hint="eastAsia" w:ascii="仿宋_GB2312" w:hAnsi="仿宋" w:eastAsia="仿宋_GB2312" w:cs="仿宋"/>
          <w:bCs/>
          <w:spacing w:val="-8"/>
          <w:sz w:val="32"/>
          <w:szCs w:val="32"/>
        </w:rPr>
        <w:t>积极构建城市基本公共服务设施网络。</w:t>
      </w:r>
      <w:r>
        <w:rPr>
          <w:rFonts w:hint="eastAsia" w:ascii="仿宋_GB2312" w:hAnsi="仿宋_GB2312" w:eastAsia="仿宋_GB2312" w:cs="仿宋_GB2312"/>
          <w:spacing w:val="-8"/>
          <w:sz w:val="32"/>
          <w:szCs w:val="32"/>
        </w:rPr>
        <w:t>建设“城市</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组团</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社区”三级公共服务设施体系，形成多层次、全覆盖，快服务、慢生活，大城区、零距离的基本公共服务网络，达到“</w:t>
      </w:r>
      <w:r>
        <w:rPr>
          <w:rFonts w:ascii="仿宋_GB2312" w:hAnsi="仿宋_GB2312" w:eastAsia="仿宋_GB2312" w:cs="仿宋_GB2312"/>
          <w:spacing w:val="-8"/>
          <w:sz w:val="32"/>
          <w:szCs w:val="32"/>
        </w:rPr>
        <w:t>5</w:t>
      </w:r>
      <w:r>
        <w:rPr>
          <w:rFonts w:hint="eastAsia" w:ascii="仿宋_GB2312" w:hAnsi="仿宋_GB2312" w:eastAsia="仿宋_GB2312" w:cs="仿宋_GB2312"/>
          <w:spacing w:val="-8"/>
          <w:sz w:val="32"/>
          <w:szCs w:val="32"/>
        </w:rPr>
        <w:t>分钟智慧便捷享受公共服务、</w:t>
      </w:r>
      <w:r>
        <w:rPr>
          <w:rFonts w:ascii="仿宋_GB2312" w:hAnsi="仿宋_GB2312" w:eastAsia="仿宋_GB2312" w:cs="仿宋_GB2312"/>
          <w:spacing w:val="-8"/>
          <w:sz w:val="32"/>
          <w:szCs w:val="32"/>
        </w:rPr>
        <w:t>10</w:t>
      </w:r>
      <w:r>
        <w:rPr>
          <w:rFonts w:hint="eastAsia" w:ascii="仿宋_GB2312" w:hAnsi="仿宋_GB2312" w:eastAsia="仿宋_GB2312" w:cs="仿宋_GB2312"/>
          <w:spacing w:val="-8"/>
          <w:sz w:val="32"/>
          <w:szCs w:val="32"/>
        </w:rPr>
        <w:t>分钟串联城区主要功能区、</w:t>
      </w:r>
      <w:r>
        <w:rPr>
          <w:rFonts w:ascii="仿宋_GB2312" w:hAnsi="仿宋_GB2312" w:eastAsia="仿宋_GB2312" w:cs="仿宋_GB2312"/>
          <w:spacing w:val="-8"/>
          <w:sz w:val="32"/>
          <w:szCs w:val="32"/>
        </w:rPr>
        <w:t>15</w:t>
      </w:r>
      <w:r>
        <w:rPr>
          <w:rFonts w:hint="eastAsia" w:ascii="仿宋_GB2312" w:hAnsi="仿宋_GB2312" w:eastAsia="仿宋_GB2312" w:cs="仿宋_GB2312"/>
          <w:spacing w:val="-8"/>
          <w:sz w:val="32"/>
          <w:szCs w:val="32"/>
        </w:rPr>
        <w:t>分钟大外环道路闭环通达以及</w:t>
      </w:r>
      <w:r>
        <w:rPr>
          <w:rFonts w:ascii="仿宋_GB2312" w:hAnsi="仿宋_GB2312" w:eastAsia="仿宋_GB2312" w:cs="仿宋_GB2312"/>
          <w:spacing w:val="-8"/>
          <w:sz w:val="32"/>
          <w:szCs w:val="32"/>
        </w:rPr>
        <w:t>20</w:t>
      </w:r>
      <w:r>
        <w:rPr>
          <w:rFonts w:hint="eastAsia" w:ascii="仿宋_GB2312" w:hAnsi="仿宋_GB2312" w:eastAsia="仿宋_GB2312" w:cs="仿宋_GB2312"/>
          <w:spacing w:val="-8"/>
          <w:sz w:val="32"/>
          <w:szCs w:val="32"/>
        </w:rPr>
        <w:t>分钟多条道路连接保定主城区的生活圈”目标。突出抓好“一校一院”“一老一少”“一车一中心”六大重点工程。一校，即：加快推进保定市第</w:t>
      </w:r>
      <w:r>
        <w:rPr>
          <w:rFonts w:ascii="仿宋_GB2312" w:hAnsi="仿宋_GB2312" w:eastAsia="仿宋_GB2312" w:cs="仿宋_GB2312"/>
          <w:spacing w:val="-8"/>
          <w:sz w:val="32"/>
          <w:szCs w:val="32"/>
        </w:rPr>
        <w:t>28</w:t>
      </w:r>
      <w:r>
        <w:rPr>
          <w:rFonts w:hint="eastAsia" w:ascii="仿宋_GB2312" w:hAnsi="仿宋_GB2312" w:eastAsia="仿宋_GB2312" w:cs="仿宋_GB2312"/>
          <w:spacing w:val="-8"/>
          <w:sz w:val="32"/>
          <w:szCs w:val="32"/>
        </w:rPr>
        <w:t>中学二期工程建设，打造一所全市叫得响、全省有影响的高标准现代化综合性高中。一院，即：围绕健康满城建设，加快区人民医院二期提升工程，完成二甲医院等级评审工作。一老，即：依托润达养老院，谋划建设集医疗服务、健康养护、康复护理于一体的“医养结合、互融互通”养老综合体。一少，即：建设一至两所城区公办幼儿园和第四实验小学，有效解决大班额问题，真正让学生开心、老师舒心、家长放心。一车，即：在现有三条通主城区公交线路基础上，再开通一条公交线路。着力整合城乡公交，推动城区、城乡、城际公交联动发展，让广大群众尽享交通之便。一中心，即：利用好收回的广电大厦，构建“一站式”便民服务中心，真正实现让老百姓“只进一扇门、最多跑一趟”。</w:t>
      </w:r>
    </w:p>
    <w:p>
      <w:pPr>
        <w:pStyle w:val="4"/>
        <w:spacing w:before="0" w:after="0" w:line="600" w:lineRule="exact"/>
        <w:jc w:val="center"/>
        <w:rPr>
          <w:rFonts w:ascii="黑体" w:hAnsi="Times New Roman"/>
          <w:b w:val="0"/>
          <w:spacing w:val="-8"/>
          <w:kern w:val="2"/>
          <w:szCs w:val="32"/>
        </w:rPr>
      </w:pPr>
      <w:bookmarkStart w:id="71" w:name="_Toc63009743"/>
      <w:bookmarkStart w:id="72" w:name="_Toc3598"/>
      <w:r>
        <w:rPr>
          <w:rFonts w:hint="eastAsia" w:ascii="黑体" w:hAnsi="Times New Roman"/>
          <w:b w:val="0"/>
          <w:spacing w:val="-8"/>
          <w:kern w:val="2"/>
          <w:szCs w:val="32"/>
        </w:rPr>
        <w:t>第三节加快产城融合进程</w:t>
      </w:r>
      <w:bookmarkEnd w:id="71"/>
      <w:bookmarkEnd w:id="72"/>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坚持规模适度、产业集聚、功能集成、要素集约，以农业现代化和新型工业化为支撑，着力推进小城镇建设，使之成为承接城市产业转移、就地就近吸纳农业转移人口、服务“三农”的重要载体。积极推动扩权强镇，根据实际需要下放权力，加大在土地、规划、政策等方面的扶持力度，推动有条件的重点镇向“小城市”转型。同时，依据资源条件、自身特色和发展基础，明晰定位和功能分工，打造一批工业重镇、商贸强镇、生态靓镇、休闲名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加快推进满城镇镇改街，要庄乡、石井乡、坨南乡撤乡建镇，大力支持生活用纸、电力电气、柿子沟民宿、秀兰康养等特色小镇建设。合理推进农村社区建设，坚持政府引导、规划先行、群众自愿、社会参与的原则，完善基础设施，延伸公共服务，因地制宜确定社区建设模式，着力建设布局合理、环境优美、功能完善、服务便捷、管理高效的农村社区。</w:t>
      </w:r>
    </w:p>
    <w:p>
      <w:pPr>
        <w:pStyle w:val="19"/>
        <w:spacing w:line="570" w:lineRule="exact"/>
      </w:pPr>
    </w:p>
    <w:p>
      <w:pPr>
        <w:rPr>
          <w:rFonts w:ascii="方正小标宋简体" w:hAnsi="黑体" w:eastAsia="方正小标宋简体" w:cs="宋体"/>
          <w:spacing w:val="-8"/>
          <w:sz w:val="36"/>
          <w:szCs w:val="36"/>
        </w:rPr>
      </w:pPr>
      <w:bookmarkStart w:id="73" w:name="_Toc63009744"/>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74" w:name="_Toc8266"/>
      <w:r>
        <w:rPr>
          <w:rFonts w:hint="eastAsia" w:ascii="方正小标宋简体" w:hAnsi="黑体" w:eastAsia="方正小标宋简体" w:cs="宋体"/>
          <w:b w:val="0"/>
          <w:spacing w:val="-8"/>
          <w:kern w:val="2"/>
          <w:sz w:val="36"/>
          <w:szCs w:val="36"/>
        </w:rPr>
        <w:t>第八章推进城乡统筹协调发展，实现城乡共同繁荣</w:t>
      </w:r>
      <w:bookmarkEnd w:id="73"/>
      <w:bookmarkEnd w:id="74"/>
    </w:p>
    <w:p>
      <w:pPr>
        <w:spacing w:line="570" w:lineRule="exact"/>
      </w:pPr>
    </w:p>
    <w:p>
      <w:pPr>
        <w:pStyle w:val="4"/>
        <w:spacing w:before="0" w:after="0" w:line="570" w:lineRule="exact"/>
        <w:jc w:val="center"/>
        <w:rPr>
          <w:rFonts w:ascii="黑体" w:hAnsi="Times New Roman"/>
          <w:b w:val="0"/>
          <w:spacing w:val="-8"/>
          <w:kern w:val="2"/>
          <w:szCs w:val="32"/>
        </w:rPr>
      </w:pPr>
      <w:bookmarkStart w:id="75" w:name="_Toc9856"/>
      <w:bookmarkStart w:id="76" w:name="_Toc63009745"/>
      <w:r>
        <w:rPr>
          <w:rFonts w:hint="eastAsia" w:ascii="黑体" w:hAnsi="Times New Roman"/>
          <w:b w:val="0"/>
          <w:spacing w:val="-8"/>
          <w:kern w:val="2"/>
          <w:szCs w:val="32"/>
        </w:rPr>
        <w:t>第一节提升面貌打造一流城区</w:t>
      </w:r>
      <w:bookmarkEnd w:id="75"/>
      <w:bookmarkEnd w:id="76"/>
    </w:p>
    <w:p>
      <w:pPr>
        <w:spacing w:line="570" w:lineRule="exact"/>
        <w:ind w:firstLine="611" w:firstLineChars="200"/>
        <w:rPr>
          <w:rFonts w:ascii="仿宋_GB2312" w:hAnsi="仿宋_GB2312" w:eastAsia="仿宋_GB2312" w:cs="仿宋_GB2312"/>
          <w:bCs/>
          <w:spacing w:val="-8"/>
          <w:sz w:val="32"/>
          <w:szCs w:val="32"/>
        </w:rPr>
      </w:pPr>
      <w:r>
        <w:rPr>
          <w:rFonts w:hint="eastAsia" w:ascii="仿宋_GB2312" w:hAnsi="仿宋" w:eastAsia="仿宋_GB2312" w:cs="仿宋"/>
          <w:b/>
          <w:bCs/>
          <w:spacing w:val="-8"/>
          <w:sz w:val="32"/>
          <w:szCs w:val="32"/>
        </w:rPr>
        <w:t>做强城市功能。</w:t>
      </w:r>
      <w:r>
        <w:rPr>
          <w:rFonts w:hint="eastAsia" w:ascii="仿宋_GB2312" w:hAnsi="仿宋_GB2312" w:eastAsia="仿宋_GB2312" w:cs="仿宋_GB2312"/>
          <w:bCs/>
          <w:spacing w:val="-8"/>
          <w:sz w:val="32"/>
          <w:szCs w:val="32"/>
        </w:rPr>
        <w:t>在基础设施上率先发力、务求突破。</w:t>
      </w:r>
      <w:r>
        <w:rPr>
          <w:rFonts w:hint="eastAsia" w:ascii="仿宋_GB2312" w:hAnsi="仿宋_GB2312" w:eastAsia="仿宋_GB2312" w:cs="仿宋_GB2312"/>
          <w:b/>
          <w:bCs/>
          <w:spacing w:val="-8"/>
          <w:sz w:val="32"/>
          <w:szCs w:val="32"/>
        </w:rPr>
        <w:t>深入推进路网攻坚，</w:t>
      </w:r>
      <w:r>
        <w:rPr>
          <w:rFonts w:hint="eastAsia" w:ascii="仿宋_GB2312" w:hAnsi="仿宋_GB2312" w:eastAsia="仿宋_GB2312" w:cs="仿宋_GB2312"/>
          <w:bCs/>
          <w:spacing w:val="-8"/>
          <w:sz w:val="32"/>
          <w:szCs w:val="32"/>
        </w:rPr>
        <w:t>实施北三环西延、复兴路再西延等道路建设，全面启动宏昌大街南延、建业路西延、满中北路等路网建设，加快推进七一路西延、西二环北延、</w:t>
      </w:r>
      <w:r>
        <w:rPr>
          <w:rFonts w:hint="eastAsia" w:ascii="仿宋_GB2312" w:hAnsi="楷体_GB2312" w:eastAsia="仿宋_GB2312" w:cs="楷体_GB2312"/>
          <w:bCs/>
          <w:spacing w:val="-8"/>
          <w:sz w:val="32"/>
          <w:szCs w:val="32"/>
        </w:rPr>
        <w:t>安大线</w:t>
      </w:r>
      <w:r>
        <w:rPr>
          <w:rFonts w:hint="eastAsia" w:ascii="仿宋_GB2312" w:hAnsi="仿宋_GB2312" w:eastAsia="仿宋_GB2312" w:cs="仿宋_GB2312"/>
          <w:bCs/>
          <w:spacing w:val="-8"/>
          <w:sz w:val="32"/>
          <w:szCs w:val="32"/>
        </w:rPr>
        <w:t>等工程，构建高效、便捷、立体路网格局，使大交通成为融合保定发展的大引擎。</w:t>
      </w:r>
      <w:r>
        <w:rPr>
          <w:rFonts w:hint="eastAsia" w:ascii="仿宋_GB2312" w:hAnsi="仿宋_GB2312" w:eastAsia="仿宋_GB2312" w:cs="仿宋_GB2312"/>
          <w:b/>
          <w:bCs/>
          <w:spacing w:val="-8"/>
          <w:sz w:val="32"/>
          <w:szCs w:val="32"/>
        </w:rPr>
        <w:t>深入推进基础设施攻坚</w:t>
      </w:r>
      <w:r>
        <w:rPr>
          <w:rFonts w:hint="eastAsia" w:ascii="仿宋_GB2312" w:hAnsi="仿宋_GB2312" w:eastAsia="仿宋_GB2312" w:cs="仿宋_GB2312"/>
          <w:bCs/>
          <w:spacing w:val="-8"/>
          <w:sz w:val="32"/>
          <w:szCs w:val="32"/>
        </w:rPr>
        <w:t>，完善电网网架建设，实现网格化供电，构建网络清晰、联络有序、负荷均衡、可靠性更高的配电网，新建</w:t>
      </w:r>
      <w:r>
        <w:rPr>
          <w:rFonts w:ascii="仿宋_GB2312" w:hAnsi="仿宋_GB2312" w:eastAsia="仿宋_GB2312" w:cs="仿宋_GB2312"/>
          <w:bCs/>
          <w:spacing w:val="-8"/>
          <w:sz w:val="32"/>
          <w:szCs w:val="32"/>
        </w:rPr>
        <w:t>220kV</w:t>
      </w:r>
      <w:r>
        <w:rPr>
          <w:rFonts w:hint="eastAsia" w:ascii="仿宋_GB2312" w:hAnsi="仿宋_GB2312" w:eastAsia="仿宋_GB2312" w:cs="仿宋_GB2312"/>
          <w:bCs/>
          <w:spacing w:val="-8"/>
          <w:sz w:val="32"/>
          <w:szCs w:val="32"/>
        </w:rPr>
        <w:t>满北变电站、岗头</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变电站、</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城南变电站、</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市头村变电站、</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西庄变电站。完成城区公厕改造、老旧小区改造、地表水厂供水管网（主城区、大册营、河北京车造车基地段）等工程，全面启动城区河道治理、城市雨污分流工程，加快推进汽车站建设，全面提升城市承载能力。</w:t>
      </w:r>
      <w:r>
        <w:rPr>
          <w:rFonts w:hint="eastAsia" w:ascii="仿宋_GB2312" w:hAnsi="仿宋_GB2312" w:eastAsia="仿宋_GB2312" w:cs="仿宋_GB2312"/>
          <w:b/>
          <w:bCs/>
          <w:spacing w:val="-8"/>
          <w:sz w:val="32"/>
          <w:szCs w:val="32"/>
        </w:rPr>
        <w:t>深入推进绿化美化亮化攻坚，</w:t>
      </w:r>
      <w:r>
        <w:rPr>
          <w:rFonts w:hint="eastAsia" w:ascii="仿宋_GB2312" w:hAnsi="仿宋_GB2312" w:eastAsia="仿宋_GB2312" w:cs="仿宋_GB2312"/>
          <w:bCs/>
          <w:spacing w:val="-8"/>
          <w:sz w:val="32"/>
          <w:szCs w:val="32"/>
        </w:rPr>
        <w:t>启动长信公园扩建和陵山</w:t>
      </w:r>
      <w:r>
        <w:rPr>
          <w:rFonts w:ascii="仿宋_GB2312" w:hAnsi="仿宋_GB2312" w:eastAsia="仿宋_GB2312" w:cs="仿宋_GB2312"/>
          <w:bCs/>
          <w:spacing w:val="-8"/>
          <w:sz w:val="32"/>
          <w:szCs w:val="32"/>
        </w:rPr>
        <w:t>—</w:t>
      </w:r>
      <w:r>
        <w:rPr>
          <w:rFonts w:hint="eastAsia" w:ascii="仿宋_GB2312" w:hAnsi="仿宋_GB2312" w:eastAsia="仿宋_GB2312" w:cs="仿宋_GB2312"/>
          <w:bCs/>
          <w:spacing w:val="-8"/>
          <w:sz w:val="32"/>
          <w:szCs w:val="32"/>
        </w:rPr>
        <w:t>抱阳山、眺山、一亩泉</w:t>
      </w:r>
      <w:r>
        <w:rPr>
          <w:rFonts w:ascii="仿宋_GB2312" w:hAnsi="仿宋_GB2312" w:eastAsia="仿宋_GB2312" w:cs="仿宋_GB2312"/>
          <w:bCs/>
          <w:spacing w:val="-8"/>
          <w:sz w:val="32"/>
          <w:szCs w:val="32"/>
        </w:rPr>
        <w:t>3</w:t>
      </w:r>
      <w:r>
        <w:rPr>
          <w:rFonts w:hint="eastAsia" w:ascii="仿宋_GB2312" w:hAnsi="仿宋_GB2312" w:eastAsia="仿宋_GB2312" w:cs="仿宋_GB2312"/>
          <w:bCs/>
          <w:spacing w:val="-8"/>
          <w:sz w:val="32"/>
          <w:szCs w:val="32"/>
        </w:rPr>
        <w:t>个万亩森林公园建设，完成环城绿带（东北外环段）、复兴公园配套建设、街角游园提标升级、城区路灯节能改造、夜景美化亮化等工程，建成宜居宜业、人人向往的满意之城。</w:t>
      </w:r>
    </w:p>
    <w:p>
      <w:pPr>
        <w:pStyle w:val="2"/>
        <w:spacing w:line="570" w:lineRule="exact"/>
        <w:ind w:firstLine="611"/>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 w:eastAsia="仿宋_GB2312" w:cs="仿宋"/>
          <w:b/>
          <w:color w:val="000000" w:themeColor="text1"/>
          <w:spacing w:val="-8"/>
          <w:sz w:val="32"/>
          <w:szCs w:val="32"/>
          <w14:textFill>
            <w14:solidFill>
              <w14:schemeClr w14:val="tx1"/>
            </w14:solidFill>
          </w14:textFill>
        </w:rPr>
        <w:t>推进成片开发实施计划。</w:t>
      </w:r>
      <w:r>
        <w:rPr>
          <w:rFonts w:hint="eastAsia" w:ascii="仿宋_GB2312" w:hAnsi="仿宋_GB2312" w:eastAsia="仿宋_GB2312" w:cs="仿宋_GB2312"/>
          <w:bCs/>
          <w:color w:val="000000" w:themeColor="text1"/>
          <w:spacing w:val="-8"/>
          <w:sz w:val="32"/>
          <w:szCs w:val="32"/>
          <w14:textFill>
            <w14:solidFill>
              <w14:schemeClr w14:val="tx1"/>
            </w14:solidFill>
          </w14:textFill>
        </w:rPr>
        <w:t>统筹考虑片区现状基础设施情况、征收难度、资金保障、建设计划等因素，制定拟建项目开发时序及年度实施计划。本次土地征收成片开发片区总面积41.4718公顷，其中涉及已征地面积</w:t>
      </w:r>
      <w:r>
        <w:rPr>
          <w:rFonts w:ascii="仿宋_GB2312" w:hAnsi="仿宋_GB2312" w:eastAsia="仿宋_GB2312" w:cs="仿宋_GB2312"/>
          <w:bCs/>
          <w:color w:val="000000" w:themeColor="text1"/>
          <w:spacing w:val="-8"/>
          <w:sz w:val="32"/>
          <w:szCs w:val="32"/>
          <w14:textFill>
            <w14:solidFill>
              <w14:schemeClr w14:val="tx1"/>
            </w14:solidFill>
          </w14:textFill>
        </w:rPr>
        <w:t>0.6283</w:t>
      </w:r>
      <w:r>
        <w:rPr>
          <w:rFonts w:hint="eastAsia" w:ascii="仿宋_GB2312" w:hAnsi="仿宋_GB2312" w:eastAsia="仿宋_GB2312" w:cs="仿宋_GB2312"/>
          <w:bCs/>
          <w:color w:val="000000" w:themeColor="text1"/>
          <w:spacing w:val="-8"/>
          <w:sz w:val="32"/>
          <w:szCs w:val="32"/>
          <w14:textFill>
            <w14:solidFill>
              <w14:schemeClr w14:val="tx1"/>
            </w14:solidFill>
          </w14:textFill>
        </w:rPr>
        <w:t>公顷（为城东村城中村改造片区的幼儿园、村委会和邻里中心），拟征地面积40.8435公顷，计划实施周期为</w:t>
      </w:r>
      <w:r>
        <w:rPr>
          <w:rFonts w:ascii="仿宋_GB2312" w:hAnsi="仿宋_GB2312" w:eastAsia="仿宋_GB2312" w:cs="仿宋_GB2312"/>
          <w:bCs/>
          <w:color w:val="000000" w:themeColor="text1"/>
          <w:spacing w:val="-8"/>
          <w:sz w:val="32"/>
          <w:szCs w:val="32"/>
          <w14:textFill>
            <w14:solidFill>
              <w14:schemeClr w14:val="tx1"/>
            </w14:solidFill>
          </w14:textFill>
        </w:rPr>
        <w:t>3</w:t>
      </w:r>
      <w:r>
        <w:rPr>
          <w:rFonts w:hint="eastAsia" w:ascii="仿宋_GB2312" w:hAnsi="仿宋_GB2312" w:eastAsia="仿宋_GB2312" w:cs="仿宋_GB2312"/>
          <w:bCs/>
          <w:color w:val="000000" w:themeColor="text1"/>
          <w:spacing w:val="-8"/>
          <w:sz w:val="32"/>
          <w:szCs w:val="32"/>
          <w14:textFill>
            <w14:solidFill>
              <w14:schemeClr w14:val="tx1"/>
            </w14:solidFill>
          </w14:textFill>
        </w:rPr>
        <w:t>年，即到2023年年底完成所有片区涉及的土地征收工作。</w:t>
      </w:r>
    </w:p>
    <w:p>
      <w:pPr>
        <w:ind w:firstLine="608" w:firstLineChars="200"/>
        <w:rPr>
          <w:rFonts w:ascii="仿宋_GB2312" w:hAnsi="仿宋_GB2312" w:eastAsia="仿宋_GB2312" w:cs="仿宋_GB2312"/>
          <w:bCs/>
          <w:color w:val="000000" w:themeColor="text1"/>
          <w:spacing w:val="-8"/>
          <w:sz w:val="32"/>
          <w:szCs w:val="32"/>
          <w14:textFill>
            <w14:solidFill>
              <w14:schemeClr w14:val="tx1"/>
            </w14:solidFill>
          </w14:textFill>
        </w:rPr>
      </w:pPr>
      <w:bookmarkStart w:id="77" w:name="_Toc28279_WPSOffice_Level2"/>
      <w:r>
        <w:rPr>
          <w:rFonts w:hint="eastAsia" w:ascii="仿宋_GB2312" w:hAnsi="仿宋_GB2312" w:eastAsia="仿宋_GB2312" w:cs="仿宋_GB2312"/>
          <w:bCs/>
          <w:color w:val="000000" w:themeColor="text1"/>
          <w:spacing w:val="-8"/>
          <w:sz w:val="32"/>
          <w:szCs w:val="32"/>
          <w14:textFill>
            <w14:solidFill>
              <w14:schemeClr w14:val="tx1"/>
            </w14:solidFill>
          </w14:textFill>
        </w:rPr>
        <w:t>（一）2021年实施计划</w:t>
      </w:r>
      <w:bookmarkEnd w:id="77"/>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2021年，实施长旺村开发片区土地征收工作，涉及地块</w:t>
      </w:r>
      <w:r>
        <w:rPr>
          <w:rFonts w:ascii="仿宋_GB2312" w:hAnsi="仿宋_GB2312" w:eastAsia="仿宋_GB2312" w:cs="仿宋_GB2312"/>
          <w:bCs/>
          <w:color w:val="000000" w:themeColor="text1"/>
          <w:spacing w:val="-8"/>
          <w:sz w:val="32"/>
          <w:szCs w:val="32"/>
          <w14:textFill>
            <w14:solidFill>
              <w14:schemeClr w14:val="tx1"/>
            </w14:solidFill>
          </w14:textFill>
        </w:rPr>
        <w:t>3</w:t>
      </w:r>
      <w:r>
        <w:rPr>
          <w:rFonts w:hint="eastAsia" w:ascii="仿宋_GB2312" w:hAnsi="仿宋_GB2312" w:eastAsia="仿宋_GB2312" w:cs="仿宋_GB2312"/>
          <w:bCs/>
          <w:color w:val="000000" w:themeColor="text1"/>
          <w:spacing w:val="-8"/>
          <w:sz w:val="32"/>
          <w:szCs w:val="32"/>
          <w14:textFill>
            <w14:solidFill>
              <w14:schemeClr w14:val="tx1"/>
            </w14:solidFill>
          </w14:textFill>
        </w:rPr>
        <w:t>，拟完成土地征收2.1976公顷，占总征收面积的5.38%。规划建设项目为住宅小区。长旺村开发片区为采用承诺纳入土地征收成片开发方案方式申请实施土地征收的用地，已于2021年7月取得河北省人民政府建设用地批复文件（冀政挂钩转征函〔2021〕104号）。</w:t>
      </w:r>
    </w:p>
    <w:p>
      <w:pPr>
        <w:ind w:firstLine="608" w:firstLineChars="200"/>
        <w:rPr>
          <w:rFonts w:ascii="仿宋_GB2312" w:hAnsi="仿宋_GB2312" w:eastAsia="仿宋_GB2312" w:cs="仿宋_GB2312"/>
          <w:bCs/>
          <w:color w:val="000000" w:themeColor="text1"/>
          <w:spacing w:val="-8"/>
          <w:sz w:val="32"/>
          <w:szCs w:val="32"/>
          <w14:textFill>
            <w14:solidFill>
              <w14:schemeClr w14:val="tx1"/>
            </w14:solidFill>
          </w14:textFill>
        </w:rPr>
      </w:pPr>
      <w:bookmarkStart w:id="78" w:name="_Toc28144_WPSOffice_Level2"/>
      <w:bookmarkStart w:id="79" w:name="_Toc11677_WPSOffice_Level2"/>
      <w:r>
        <w:rPr>
          <w:rFonts w:hint="eastAsia" w:ascii="仿宋_GB2312" w:hAnsi="仿宋_GB2312" w:eastAsia="仿宋_GB2312" w:cs="仿宋_GB2312"/>
          <w:bCs/>
          <w:color w:val="000000" w:themeColor="text1"/>
          <w:spacing w:val="-8"/>
          <w:sz w:val="32"/>
          <w:szCs w:val="32"/>
          <w14:textFill>
            <w14:solidFill>
              <w14:schemeClr w14:val="tx1"/>
            </w14:solidFill>
          </w14:textFill>
        </w:rPr>
        <w:t>（二）2022年实施计划</w:t>
      </w:r>
      <w:bookmarkEnd w:id="78"/>
      <w:bookmarkEnd w:id="79"/>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2022年，拟实施新兴产业园片区和轨道交通产业园片区的土地征收工作，涉及地块</w:t>
      </w:r>
      <w:r>
        <w:rPr>
          <w:rFonts w:ascii="仿宋_GB2312" w:hAnsi="仿宋_GB2312" w:eastAsia="仿宋_GB2312" w:cs="仿宋_GB2312"/>
          <w:bCs/>
          <w:color w:val="000000" w:themeColor="text1"/>
          <w:spacing w:val="-8"/>
          <w:sz w:val="32"/>
          <w:szCs w:val="32"/>
          <w14:textFill>
            <w14:solidFill>
              <w14:schemeClr w14:val="tx1"/>
            </w14:solidFill>
          </w14:textFill>
        </w:rPr>
        <w:t>4</w:t>
      </w:r>
      <w:r>
        <w:rPr>
          <w:rFonts w:hint="eastAsia" w:ascii="仿宋_GB2312" w:hAnsi="仿宋_GB2312" w:eastAsia="仿宋_GB2312" w:cs="仿宋_GB2312"/>
          <w:bCs/>
          <w:color w:val="000000" w:themeColor="text1"/>
          <w:spacing w:val="-8"/>
          <w:sz w:val="32"/>
          <w:szCs w:val="32"/>
          <w14:textFill>
            <w14:solidFill>
              <w14:schemeClr w14:val="tx1"/>
            </w14:solidFill>
          </w14:textFill>
        </w:rPr>
        <w:t>、地块</w:t>
      </w:r>
      <w:r>
        <w:rPr>
          <w:rFonts w:ascii="仿宋_GB2312" w:hAnsi="仿宋_GB2312" w:eastAsia="仿宋_GB2312" w:cs="仿宋_GB2312"/>
          <w:bCs/>
          <w:color w:val="000000" w:themeColor="text1"/>
          <w:spacing w:val="-8"/>
          <w:sz w:val="32"/>
          <w:szCs w:val="32"/>
          <w14:textFill>
            <w14:solidFill>
              <w14:schemeClr w14:val="tx1"/>
            </w14:solidFill>
          </w14:textFill>
        </w:rPr>
        <w:t>5</w:t>
      </w:r>
      <w:r>
        <w:rPr>
          <w:rFonts w:hint="eastAsia" w:ascii="仿宋_GB2312" w:hAnsi="仿宋_GB2312" w:eastAsia="仿宋_GB2312" w:cs="仿宋_GB2312"/>
          <w:bCs/>
          <w:color w:val="000000" w:themeColor="text1"/>
          <w:spacing w:val="-8"/>
          <w:sz w:val="32"/>
          <w:szCs w:val="32"/>
          <w14:textFill>
            <w14:solidFill>
              <w14:schemeClr w14:val="tx1"/>
            </w14:solidFill>
          </w14:textFill>
        </w:rPr>
        <w:t>、地块</w:t>
      </w:r>
      <w:r>
        <w:rPr>
          <w:rFonts w:ascii="仿宋_GB2312" w:hAnsi="仿宋_GB2312" w:eastAsia="仿宋_GB2312" w:cs="仿宋_GB2312"/>
          <w:bCs/>
          <w:color w:val="000000" w:themeColor="text1"/>
          <w:spacing w:val="-8"/>
          <w:sz w:val="32"/>
          <w:szCs w:val="32"/>
          <w14:textFill>
            <w14:solidFill>
              <w14:schemeClr w14:val="tx1"/>
            </w14:solidFill>
          </w14:textFill>
        </w:rPr>
        <w:t>6</w:t>
      </w:r>
      <w:r>
        <w:rPr>
          <w:rFonts w:hint="eastAsia" w:ascii="仿宋_GB2312" w:hAnsi="仿宋_GB2312" w:eastAsia="仿宋_GB2312" w:cs="仿宋_GB2312"/>
          <w:bCs/>
          <w:color w:val="000000" w:themeColor="text1"/>
          <w:spacing w:val="-8"/>
          <w:sz w:val="32"/>
          <w:szCs w:val="32"/>
          <w14:textFill>
            <w14:solidFill>
              <w14:schemeClr w14:val="tx1"/>
            </w14:solidFill>
          </w14:textFill>
        </w:rPr>
        <w:t>，拟完成土地征收14.3495公顷，占总征收面积的35.13%。规划建设项目为工业企业、住宅小区、城镇道路、商业、防护绿地。</w:t>
      </w:r>
    </w:p>
    <w:p>
      <w:pPr>
        <w:ind w:firstLine="608" w:firstLineChars="200"/>
        <w:rPr>
          <w:rFonts w:ascii="仿宋_GB2312" w:hAnsi="仿宋_GB2312" w:eastAsia="仿宋_GB2312" w:cs="仿宋_GB2312"/>
          <w:bCs/>
          <w:color w:val="000000" w:themeColor="text1"/>
          <w:spacing w:val="-8"/>
          <w:sz w:val="32"/>
          <w:szCs w:val="32"/>
          <w14:textFill>
            <w14:solidFill>
              <w14:schemeClr w14:val="tx1"/>
            </w14:solidFill>
          </w14:textFill>
        </w:rPr>
      </w:pPr>
      <w:bookmarkStart w:id="80" w:name="_Toc13644_WPSOffice_Level2"/>
      <w:bookmarkStart w:id="81" w:name="_Toc16222_WPSOffice_Level2"/>
      <w:r>
        <w:rPr>
          <w:rFonts w:hint="eastAsia" w:ascii="仿宋_GB2312" w:hAnsi="仿宋_GB2312" w:eastAsia="仿宋_GB2312" w:cs="仿宋_GB2312"/>
          <w:bCs/>
          <w:color w:val="000000" w:themeColor="text1"/>
          <w:spacing w:val="-8"/>
          <w:sz w:val="32"/>
          <w:szCs w:val="32"/>
          <w14:textFill>
            <w14:solidFill>
              <w14:schemeClr w14:val="tx1"/>
            </w14:solidFill>
          </w14:textFill>
        </w:rPr>
        <w:t>（三）2023年实施计划</w:t>
      </w:r>
      <w:bookmarkEnd w:id="80"/>
      <w:bookmarkEnd w:id="81"/>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2023年，拟实施城东村城中村改造片区的土地征收工作，涉及地块</w:t>
      </w:r>
      <w:r>
        <w:rPr>
          <w:rFonts w:ascii="仿宋_GB2312" w:hAnsi="仿宋_GB2312" w:eastAsia="仿宋_GB2312" w:cs="仿宋_GB2312"/>
          <w:bCs/>
          <w:color w:val="000000" w:themeColor="text1"/>
          <w:spacing w:val="-8"/>
          <w:sz w:val="32"/>
          <w:szCs w:val="32"/>
          <w14:textFill>
            <w14:solidFill>
              <w14:schemeClr w14:val="tx1"/>
            </w14:solidFill>
          </w14:textFill>
        </w:rPr>
        <w:t>1</w:t>
      </w:r>
      <w:r>
        <w:rPr>
          <w:rFonts w:hint="eastAsia" w:ascii="仿宋_GB2312" w:hAnsi="仿宋_GB2312" w:eastAsia="仿宋_GB2312" w:cs="仿宋_GB2312"/>
          <w:bCs/>
          <w:color w:val="000000" w:themeColor="text1"/>
          <w:spacing w:val="-8"/>
          <w:sz w:val="32"/>
          <w:szCs w:val="32"/>
          <w14:textFill>
            <w14:solidFill>
              <w14:schemeClr w14:val="tx1"/>
            </w14:solidFill>
          </w14:textFill>
        </w:rPr>
        <w:t>、地块</w:t>
      </w:r>
      <w:r>
        <w:rPr>
          <w:rFonts w:ascii="仿宋_GB2312" w:hAnsi="仿宋_GB2312" w:eastAsia="仿宋_GB2312" w:cs="仿宋_GB2312"/>
          <w:bCs/>
          <w:color w:val="000000" w:themeColor="text1"/>
          <w:spacing w:val="-8"/>
          <w:sz w:val="32"/>
          <w:szCs w:val="32"/>
          <w14:textFill>
            <w14:solidFill>
              <w14:schemeClr w14:val="tx1"/>
            </w14:solidFill>
          </w14:textFill>
        </w:rPr>
        <w:t>2</w:t>
      </w:r>
      <w:r>
        <w:rPr>
          <w:rFonts w:hint="eastAsia" w:ascii="仿宋_GB2312" w:hAnsi="仿宋_GB2312" w:eastAsia="仿宋_GB2312" w:cs="仿宋_GB2312"/>
          <w:bCs/>
          <w:color w:val="000000" w:themeColor="text1"/>
          <w:spacing w:val="-8"/>
          <w:sz w:val="32"/>
          <w:szCs w:val="32"/>
          <w14:textFill>
            <w14:solidFill>
              <w14:schemeClr w14:val="tx1"/>
            </w14:solidFill>
          </w14:textFill>
        </w:rPr>
        <w:t>，拟完成土地征收24.2964公顷，占总征收面积的59.49%。规划建设项目为住宅小区（商业开发、城中村改造安置房）、配套服务设施、公园绿地、城市道路、停车场。</w:t>
      </w:r>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成片开发地块建设项目及开发时序，详见表5-1。</w:t>
      </w:r>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p>
    <w:p>
      <w:pPr>
        <w:spacing w:line="560" w:lineRule="exact"/>
        <w:jc w:val="center"/>
        <w:rPr>
          <w:rFonts w:ascii="黑体" w:hAnsi="黑体" w:eastAsia="黑体" w:cs="黑体"/>
          <w:bCs/>
          <w:color w:val="000000" w:themeColor="text1"/>
          <w:spacing w:val="-8"/>
          <w:sz w:val="30"/>
          <w:szCs w:val="30"/>
          <w14:textFill>
            <w14:solidFill>
              <w14:schemeClr w14:val="tx1"/>
            </w14:solidFill>
          </w14:textFill>
        </w:rPr>
      </w:pPr>
      <w:r>
        <w:rPr>
          <w:rFonts w:hint="eastAsia" w:ascii="黑体" w:hAnsi="黑体" w:eastAsia="黑体" w:cs="黑体"/>
          <w:bCs/>
          <w:color w:val="000000" w:themeColor="text1"/>
          <w:spacing w:val="-8"/>
          <w:sz w:val="30"/>
          <w:szCs w:val="30"/>
          <w14:textFill>
            <w14:solidFill>
              <w14:schemeClr w14:val="tx1"/>
            </w14:solidFill>
          </w14:textFill>
        </w:rPr>
        <w:t>表5-1  成片开发地块建设项目及开发时序一览表</w:t>
      </w:r>
    </w:p>
    <w:p>
      <w:pPr>
        <w:spacing w:line="560" w:lineRule="exact"/>
        <w:jc w:val="center"/>
        <w:rPr>
          <w:rFonts w:ascii="仿宋_GB2312" w:hAnsi="仿宋_GB2312" w:eastAsia="仿宋_GB2312" w:cs="仿宋_GB2312"/>
          <w:color w:val="000000" w:themeColor="text1"/>
          <w:kern w:val="0"/>
          <w:sz w:val="24"/>
          <w14:textFill>
            <w14:solidFill>
              <w14:schemeClr w14:val="tx1"/>
            </w14:solidFill>
          </w14:textFill>
        </w:rPr>
      </w:pPr>
      <w:bookmarkStart w:id="82" w:name="_Toc27962_WPSOffice_Level2"/>
      <w:bookmarkStart w:id="83" w:name="_Toc5550_WPSOffice_Level2"/>
      <w:r>
        <w:rPr>
          <w:rFonts w:hint="eastAsia" w:ascii="仿宋_GB2312" w:hAnsi="仿宋_GB2312" w:eastAsia="仿宋_GB2312" w:cs="仿宋_GB2312"/>
          <w:color w:val="000000" w:themeColor="text1"/>
          <w:kern w:val="0"/>
          <w:sz w:val="24"/>
          <w14:textFill>
            <w14:solidFill>
              <w14:schemeClr w14:val="tx1"/>
            </w14:solidFill>
          </w14:textFill>
        </w:rPr>
        <w:t>单位：公顷、%</w:t>
      </w:r>
      <w:bookmarkEnd w:id="82"/>
      <w:bookmarkEnd w:id="83"/>
    </w:p>
    <w:tbl>
      <w:tblPr>
        <w:tblStyle w:val="23"/>
        <w:tblW w:w="8704"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46"/>
        <w:gridCol w:w="2316"/>
        <w:gridCol w:w="1142"/>
        <w:gridCol w:w="134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片区名称</w:t>
            </w:r>
          </w:p>
        </w:tc>
        <w:tc>
          <w:tcPr>
            <w:tcW w:w="1146"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拟征地块名称</w:t>
            </w:r>
          </w:p>
        </w:tc>
        <w:tc>
          <w:tcPr>
            <w:tcW w:w="2316"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规划建设项目</w:t>
            </w:r>
          </w:p>
        </w:tc>
        <w:tc>
          <w:tcPr>
            <w:tcW w:w="1142"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实施时序</w:t>
            </w:r>
          </w:p>
        </w:tc>
        <w:tc>
          <w:tcPr>
            <w:tcW w:w="1342"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拟征地面积</w:t>
            </w:r>
          </w:p>
        </w:tc>
        <w:tc>
          <w:tcPr>
            <w:tcW w:w="1062"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城东村</w:t>
            </w:r>
          </w:p>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城中村改造片区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地块1</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住宅小区及配套服务设施、道路</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2023</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15.3434</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地块2</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住宅小区、道路、</w:t>
            </w:r>
          </w:p>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公园绿地、停车场</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2023</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8.9530</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4604" w:type="dxa"/>
            <w:gridSpan w:val="3"/>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小计</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24.2964</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长旺村开发片区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地块3</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2021</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2.1976</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新兴产业园片区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地块4</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工业企业、道路</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2022</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4.4718</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地块5</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工业企业</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2022</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3.2285</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4604" w:type="dxa"/>
            <w:gridSpan w:val="3"/>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小计</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7.7003</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轨道交通</w:t>
            </w:r>
          </w:p>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产业园片区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地块6</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住宅小区、工业企业、道路、商业、绿地</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2022</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6.6492</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gridSpan w:val="4"/>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总计</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40.8435</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100.00</w:t>
            </w:r>
          </w:p>
        </w:tc>
      </w:tr>
    </w:tbl>
    <w:p>
      <w:pPr>
        <w:spacing w:line="570" w:lineRule="exact"/>
        <w:ind w:firstLine="611" w:firstLineChars="200"/>
      </w:pPr>
      <w:r>
        <w:rPr>
          <w:rFonts w:hint="eastAsia" w:ascii="仿宋_GB2312" w:hAnsi="仿宋" w:eastAsia="仿宋_GB2312" w:cs="仿宋"/>
          <w:b/>
          <w:spacing w:val="-8"/>
          <w:sz w:val="32"/>
          <w:szCs w:val="32"/>
        </w:rPr>
        <w:t>努力打造品质之城。</w:t>
      </w:r>
      <w:r>
        <w:rPr>
          <w:rFonts w:hint="eastAsia" w:ascii="仿宋_GB2312" w:hAnsi="仿宋_GB2312" w:eastAsia="仿宋_GB2312" w:cs="仿宋_GB2312"/>
          <w:bCs/>
          <w:spacing w:val="-8"/>
          <w:sz w:val="32"/>
          <w:szCs w:val="32"/>
        </w:rPr>
        <w:t>加速推进城东村、北庄村、大赛村棚户区改造。以“打造城市新地标、完善城市新功能”为目标，全力推动“六馆一中心”建设，统筹推进数字城市、智慧城市、海绵城市建设，从抓牢“两城三微五宜”（人民城市人民建、人民城市为人民；楼栋微整治、空间微改造、景观微更新；宜居、宜业、宜创、宜乐、宜游）入手，加快城市更新和微改造，实施“标志提升”行动，集中建设一批标志性路段、街区、建筑，用绣花功夫为城市“美颜”。全面取缔马路市场、外溢市场，店外经营退市还路，绿色停车更加规范。持续开展“双违”和“一区三边”专项整治，全面提升全区视域美感。推进智慧城市建设，加强与阿里合作，挂牌成立城市大脑运营指挥中心，探索“智慧政务”“智慧社区”等方面的应用，实现数字城管向智慧城管升级跨越，提升城市精细化管理水平，为实现品质之城做好基础保障。</w:t>
      </w:r>
    </w:p>
    <w:p>
      <w:pPr>
        <w:pStyle w:val="4"/>
        <w:spacing w:before="0" w:after="0" w:line="570" w:lineRule="exact"/>
        <w:jc w:val="center"/>
        <w:rPr>
          <w:rFonts w:ascii="黑体" w:hAnsi="Times New Roman"/>
          <w:b w:val="0"/>
          <w:spacing w:val="-8"/>
          <w:kern w:val="2"/>
          <w:szCs w:val="32"/>
        </w:rPr>
      </w:pPr>
      <w:bookmarkStart w:id="84" w:name="_Toc63009746"/>
      <w:bookmarkStart w:id="85" w:name="_Toc26762"/>
      <w:r>
        <w:rPr>
          <w:rFonts w:hint="eastAsia" w:ascii="黑体" w:hAnsi="Times New Roman"/>
          <w:b w:val="0"/>
          <w:spacing w:val="-8"/>
          <w:kern w:val="2"/>
          <w:szCs w:val="32"/>
        </w:rPr>
        <w:t>第二节加快发展重点特色城镇</w:t>
      </w:r>
      <w:bookmarkEnd w:id="84"/>
      <w:bookmarkEnd w:id="85"/>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spacing w:val="-8"/>
          <w:sz w:val="32"/>
          <w:szCs w:val="32"/>
        </w:rPr>
        <w:t>提升优化休闲农业特色小镇。</w:t>
      </w:r>
      <w:r>
        <w:rPr>
          <w:rFonts w:hint="eastAsia" w:ascii="仿宋_GB2312" w:eastAsia="仿宋_GB2312"/>
          <w:spacing w:val="-8"/>
          <w:sz w:val="32"/>
          <w:szCs w:val="32"/>
        </w:rPr>
        <w:t>以产业为支撑，推动人口集聚，促进产业集聚区（村、园）向集产、城、人、文于一体的特色小镇转变，打造形成一批以传统优势特色产业为主题，生产、生活、生态相融合，宜业宜居宜游宜创的传统优势产业特色小镇。谋划建设柿子沟民宿小镇、沃土莓乡特色小镇、庞村草莓小镇、南韩村镇万亩葡萄园等一批以特色农业为主题、多产业融合发展、宜农宜游宜居的现代化特色农业小镇。</w:t>
      </w:r>
    </w:p>
    <w:p>
      <w:pPr>
        <w:pStyle w:val="19"/>
        <w:spacing w:line="570" w:lineRule="exact"/>
        <w:ind w:left="0" w:leftChars="0" w:firstLine="595" w:firstLineChars="200"/>
        <w:rPr>
          <w:rFonts w:ascii="仿宋_GB2312" w:hAnsi="仿宋_GB2312" w:eastAsia="仿宋_GB2312" w:cs="仿宋_GB2312"/>
          <w:b/>
          <w:spacing w:val="-12"/>
          <w:sz w:val="32"/>
          <w:szCs w:val="32"/>
        </w:rPr>
      </w:pPr>
      <w:r>
        <w:rPr>
          <w:rFonts w:hint="eastAsia" w:ascii="仿宋_GB2312" w:hAnsi="仿宋" w:eastAsia="仿宋_GB2312" w:cs="仿宋"/>
          <w:b/>
          <w:spacing w:val="-12"/>
          <w:sz w:val="32"/>
          <w:szCs w:val="32"/>
        </w:rPr>
        <w:t>延伸发展资源主导型特色小镇。</w:t>
      </w:r>
      <w:r>
        <w:rPr>
          <w:rFonts w:hint="eastAsia" w:ascii="仿宋_GB2312" w:eastAsia="仿宋_GB2312"/>
          <w:spacing w:val="-12"/>
          <w:sz w:val="32"/>
          <w:szCs w:val="32"/>
        </w:rPr>
        <w:t>依托生态资源、自然资源，充分挖掘汉墓景区、金缕玉衣、诗词文化等历史文化资源，着力打造一批集休闲、观光、度假、体验、养生、养老、医疗、健康及文化传承与保护等于一体，充满人文和生活气息，生态优美、宜游宜居的综合型文旅特色小镇。“十四五”期间谋划建设秀兰康养小镇、体育康养小镇、恒农坡特色康养小镇，打造集康复养老、体育运动、休闲娱乐、旅游居住等一体的功能齐全的特色小镇。</w:t>
      </w:r>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spacing w:val="-8"/>
          <w:sz w:val="32"/>
          <w:szCs w:val="32"/>
        </w:rPr>
        <w:t>积极培育创新产业特色小镇。</w:t>
      </w:r>
      <w:r>
        <w:rPr>
          <w:rFonts w:hint="eastAsia" w:ascii="仿宋_GB2312" w:eastAsia="仿宋_GB2312"/>
          <w:spacing w:val="-8"/>
          <w:sz w:val="32"/>
          <w:szCs w:val="32"/>
        </w:rPr>
        <w:t>依托轨道交通产业园、纸制品园区等特色产业园区，按照生产、生活、生态“三生”融合的发展理念，规划建设一批集产、城、人、文于一体，产业与人口“双聚集”，宜业宜居宜游宜创的新兴产业特色小镇。“十四五”期间，依托</w:t>
      </w:r>
      <w:r>
        <w:rPr>
          <w:rFonts w:hint="eastAsia" w:ascii="仿宋_GB2312" w:eastAsia="仿宋_GB2312"/>
          <w:bCs/>
          <w:spacing w:val="-8"/>
          <w:sz w:val="32"/>
          <w:szCs w:val="32"/>
        </w:rPr>
        <w:t>纸制品产业园打造</w:t>
      </w:r>
      <w:r>
        <w:rPr>
          <w:rFonts w:hint="eastAsia" w:ascii="仿宋_GB2312" w:eastAsia="仿宋_GB2312"/>
          <w:spacing w:val="-8"/>
          <w:sz w:val="32"/>
          <w:szCs w:val="32"/>
        </w:rPr>
        <w:t>生活用纸小镇；</w:t>
      </w:r>
      <w:r>
        <w:rPr>
          <w:rFonts w:hint="eastAsia" w:ascii="仿宋_GB2312" w:eastAsia="仿宋_GB2312"/>
          <w:bCs/>
          <w:spacing w:val="-8"/>
          <w:sz w:val="32"/>
          <w:szCs w:val="32"/>
        </w:rPr>
        <w:t>依托轨道交通产业园打造</w:t>
      </w:r>
      <w:r>
        <w:rPr>
          <w:rFonts w:hint="eastAsia" w:ascii="仿宋_GB2312" w:eastAsia="仿宋_GB2312"/>
          <w:spacing w:val="-8"/>
          <w:sz w:val="32"/>
          <w:szCs w:val="32"/>
        </w:rPr>
        <w:t>轨道交通产业小镇和电力电气小镇；</w:t>
      </w:r>
      <w:r>
        <w:rPr>
          <w:rFonts w:hint="eastAsia" w:ascii="仿宋_GB2312" w:eastAsia="仿宋_GB2312"/>
          <w:bCs/>
          <w:spacing w:val="-8"/>
          <w:sz w:val="32"/>
          <w:szCs w:val="32"/>
        </w:rPr>
        <w:t>依托通用机场培训基地建设</w:t>
      </w:r>
      <w:r>
        <w:rPr>
          <w:rFonts w:hint="eastAsia" w:ascii="仿宋_GB2312" w:eastAsia="仿宋_GB2312"/>
          <w:spacing w:val="-8"/>
          <w:sz w:val="32"/>
          <w:szCs w:val="32"/>
        </w:rPr>
        <w:t>通用航空小镇。</w:t>
      </w:r>
    </w:p>
    <w:p>
      <w:pPr>
        <w:pStyle w:val="4"/>
        <w:spacing w:before="0" w:after="0" w:line="570" w:lineRule="exact"/>
        <w:jc w:val="center"/>
        <w:rPr>
          <w:rFonts w:ascii="黑体" w:hAnsi="Times New Roman"/>
          <w:b w:val="0"/>
          <w:spacing w:val="-8"/>
          <w:kern w:val="2"/>
          <w:szCs w:val="32"/>
        </w:rPr>
      </w:pPr>
      <w:bookmarkStart w:id="86" w:name="_Toc63009747"/>
      <w:bookmarkStart w:id="87" w:name="_Toc16922"/>
      <w:r>
        <w:rPr>
          <w:rFonts w:hint="eastAsia" w:ascii="黑体" w:hAnsi="Times New Roman"/>
          <w:b w:val="0"/>
          <w:spacing w:val="-8"/>
          <w:kern w:val="2"/>
          <w:szCs w:val="32"/>
        </w:rPr>
        <w:t>第三节加快促进乡村振兴发展</w:t>
      </w:r>
      <w:bookmarkEnd w:id="86"/>
      <w:bookmarkEnd w:id="87"/>
    </w:p>
    <w:p>
      <w:pPr>
        <w:spacing w:line="570" w:lineRule="exact"/>
        <w:ind w:firstLine="608" w:firstLineChars="200"/>
        <w:rPr>
          <w:rFonts w:ascii="仿宋_GB2312" w:eastAsia="仿宋_GB2312"/>
          <w:spacing w:val="-8"/>
          <w:sz w:val="32"/>
          <w:szCs w:val="32"/>
        </w:rPr>
      </w:pPr>
      <w:r>
        <w:rPr>
          <w:rFonts w:hint="eastAsia" w:ascii="仿宋_GB2312" w:eastAsia="仿宋_GB2312"/>
          <w:spacing w:val="-8"/>
          <w:sz w:val="32"/>
          <w:szCs w:val="32"/>
        </w:rPr>
        <w:t>聚力乡村振兴求实效。围绕“产业兴旺、生态宜居、乡风文明、治理有效、生活富裕”总目标，不断深化农村改革，补齐基础短板，做强农业产业。</w:t>
      </w:r>
    </w:p>
    <w:p>
      <w:pPr>
        <w:spacing w:line="570" w:lineRule="exact"/>
        <w:ind w:firstLine="603" w:firstLineChars="200"/>
        <w:rPr>
          <w:rFonts w:ascii="仿宋_GB2312" w:eastAsia="仿宋_GB2312"/>
          <w:spacing w:val="-10"/>
          <w:sz w:val="32"/>
          <w:szCs w:val="32"/>
        </w:rPr>
      </w:pPr>
      <w:r>
        <w:rPr>
          <w:rFonts w:hint="eastAsia" w:ascii="仿宋_GB2312" w:hAnsi="仿宋" w:eastAsia="仿宋_GB2312" w:cs="仿宋"/>
          <w:b/>
          <w:bCs/>
          <w:spacing w:val="-10"/>
          <w:sz w:val="32"/>
          <w:szCs w:val="32"/>
        </w:rPr>
        <w:t>多点发力，推进乡村振兴。</w:t>
      </w:r>
      <w:r>
        <w:rPr>
          <w:rFonts w:hint="eastAsia" w:ascii="仿宋_GB2312" w:eastAsia="仿宋_GB2312"/>
          <w:spacing w:val="-10"/>
          <w:sz w:val="32"/>
          <w:szCs w:val="32"/>
        </w:rPr>
        <w:t>强化城乡协调发展理念，推进公共财政向农村倾斜，基础设施向农村延伸，逐步实现城乡公共服务均衡发展。深入实施农村人居环境整治行动，开展美丽庭院创建活动，扎实做好农村垃圾清理，完成垃圾减量化处理设施建设，稳步实施规模化集中供水和污水处理，打造优美宜居环境。完成农村电网补强工程，提高供电质量。按照每年不少于</w:t>
      </w:r>
      <w:r>
        <w:rPr>
          <w:rFonts w:ascii="仿宋_GB2312" w:eastAsia="仿宋_GB2312"/>
          <w:spacing w:val="-10"/>
          <w:sz w:val="32"/>
          <w:szCs w:val="32"/>
        </w:rPr>
        <w:t>30</w:t>
      </w:r>
      <w:r>
        <w:rPr>
          <w:rFonts w:hint="eastAsia" w:ascii="仿宋_GB2312" w:eastAsia="仿宋_GB2312"/>
          <w:spacing w:val="-10"/>
          <w:sz w:val="32"/>
          <w:szCs w:val="32"/>
        </w:rPr>
        <w:t>公里、路宽不低于</w:t>
      </w:r>
      <w:r>
        <w:rPr>
          <w:rFonts w:ascii="仿宋_GB2312" w:eastAsia="仿宋_GB2312"/>
          <w:spacing w:val="-10"/>
          <w:sz w:val="32"/>
          <w:szCs w:val="32"/>
        </w:rPr>
        <w:t>5</w:t>
      </w:r>
      <w:r>
        <w:rPr>
          <w:rFonts w:hint="eastAsia" w:ascii="仿宋_GB2312" w:eastAsia="仿宋_GB2312"/>
          <w:spacing w:val="-10"/>
          <w:sz w:val="32"/>
          <w:szCs w:val="32"/>
        </w:rPr>
        <w:t>米的标准，加快“四好农村公路”建设。完成基本农田及水利设施建设，铺设引水管道</w:t>
      </w:r>
      <w:r>
        <w:rPr>
          <w:rFonts w:ascii="仿宋_GB2312" w:eastAsia="仿宋_GB2312"/>
          <w:spacing w:val="-10"/>
          <w:sz w:val="32"/>
          <w:szCs w:val="32"/>
        </w:rPr>
        <w:t>42000</w:t>
      </w:r>
      <w:r>
        <w:rPr>
          <w:rFonts w:hint="eastAsia" w:ascii="仿宋_GB2312" w:eastAsia="仿宋_GB2312"/>
          <w:spacing w:val="-10"/>
          <w:sz w:val="32"/>
          <w:szCs w:val="32"/>
        </w:rPr>
        <w:t>米，修防渗渠</w:t>
      </w:r>
      <w:r>
        <w:rPr>
          <w:rFonts w:ascii="仿宋_GB2312" w:eastAsia="仿宋_GB2312"/>
          <w:spacing w:val="-10"/>
          <w:sz w:val="32"/>
          <w:szCs w:val="32"/>
        </w:rPr>
        <w:t>10000</w:t>
      </w:r>
      <w:r>
        <w:rPr>
          <w:rFonts w:hint="eastAsia" w:ascii="仿宋_GB2312" w:eastAsia="仿宋_GB2312"/>
          <w:spacing w:val="-10"/>
          <w:sz w:val="32"/>
          <w:szCs w:val="32"/>
        </w:rPr>
        <w:t>米，截潜流</w:t>
      </w:r>
      <w:r>
        <w:rPr>
          <w:rFonts w:ascii="仿宋_GB2312" w:eastAsia="仿宋_GB2312"/>
          <w:spacing w:val="-10"/>
          <w:sz w:val="32"/>
          <w:szCs w:val="32"/>
        </w:rPr>
        <w:t>12</w:t>
      </w:r>
      <w:r>
        <w:rPr>
          <w:rFonts w:hint="eastAsia" w:ascii="仿宋_GB2312" w:eastAsia="仿宋_GB2312"/>
          <w:spacing w:val="-10"/>
          <w:sz w:val="32"/>
          <w:szCs w:val="32"/>
        </w:rPr>
        <w:t>处，机井配套</w:t>
      </w:r>
      <w:r>
        <w:rPr>
          <w:rFonts w:ascii="仿宋_GB2312" w:eastAsia="仿宋_GB2312"/>
          <w:spacing w:val="-10"/>
          <w:sz w:val="32"/>
          <w:szCs w:val="32"/>
        </w:rPr>
        <w:t>80</w:t>
      </w:r>
      <w:r>
        <w:rPr>
          <w:rFonts w:hint="eastAsia" w:ascii="仿宋_GB2312" w:eastAsia="仿宋_GB2312"/>
          <w:spacing w:val="-10"/>
          <w:sz w:val="32"/>
          <w:szCs w:val="32"/>
        </w:rPr>
        <w:t>眼。保护古树古屋古村落，传承乡土文化，推进农村移风易俗，培育文明乡风、良好家风、淳朴民风。</w:t>
      </w:r>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bCs/>
          <w:spacing w:val="-8"/>
          <w:sz w:val="32"/>
          <w:szCs w:val="32"/>
        </w:rPr>
        <w:t>产业兴农，建设富裕乡村。</w:t>
      </w:r>
      <w:r>
        <w:rPr>
          <w:rFonts w:hint="eastAsia" w:ascii="仿宋_GB2312" w:eastAsia="仿宋_GB2312"/>
          <w:spacing w:val="-8"/>
          <w:sz w:val="32"/>
          <w:szCs w:val="32"/>
        </w:rPr>
        <w:t>深入实施农业供给侧结构性改革，大力发展科技农业、绿色农业、品牌农业、质量农业。建设高标准农田，稳定粮食产量，确保粮食安全。继续推进粮食果蔬合作社升级创建省级农民专业合作社。支持农业产业化龙头企业联手农民专业合作社、家庭农场组建农业产业化联合体，实行产销一体化经营，促进节本增效。加速“太行山农业创新驿站”科技成果转化，引进草莓新品种、新技术。实施农产品品牌创建工程和区域公共品牌培育工程，打造农产品区域品牌、企业品牌、特色品牌。大力扶持省级满城草莓现代农业园区和孙村沃土等市级现代农业园区提质增效，培育新型农业经营主体</w:t>
      </w:r>
      <w:r>
        <w:rPr>
          <w:rFonts w:ascii="仿宋_GB2312" w:eastAsia="仿宋_GB2312"/>
          <w:spacing w:val="-8"/>
          <w:sz w:val="32"/>
          <w:szCs w:val="32"/>
        </w:rPr>
        <w:t>5</w:t>
      </w:r>
      <w:r>
        <w:rPr>
          <w:rFonts w:hint="eastAsia" w:ascii="仿宋_GB2312" w:eastAsia="仿宋_GB2312"/>
          <w:spacing w:val="-8"/>
          <w:sz w:val="32"/>
          <w:szCs w:val="32"/>
        </w:rPr>
        <w:t>家以上。深化产学研合作，争取新增农业科技创新平台、农业科技企业各</w:t>
      </w:r>
      <w:r>
        <w:rPr>
          <w:rFonts w:ascii="仿宋_GB2312" w:eastAsia="仿宋_GB2312"/>
          <w:spacing w:val="-8"/>
          <w:sz w:val="32"/>
          <w:szCs w:val="32"/>
        </w:rPr>
        <w:t>1</w:t>
      </w:r>
      <w:r>
        <w:rPr>
          <w:rFonts w:hint="eastAsia" w:ascii="仿宋_GB2312" w:eastAsia="仿宋_GB2312"/>
          <w:spacing w:val="-8"/>
          <w:sz w:val="32"/>
          <w:szCs w:val="32"/>
        </w:rPr>
        <w:t>家。</w:t>
      </w:r>
    </w:p>
    <w:p>
      <w:pPr>
        <w:spacing w:line="570" w:lineRule="exact"/>
        <w:ind w:firstLine="611" w:firstLineChars="200"/>
        <w:rPr>
          <w:rFonts w:ascii="仿宋_GB2312" w:eastAsia="仿宋_GB2312"/>
          <w:spacing w:val="-8"/>
          <w:sz w:val="32"/>
          <w:szCs w:val="32"/>
        </w:rPr>
      </w:pPr>
      <w:r>
        <w:rPr>
          <w:rFonts w:hint="eastAsia" w:ascii="仿宋_GB2312" w:hAnsi="宋体" w:eastAsia="仿宋_GB2312"/>
          <w:b/>
          <w:spacing w:val="-8"/>
          <w:sz w:val="32"/>
          <w:szCs w:val="32"/>
        </w:rPr>
        <w:t>建设绿色、美丽、优雅的城郊村</w:t>
      </w:r>
      <w:r>
        <w:rPr>
          <w:rFonts w:hint="eastAsia" w:ascii="仿宋_GB2312" w:hAnsi="宋体" w:eastAsia="仿宋_GB2312"/>
          <w:bCs/>
          <w:spacing w:val="-8"/>
          <w:sz w:val="32"/>
          <w:szCs w:val="32"/>
        </w:rPr>
        <w:t>，做大做精城郊农业品牌，</w:t>
      </w:r>
      <w:r>
        <w:rPr>
          <w:rFonts w:hint="eastAsia" w:ascii="仿宋_GB2312" w:eastAsia="仿宋_GB2312"/>
          <w:spacing w:val="-8"/>
          <w:sz w:val="32"/>
          <w:szCs w:val="32"/>
        </w:rPr>
        <w:t>持续释放“一城山水、满城文化”品牌影响力，积极开拓休闲度假、康养民宿、文化体验旅游大市场，借势推动农产品精深加工和高端农产品开发，加速实现一二三产业深度融合发展。做强优势主导果品产业，适度发展葡萄、樱桃、桃、苹果等果品观光采摘基地。推进智慧农业建设，扩展农业产业链条，发展农产品精深加工和“互联网</w:t>
      </w:r>
      <w:r>
        <w:rPr>
          <w:rFonts w:ascii="仿宋_GB2312" w:eastAsia="仿宋_GB2312"/>
          <w:spacing w:val="-8"/>
          <w:sz w:val="32"/>
          <w:szCs w:val="32"/>
        </w:rPr>
        <w:t>+</w:t>
      </w:r>
      <w:r>
        <w:rPr>
          <w:rFonts w:hint="eastAsia" w:ascii="仿宋_GB2312" w:eastAsia="仿宋_GB2312"/>
          <w:spacing w:val="-8"/>
          <w:sz w:val="32"/>
          <w:szCs w:val="32"/>
        </w:rPr>
        <w:t>农业”，多渠道增加农民收入。持续深化改革，补齐“三农”短板，努力让农业更有赚头，农村更有看头，农民的生活更有奔头。</w:t>
      </w:r>
    </w:p>
    <w:p>
      <w:pPr>
        <w:pStyle w:val="4"/>
        <w:spacing w:before="0" w:after="0" w:line="570" w:lineRule="exact"/>
        <w:jc w:val="center"/>
        <w:rPr>
          <w:rFonts w:ascii="黑体" w:hAnsi="Times New Roman"/>
          <w:b w:val="0"/>
          <w:spacing w:val="-8"/>
          <w:kern w:val="2"/>
          <w:szCs w:val="32"/>
        </w:rPr>
      </w:pPr>
      <w:bookmarkStart w:id="88" w:name="_Toc15699"/>
      <w:bookmarkStart w:id="89" w:name="_Toc63009748"/>
      <w:r>
        <w:rPr>
          <w:rFonts w:hint="eastAsia" w:ascii="黑体" w:hAnsi="Times New Roman"/>
          <w:b w:val="0"/>
          <w:spacing w:val="-8"/>
          <w:kern w:val="2"/>
          <w:szCs w:val="32"/>
        </w:rPr>
        <w:t>第四节高效打造现代特色农业</w:t>
      </w:r>
      <w:bookmarkEnd w:id="88"/>
      <w:bookmarkEnd w:id="89"/>
    </w:p>
    <w:p>
      <w:pPr>
        <w:pStyle w:val="19"/>
        <w:spacing w:line="570" w:lineRule="exact"/>
        <w:ind w:left="0" w:leftChars="0" w:firstLine="640"/>
        <w:rPr>
          <w:rFonts w:ascii="仿宋" w:hAnsi="仿宋" w:eastAsia="仿宋_GB2312" w:cs="仿宋"/>
          <w:b/>
          <w:bCs/>
          <w:spacing w:val="-8"/>
          <w:sz w:val="32"/>
          <w:szCs w:val="32"/>
        </w:rPr>
      </w:pPr>
      <w:r>
        <w:rPr>
          <w:rFonts w:hint="eastAsia" w:ascii="仿宋_GB2312" w:hAnsi="仿宋_GB2312" w:eastAsia="仿宋_GB2312" w:cs="仿宋_GB2312"/>
          <w:spacing w:val="-8"/>
          <w:kern w:val="21"/>
          <w:sz w:val="32"/>
          <w:szCs w:val="32"/>
        </w:rPr>
        <w:t>大力发展城郊农业、观光农业、体验农业、绿色农业，促进农业与餐饮、旅游、康养等业态的深度融合。</w:t>
      </w:r>
    </w:p>
    <w:p>
      <w:pPr>
        <w:pStyle w:val="19"/>
        <w:spacing w:line="570" w:lineRule="exact"/>
        <w:ind w:left="0" w:leftChars="0" w:firstLine="640"/>
        <w:rPr>
          <w:rFonts w:ascii="仿宋_GB2312" w:eastAsia="仿宋_GB2312" w:cs="仿宋_GB2312"/>
          <w:spacing w:val="-12"/>
          <w:sz w:val="32"/>
          <w:szCs w:val="32"/>
        </w:rPr>
      </w:pPr>
      <w:r>
        <w:rPr>
          <w:rFonts w:hint="eastAsia" w:ascii="仿宋_GB2312" w:hAnsi="仿宋" w:eastAsia="仿宋_GB2312" w:cs="仿宋"/>
          <w:b/>
          <w:bCs/>
          <w:spacing w:val="-12"/>
          <w:sz w:val="32"/>
          <w:szCs w:val="32"/>
        </w:rPr>
        <w:t>大力发展新型农业。</w:t>
      </w:r>
      <w:r>
        <w:rPr>
          <w:rFonts w:hint="eastAsia" w:ascii="仿宋_GB2312" w:eastAsia="仿宋_GB2312" w:cs="仿宋_GB2312"/>
          <w:spacing w:val="-12"/>
          <w:sz w:val="32"/>
          <w:szCs w:val="32"/>
        </w:rPr>
        <w:t>实施化肥农药等投入品零增长行动，主要作物化肥利用率达到</w:t>
      </w:r>
      <w:r>
        <w:rPr>
          <w:rFonts w:ascii="仿宋_GB2312" w:eastAsia="仿宋_GB2312" w:cs="仿宋_GB2312"/>
          <w:spacing w:val="-12"/>
          <w:sz w:val="32"/>
          <w:szCs w:val="32"/>
        </w:rPr>
        <w:t>40%</w:t>
      </w:r>
      <w:r>
        <w:rPr>
          <w:rFonts w:hint="eastAsia" w:ascii="仿宋_GB2312" w:eastAsia="仿宋_GB2312" w:cs="仿宋_GB2312"/>
          <w:spacing w:val="-12"/>
          <w:sz w:val="32"/>
          <w:szCs w:val="32"/>
        </w:rPr>
        <w:t>以上，测土配方施肥技术覆盖率达到</w:t>
      </w:r>
      <w:r>
        <w:rPr>
          <w:rFonts w:ascii="仿宋_GB2312" w:eastAsia="仿宋_GB2312" w:cs="仿宋_GB2312"/>
          <w:spacing w:val="-12"/>
          <w:sz w:val="32"/>
          <w:szCs w:val="32"/>
        </w:rPr>
        <w:t>90%</w:t>
      </w:r>
      <w:r>
        <w:rPr>
          <w:rFonts w:hint="eastAsia" w:ascii="仿宋_GB2312" w:eastAsia="仿宋_GB2312" w:cs="仿宋_GB2312"/>
          <w:spacing w:val="-12"/>
          <w:sz w:val="32"/>
          <w:szCs w:val="32"/>
        </w:rPr>
        <w:t>以上。实施农业废弃物综合利用行动，畜禽规模养殖场粪污处理设施配建率达</w:t>
      </w:r>
      <w:r>
        <w:rPr>
          <w:rFonts w:ascii="仿宋_GB2312" w:eastAsia="仿宋_GB2312" w:cs="仿宋_GB2312"/>
          <w:spacing w:val="-12"/>
          <w:sz w:val="32"/>
          <w:szCs w:val="32"/>
        </w:rPr>
        <w:t>100%</w:t>
      </w:r>
      <w:r>
        <w:rPr>
          <w:rFonts w:hint="eastAsia" w:ascii="仿宋_GB2312" w:eastAsia="仿宋_GB2312" w:cs="仿宋_GB2312"/>
          <w:spacing w:val="-12"/>
          <w:sz w:val="32"/>
          <w:szCs w:val="32"/>
        </w:rPr>
        <w:t>，畜禽粪污资源化利用率达到</w:t>
      </w:r>
      <w:r>
        <w:rPr>
          <w:rFonts w:ascii="仿宋_GB2312" w:eastAsia="仿宋_GB2312" w:cs="仿宋_GB2312"/>
          <w:spacing w:val="-12"/>
          <w:sz w:val="32"/>
          <w:szCs w:val="32"/>
        </w:rPr>
        <w:t>77%</w:t>
      </w:r>
      <w:r>
        <w:rPr>
          <w:rFonts w:hint="eastAsia" w:ascii="仿宋_GB2312" w:eastAsia="仿宋_GB2312" w:cs="仿宋_GB2312"/>
          <w:spacing w:val="-12"/>
          <w:sz w:val="32"/>
          <w:szCs w:val="32"/>
        </w:rPr>
        <w:t>以上，秸秆综合利用率保持在</w:t>
      </w:r>
      <w:r>
        <w:rPr>
          <w:rFonts w:ascii="仿宋_GB2312" w:eastAsia="仿宋_GB2312" w:cs="仿宋_GB2312"/>
          <w:spacing w:val="-12"/>
          <w:sz w:val="32"/>
          <w:szCs w:val="32"/>
        </w:rPr>
        <w:t>95%</w:t>
      </w:r>
      <w:r>
        <w:rPr>
          <w:rFonts w:hint="eastAsia" w:ascii="仿宋_GB2312" w:eastAsia="仿宋_GB2312" w:cs="仿宋_GB2312"/>
          <w:spacing w:val="-12"/>
          <w:sz w:val="32"/>
          <w:szCs w:val="32"/>
        </w:rPr>
        <w:t>以上。实施区域公用品牌创建行动，突出打造生态品牌，大力推进农业标准化生产，落实“一乡一品一牌”培育计划，强化标准控制和质量安全监管，鼓励新型农业经营主体开展“两品一标”认证。以草莓作为区域优势产业，全产业链开发，开展形象设计，厚植文化内涵，推动我区草莓区域公用品牌提档升级。完善特色优势农产品标准体系，全区农业标准化覆盖率达到</w:t>
      </w:r>
      <w:r>
        <w:rPr>
          <w:rFonts w:ascii="仿宋_GB2312" w:eastAsia="仿宋_GB2312" w:cs="仿宋_GB2312"/>
          <w:spacing w:val="-12"/>
          <w:sz w:val="32"/>
          <w:szCs w:val="32"/>
        </w:rPr>
        <w:t>70%</w:t>
      </w:r>
      <w:r>
        <w:rPr>
          <w:rFonts w:hint="eastAsia" w:ascii="仿宋_GB2312" w:eastAsia="仿宋_GB2312" w:cs="仿宋_GB2312"/>
          <w:spacing w:val="-12"/>
          <w:sz w:val="32"/>
          <w:szCs w:val="32"/>
        </w:rPr>
        <w:t>。巩固农产品质量安全区创建成果，全区农产品抽检总体合格率保持在</w:t>
      </w:r>
      <w:r>
        <w:rPr>
          <w:rFonts w:ascii="仿宋_GB2312" w:eastAsia="仿宋_GB2312" w:cs="仿宋_GB2312"/>
          <w:spacing w:val="-12"/>
          <w:sz w:val="32"/>
          <w:szCs w:val="32"/>
        </w:rPr>
        <w:t>97%</w:t>
      </w:r>
      <w:r>
        <w:rPr>
          <w:rFonts w:hint="eastAsia" w:ascii="仿宋_GB2312" w:eastAsia="仿宋_GB2312" w:cs="仿宋_GB2312"/>
          <w:spacing w:val="-12"/>
          <w:sz w:val="32"/>
          <w:szCs w:val="32"/>
        </w:rPr>
        <w:t>以上，确保粮食安全放在首位。依托</w:t>
      </w:r>
      <w:r>
        <w:rPr>
          <w:rFonts w:ascii="仿宋_GB2312" w:eastAsia="仿宋_GB2312" w:cs="仿宋_GB2312"/>
          <w:spacing w:val="-12"/>
          <w:sz w:val="32"/>
          <w:szCs w:val="32"/>
        </w:rPr>
        <w:t>2</w:t>
      </w:r>
      <w:r>
        <w:rPr>
          <w:rFonts w:hint="eastAsia" w:ascii="仿宋_GB2312" w:eastAsia="仿宋_GB2312" w:cs="仿宋_GB2312"/>
          <w:spacing w:val="-12"/>
          <w:sz w:val="32"/>
          <w:szCs w:val="32"/>
        </w:rPr>
        <w:t>个太行山农业创新驿站和</w:t>
      </w:r>
      <w:r>
        <w:rPr>
          <w:rFonts w:ascii="仿宋_GB2312" w:eastAsia="仿宋_GB2312" w:cs="仿宋_GB2312"/>
          <w:spacing w:val="-12"/>
          <w:sz w:val="32"/>
          <w:szCs w:val="32"/>
        </w:rPr>
        <w:t>1</w:t>
      </w:r>
      <w:r>
        <w:rPr>
          <w:rFonts w:hint="eastAsia" w:ascii="仿宋_GB2312" w:eastAsia="仿宋_GB2312" w:cs="仿宋_GB2312"/>
          <w:spacing w:val="-12"/>
          <w:sz w:val="32"/>
          <w:szCs w:val="32"/>
        </w:rPr>
        <w:t>个省级农业创新驿站，在现有磨盘柿、桃、苹果等果品产业的基础上，改劣换优，提质增效，大力推广我区“全国桃实验基地”的宣传，建立“全国首席桃专家工作站”和“林果业专家协会”，应用一批新品种、新技术、新成果，培育一批现代职业农民，为我区优势特色产业提供科技支撑。</w:t>
      </w:r>
    </w:p>
    <w:p>
      <w:pPr>
        <w:spacing w:line="570" w:lineRule="exact"/>
        <w:ind w:firstLine="600"/>
        <w:rPr>
          <w:rFonts w:ascii="仿宋_GB2312" w:eastAsia="仿宋_GB2312" w:cs="仿宋_GB2312"/>
          <w:spacing w:val="-12"/>
          <w:sz w:val="32"/>
          <w:szCs w:val="32"/>
        </w:rPr>
      </w:pPr>
      <w:r>
        <w:rPr>
          <w:rFonts w:hint="eastAsia" w:ascii="仿宋_GB2312" w:hAnsi="仿宋" w:eastAsia="仿宋_GB2312" w:cs="仿宋"/>
          <w:b/>
          <w:bCs/>
          <w:spacing w:val="-12"/>
          <w:sz w:val="32"/>
          <w:szCs w:val="32"/>
        </w:rPr>
        <w:t>加快发展都市型农业。</w:t>
      </w:r>
      <w:r>
        <w:rPr>
          <w:rFonts w:hint="eastAsia" w:ascii="仿宋_GB2312" w:eastAsia="仿宋_GB2312" w:cs="仿宋_GB2312"/>
          <w:spacing w:val="-12"/>
          <w:sz w:val="32"/>
          <w:szCs w:val="32"/>
        </w:rPr>
        <w:t>立足我区资源禀赋和产业比较优势，大力发展特色优势产业，积极构筑产业特色鲜明、装备现代化、生产集约化、管理科学化、服务社会化的现代农业产业体系，促进一二三产业融合发展。面向京、津、雄高端消费人群，重点发展绿色有机农业、休闲农业、科技示范农业；面向保定市及其他各县（市、区），以服务城乡居民日常生活和周末需求为重点，重点发展各种家庭农场、田园综合体、农业科技示范园和现代设施农业。</w:t>
      </w:r>
    </w:p>
    <w:p>
      <w:pPr>
        <w:pStyle w:val="20"/>
        <w:widowControl w:val="0"/>
        <w:spacing w:before="0" w:beforeAutospacing="0" w:after="0" w:afterAutospacing="0" w:line="570" w:lineRule="exact"/>
        <w:ind w:firstLine="611" w:firstLineChars="200"/>
        <w:rPr>
          <w:rFonts w:ascii="仿宋_GB2312" w:hAnsi="Times New Roman" w:eastAsia="仿宋_GB2312" w:cs="仿宋_GB2312"/>
          <w:spacing w:val="-8"/>
          <w:kern w:val="2"/>
          <w:sz w:val="32"/>
          <w:szCs w:val="32"/>
        </w:rPr>
      </w:pPr>
      <w:r>
        <w:rPr>
          <w:rFonts w:hint="eastAsia" w:ascii="仿宋_GB2312" w:hAnsi="仿宋" w:eastAsia="仿宋_GB2312" w:cs="仿宋"/>
          <w:b/>
          <w:bCs/>
          <w:spacing w:val="-8"/>
          <w:kern w:val="2"/>
          <w:sz w:val="32"/>
          <w:szCs w:val="32"/>
        </w:rPr>
        <w:t>实施农业园区提档升级行动。</w:t>
      </w:r>
      <w:r>
        <w:rPr>
          <w:rFonts w:hint="eastAsia" w:ascii="仿宋_GB2312" w:hAnsi="Times New Roman" w:eastAsia="仿宋_GB2312" w:cs="仿宋_GB2312"/>
          <w:spacing w:val="-8"/>
          <w:kern w:val="2"/>
          <w:sz w:val="32"/>
          <w:szCs w:val="32"/>
        </w:rPr>
        <w:t>强化农业科技支撑，加快实施现代农业园区提档升级行动，高标准推进草莓、葡萄、桃、李等现代农业园区建设，打造全市、全省乃至全国叫得响的现代</w:t>
      </w:r>
      <w:r>
        <w:rPr>
          <w:rFonts w:hint="eastAsia" w:ascii="仿宋_GB2312" w:hAnsi="仿宋_GB2312" w:eastAsia="仿宋_GB2312" w:cs="仿宋_GB2312"/>
          <w:spacing w:val="-8"/>
          <w:kern w:val="21"/>
          <w:sz w:val="32"/>
          <w:szCs w:val="32"/>
        </w:rPr>
        <w:t>农业精品园区。</w:t>
      </w:r>
      <w:r>
        <w:rPr>
          <w:rFonts w:hint="eastAsia" w:ascii="仿宋_GB2312" w:hAnsi="Times New Roman" w:eastAsia="仿宋_GB2312" w:cs="仿宋_GB2312"/>
          <w:spacing w:val="-8"/>
          <w:kern w:val="2"/>
          <w:sz w:val="32"/>
          <w:szCs w:val="32"/>
        </w:rPr>
        <w:t>依托农业龙头企业加强与京津冀高校和科研院所深度对接，推动科技成果产业化转换，走产、学、研融合发展道路。扩大经营规模，“生产、加工、贮存、运输、销售、标准、管理”等紧密结合起来，把农业园区建成具有一定科研能力的农业试验农场和具有一定教育性和示范性的基地。</w:t>
      </w:r>
    </w:p>
    <w:p>
      <w:pPr>
        <w:spacing w:line="570" w:lineRule="exact"/>
        <w:ind w:firstLine="595" w:firstLineChars="200"/>
        <w:rPr>
          <w:rFonts w:ascii="仿宋_GB2312" w:eastAsia="仿宋_GB2312"/>
          <w:spacing w:val="-12"/>
        </w:rPr>
      </w:pPr>
      <w:r>
        <w:rPr>
          <w:rFonts w:hint="eastAsia" w:ascii="仿宋_GB2312" w:hAnsi="仿宋" w:eastAsia="仿宋_GB2312" w:cs="仿宋"/>
          <w:b/>
          <w:bCs/>
          <w:spacing w:val="-12"/>
          <w:sz w:val="32"/>
          <w:szCs w:val="32"/>
        </w:rPr>
        <w:t>促进三产融合发展。</w:t>
      </w:r>
      <w:r>
        <w:rPr>
          <w:rFonts w:hint="eastAsia" w:ascii="仿宋_GB2312" w:eastAsia="仿宋_GB2312" w:cs="仿宋_GB2312"/>
          <w:spacing w:val="-12"/>
          <w:sz w:val="32"/>
          <w:szCs w:val="32"/>
        </w:rPr>
        <w:t>推进农业与旅游、教育、文化、健康养老等产业深度融合，提升农业价值链，围绕</w:t>
      </w:r>
      <w:r>
        <w:rPr>
          <w:rFonts w:hint="eastAsia" w:ascii="仿宋_GB2312" w:eastAsia="仿宋_GB2312" w:cs="仿宋_GB2312"/>
          <w:spacing w:val="-12"/>
          <w:sz w:val="32"/>
          <w:szCs w:val="32"/>
          <w:lang w:eastAsia="zh-CN"/>
        </w:rPr>
        <w:t>一二三产业融合</w:t>
      </w:r>
      <w:r>
        <w:rPr>
          <w:rFonts w:hint="eastAsia" w:ascii="仿宋_GB2312" w:eastAsia="仿宋_GB2312" w:cs="仿宋_GB2312"/>
          <w:spacing w:val="-12"/>
          <w:sz w:val="32"/>
          <w:szCs w:val="32"/>
        </w:rPr>
        <w:t>发展，做大做强龙头企业，支持重点企业提档升级，培育发展行业领军企业。拓展农业生态保障、文化传承、休闲养生等多种功能，集中布局一批休闲农业和乡村旅游项目。壮大</w:t>
      </w:r>
      <w:r>
        <w:rPr>
          <w:rFonts w:ascii="仿宋_GB2312" w:eastAsia="仿宋_GB2312" w:cs="仿宋_GB2312"/>
          <w:spacing w:val="-12"/>
          <w:sz w:val="32"/>
          <w:szCs w:val="32"/>
        </w:rPr>
        <w:t>2</w:t>
      </w:r>
      <w:r>
        <w:rPr>
          <w:rFonts w:hint="eastAsia" w:ascii="仿宋_GB2312" w:eastAsia="仿宋_GB2312" w:cs="仿宋_GB2312"/>
          <w:spacing w:val="-12"/>
          <w:sz w:val="32"/>
          <w:szCs w:val="32"/>
        </w:rPr>
        <w:t>个市级以上农业产业化示范联合体，重点培育</w:t>
      </w:r>
      <w:r>
        <w:rPr>
          <w:rFonts w:ascii="仿宋_GB2312" w:eastAsia="仿宋_GB2312" w:cs="仿宋_GB2312"/>
          <w:spacing w:val="-12"/>
          <w:sz w:val="32"/>
          <w:szCs w:val="32"/>
        </w:rPr>
        <w:t>1</w:t>
      </w:r>
      <w:r>
        <w:rPr>
          <w:rFonts w:hint="eastAsia" w:ascii="仿宋_GB2312" w:eastAsia="仿宋_GB2312" w:cs="仿宋_GB2312"/>
          <w:spacing w:val="-12"/>
          <w:sz w:val="32"/>
          <w:szCs w:val="32"/>
        </w:rPr>
        <w:t>个年销售收入超</w:t>
      </w:r>
      <w:r>
        <w:rPr>
          <w:rFonts w:ascii="仿宋_GB2312" w:eastAsia="仿宋_GB2312" w:cs="仿宋_GB2312"/>
          <w:spacing w:val="-12"/>
          <w:sz w:val="32"/>
          <w:szCs w:val="32"/>
        </w:rPr>
        <w:t>8</w:t>
      </w:r>
      <w:r>
        <w:rPr>
          <w:rFonts w:hint="eastAsia" w:ascii="仿宋_GB2312" w:eastAsia="仿宋_GB2312" w:cs="仿宋_GB2312"/>
          <w:spacing w:val="-12"/>
          <w:sz w:val="32"/>
          <w:szCs w:val="32"/>
        </w:rPr>
        <w:t>亿元的农业产业集群。</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着力调整优化农业结构。</w:t>
      </w:r>
      <w:r>
        <w:rPr>
          <w:rFonts w:hint="eastAsia" w:ascii="仿宋_GB2312" w:eastAsia="仿宋_GB2312" w:cs="仿宋_GB2312"/>
          <w:spacing w:val="-8"/>
          <w:sz w:val="32"/>
          <w:szCs w:val="32"/>
        </w:rPr>
        <w:t>落实国家粮食安全战略，毫不放松抓好粮食生产，稳定播种面积，提高良种化水平。着眼农业提质增效，调整优化农业结构和区域布局，建设平原绿色生态产业区和山地高效特色农业区，打造京津冀绿色农产品供应地。</w:t>
      </w:r>
    </w:p>
    <w:p>
      <w:pPr>
        <w:spacing w:line="570" w:lineRule="exact"/>
        <w:ind w:firstLine="611" w:firstLineChars="200"/>
        <w:rPr>
          <w:rFonts w:ascii="仿宋_GB2312" w:eastAsia="仿宋_GB2312"/>
          <w:spacing w:val="-8"/>
        </w:rPr>
      </w:pPr>
      <w:r>
        <w:rPr>
          <w:rFonts w:hint="eastAsia" w:ascii="仿宋_GB2312" w:hAnsi="仿宋" w:eastAsia="仿宋_GB2312" w:cs="仿宋"/>
          <w:b/>
          <w:bCs/>
          <w:spacing w:val="-8"/>
          <w:sz w:val="32"/>
          <w:szCs w:val="32"/>
        </w:rPr>
        <w:t>推动农业信息化进程。</w:t>
      </w:r>
      <w:r>
        <w:rPr>
          <w:rFonts w:hint="eastAsia" w:ascii="仿宋_GB2312" w:eastAsia="仿宋_GB2312" w:cs="仿宋_GB2312"/>
          <w:spacing w:val="-8"/>
          <w:sz w:val="32"/>
          <w:szCs w:val="32"/>
        </w:rPr>
        <w:t>以信息化助力乡村振兴战略全面实施，推进农业农村现代化。支持企业加快建设企业级、行业级工业互联网平台，培育省级数字化车间，完成企业智能制造诊断服务。大力推进智慧农业、数字乡村加快发展，以信息化引领驱动乡村振兴，促进农业全面升级、农村全面进步、农民全面发展。</w:t>
      </w:r>
    </w:p>
    <w:p>
      <w:pPr>
        <w:pStyle w:val="4"/>
        <w:spacing w:before="0" w:after="0" w:line="570" w:lineRule="exact"/>
        <w:jc w:val="center"/>
        <w:rPr>
          <w:rFonts w:ascii="黑体" w:hAnsi="Times New Roman"/>
          <w:b w:val="0"/>
          <w:spacing w:val="-8"/>
          <w:kern w:val="2"/>
          <w:szCs w:val="32"/>
        </w:rPr>
      </w:pPr>
      <w:bookmarkStart w:id="90" w:name="_Toc63009749"/>
      <w:bookmarkStart w:id="91" w:name="_Toc16156"/>
      <w:r>
        <w:rPr>
          <w:rFonts w:hint="eastAsia" w:ascii="黑体" w:hAnsi="Times New Roman"/>
          <w:b w:val="0"/>
          <w:spacing w:val="-8"/>
          <w:kern w:val="2"/>
          <w:szCs w:val="32"/>
        </w:rPr>
        <w:t>第五节推进城乡协调互动发展</w:t>
      </w:r>
      <w:bookmarkEnd w:id="90"/>
      <w:bookmarkEnd w:id="91"/>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完善流动人口基本公共服务管理制度。</w:t>
      </w:r>
      <w:r>
        <w:rPr>
          <w:rFonts w:hint="eastAsia" w:ascii="仿宋_GB2312" w:eastAsia="仿宋_GB2312" w:cs="仿宋_GB2312"/>
          <w:spacing w:val="-8"/>
          <w:sz w:val="32"/>
          <w:szCs w:val="32"/>
        </w:rPr>
        <w:t>将流动人口纳入城镇基本公共卫生计生服务范围，按照国家和省确定的各项标准提供基本公共卫生计生服务。完善城乡居民基本医疗保险制度，对居住证持有人选择参加城镇居民医保的，个人按城乡居民标准缴费。加快实施统一的城乡医疗救助制度，加快实现基本医疗保险参保人跨险种制度、跨地区转移接续。</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支持完善统筹城乡的社会保障体系。</w:t>
      </w:r>
      <w:r>
        <w:rPr>
          <w:rFonts w:hint="eastAsia" w:ascii="仿宋_GB2312" w:eastAsia="仿宋_GB2312" w:cs="仿宋_GB2312"/>
          <w:spacing w:val="-12"/>
          <w:sz w:val="32"/>
          <w:szCs w:val="32"/>
        </w:rPr>
        <w:t>加快推动实施统一规范的城乡社会保障制度，将符合条件的持有居住证人口纳入城镇职工社会保障体系。推动进城务工人员参加失业保险、工伤保险，切实维护进城务工人员依法享有失业、工伤保险合法权益。</w:t>
      </w:r>
    </w:p>
    <w:p>
      <w:pPr>
        <w:spacing w:line="570" w:lineRule="exact"/>
        <w:ind w:firstLine="640"/>
        <w:rPr>
          <w:rFonts w:ascii="仿宋_GB2312" w:eastAsia="仿宋_GB2312" w:cs="仿宋_GB2312"/>
          <w:spacing w:val="-8"/>
          <w:sz w:val="32"/>
          <w:szCs w:val="32"/>
        </w:rPr>
      </w:pPr>
      <w:r>
        <w:rPr>
          <w:rFonts w:hint="eastAsia" w:ascii="仿宋_GB2312" w:hAnsi="仿宋" w:eastAsia="仿宋_GB2312" w:cs="仿宋"/>
          <w:b/>
          <w:bCs/>
          <w:spacing w:val="-8"/>
          <w:sz w:val="32"/>
          <w:szCs w:val="32"/>
        </w:rPr>
        <w:t>推动城乡基础设施建管一体化。</w:t>
      </w:r>
      <w:r>
        <w:rPr>
          <w:rFonts w:hint="eastAsia" w:ascii="仿宋_GB2312" w:eastAsia="仿宋_GB2312" w:cs="仿宋_GB2312"/>
          <w:spacing w:val="-8"/>
          <w:sz w:val="32"/>
          <w:szCs w:val="32"/>
        </w:rPr>
        <w:t>积极争取各类资金对农村公路建设养护的投入力度，将农村公路建设、管护等费用纳入一般公共预算予以保障。对公益性强、经济性差的乡村公交设施，按照本级发展规划有序投入，引导农村客运经营者加强管理和使用，确保服务设施的安全、安好和正常运行。明确乡村基础设施产权归属，落实管护责任。因地制宜推进生活垃圾处理和污水治理，深入实施“村民分类、公司收集、区里处理”的农村生活垃圾分类处理模式，规划建设建筑垃圾收纳场，完成全区生活垃圾处理设施项目布局，制定全区生活垃圾处理设施项目布局方案。开展便民市场建设工程，新建或改建城区和重点乡镇便民市场</w:t>
      </w:r>
      <w:r>
        <w:rPr>
          <w:rFonts w:ascii="仿宋_GB2312" w:eastAsia="仿宋_GB2312" w:cs="仿宋_GB2312"/>
          <w:spacing w:val="-8"/>
          <w:sz w:val="32"/>
          <w:szCs w:val="32"/>
        </w:rPr>
        <w:t>10</w:t>
      </w:r>
      <w:r>
        <w:rPr>
          <w:rFonts w:hint="eastAsia" w:ascii="仿宋_GB2312" w:eastAsia="仿宋_GB2312" w:cs="仿宋_GB2312"/>
          <w:spacing w:val="-8"/>
          <w:sz w:val="32"/>
          <w:szCs w:val="32"/>
        </w:rPr>
        <w:t>处，提升城乡消费环境。推进城市基础设施建设运营事业单位改革，探索“乡（镇）村管理”“城乡环卫一体化”“建养一体化”“政府购买公共服务”等管护手段，保障农村基础设施安全运行、发挥效益。对城乡道路等公益性设施，鼓励有条件的部门，以政府购买服务等方式引入专业化企业，提高管护市场化程度。</w:t>
      </w:r>
    </w:p>
    <w:p>
      <w:pPr>
        <w:adjustRightInd w:val="0"/>
        <w:snapToGrid w:val="0"/>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深化农村改革政策，激发乡村活力。</w:t>
      </w:r>
      <w:r>
        <w:rPr>
          <w:rFonts w:hint="eastAsia" w:ascii="仿宋_GB2312" w:eastAsia="仿宋_GB2312" w:cs="仿宋_GB2312"/>
          <w:spacing w:val="-12"/>
          <w:sz w:val="32"/>
          <w:szCs w:val="32"/>
        </w:rPr>
        <w:t>稳定农村基本经营体制和土地承包关系，落实第二轮土地承包到期后再延长三十年政策，保持农村土地承包关系稳定并长期不变。积极探索实施农村集体经营性建设用地入市制度，建立征收公益用地机制，缩小土地征收范围。探索宅基地所有权、资格权、使用权分置实现形式。保障进城落户农民土地承包权、宅基地使用权、集体收益分配权，鼓励依法自愿有偿流转。完善农业专业化社会服务体系，吸引社会资本下乡，大力培育专业合作社、家庭农场等新型经营主体，大力推广“公司</w:t>
      </w:r>
      <w:r>
        <w:rPr>
          <w:rFonts w:ascii="仿宋_GB2312" w:eastAsia="仿宋_GB2312" w:cs="仿宋_GB2312"/>
          <w:spacing w:val="-12"/>
          <w:sz w:val="32"/>
          <w:szCs w:val="32"/>
        </w:rPr>
        <w:t>+</w:t>
      </w:r>
      <w:r>
        <w:rPr>
          <w:rFonts w:hint="eastAsia" w:ascii="仿宋_GB2312" w:eastAsia="仿宋_GB2312" w:cs="仿宋_GB2312"/>
          <w:spacing w:val="-12"/>
          <w:sz w:val="32"/>
          <w:szCs w:val="32"/>
        </w:rPr>
        <w:t>合作社</w:t>
      </w:r>
      <w:r>
        <w:rPr>
          <w:rFonts w:ascii="仿宋_GB2312" w:eastAsia="仿宋_GB2312" w:cs="仿宋_GB2312"/>
          <w:spacing w:val="-12"/>
          <w:sz w:val="32"/>
          <w:szCs w:val="32"/>
        </w:rPr>
        <w:t>+</w:t>
      </w:r>
      <w:r>
        <w:rPr>
          <w:rFonts w:hint="eastAsia" w:ascii="仿宋_GB2312" w:eastAsia="仿宋_GB2312" w:cs="仿宋_GB2312"/>
          <w:spacing w:val="-12"/>
          <w:sz w:val="32"/>
          <w:szCs w:val="32"/>
        </w:rPr>
        <w:t>农户”模式，推行农村股份合作制经济，探索和完善多种经营方式和利益连接机制，发展多形式适度规模经营，实现小农户和现代农业有机衔接。深化农村集体产权制度、集体林权制度改革，盘活农村资产资源，发展壮大新型农村集体经济。</w:t>
      </w:r>
    </w:p>
    <w:p>
      <w:pPr>
        <w:pStyle w:val="19"/>
        <w:spacing w:line="570" w:lineRule="exact"/>
      </w:pPr>
    </w:p>
    <w:p>
      <w:pPr>
        <w:rPr>
          <w:rFonts w:ascii="方正小标宋简体" w:hAnsi="黑体" w:eastAsia="方正小标宋简体" w:cs="宋体"/>
          <w:spacing w:val="-8"/>
          <w:sz w:val="36"/>
          <w:szCs w:val="36"/>
        </w:rPr>
      </w:pPr>
      <w:bookmarkStart w:id="92" w:name="_Toc63009750"/>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93" w:name="_Toc32210"/>
      <w:r>
        <w:rPr>
          <w:rFonts w:hint="eastAsia" w:ascii="方正小标宋简体" w:hAnsi="黑体" w:eastAsia="方正小标宋简体" w:cs="宋体"/>
          <w:b w:val="0"/>
          <w:spacing w:val="-8"/>
          <w:kern w:val="2"/>
          <w:sz w:val="36"/>
          <w:szCs w:val="36"/>
        </w:rPr>
        <w:t>第九章深入发掘文化内涵潜力，创建满城区文化品牌</w:t>
      </w:r>
      <w:bookmarkEnd w:id="92"/>
      <w:bookmarkEnd w:id="93"/>
    </w:p>
    <w:p>
      <w:pPr>
        <w:spacing w:line="570" w:lineRule="exact"/>
      </w:pPr>
    </w:p>
    <w:p>
      <w:pPr>
        <w:pStyle w:val="4"/>
        <w:spacing w:before="0" w:after="0" w:line="570" w:lineRule="exact"/>
        <w:jc w:val="center"/>
        <w:rPr>
          <w:rFonts w:ascii="黑体" w:hAnsi="Times New Roman"/>
          <w:b w:val="0"/>
          <w:spacing w:val="-8"/>
          <w:kern w:val="2"/>
          <w:szCs w:val="32"/>
        </w:rPr>
      </w:pPr>
      <w:bookmarkStart w:id="94" w:name="_Toc23084"/>
      <w:bookmarkStart w:id="95" w:name="_Toc63009751"/>
      <w:r>
        <w:rPr>
          <w:rFonts w:hint="eastAsia" w:ascii="黑体" w:hAnsi="Times New Roman"/>
          <w:b w:val="0"/>
          <w:spacing w:val="-8"/>
          <w:kern w:val="2"/>
          <w:szCs w:val="32"/>
        </w:rPr>
        <w:t>第一节加强精神文明建设</w:t>
      </w:r>
      <w:bookmarkEnd w:id="94"/>
      <w:bookmarkEnd w:id="95"/>
    </w:p>
    <w:p>
      <w:pPr>
        <w:spacing w:line="570" w:lineRule="exact"/>
        <w:ind w:firstLine="611" w:firstLineChars="200"/>
        <w:rPr>
          <w:rFonts w:ascii="仿宋_GB2312" w:hAnsi="仿宋" w:eastAsia="仿宋_GB2312" w:cs="仿宋"/>
          <w:b/>
          <w:bCs/>
          <w:spacing w:val="-8"/>
          <w:sz w:val="32"/>
          <w:szCs w:val="32"/>
        </w:rPr>
      </w:pPr>
      <w:r>
        <w:rPr>
          <w:rFonts w:hint="eastAsia" w:ascii="仿宋_GB2312" w:hAnsi="仿宋" w:eastAsia="仿宋_GB2312" w:cs="仿宋"/>
          <w:b/>
          <w:bCs/>
          <w:spacing w:val="-8"/>
          <w:sz w:val="32"/>
          <w:szCs w:val="32"/>
        </w:rPr>
        <w:t>培育和践行社会主义核心价值观。</w:t>
      </w:r>
      <w:bookmarkStart w:id="96" w:name="_Toc428994658"/>
      <w:bookmarkStart w:id="97" w:name="_Toc429290685"/>
      <w:bookmarkStart w:id="98" w:name="_Toc426733654"/>
      <w:r>
        <w:rPr>
          <w:rFonts w:hint="eastAsia" w:ascii="仿宋_GB2312" w:eastAsia="仿宋_GB2312" w:cs="仿宋_GB2312"/>
          <w:spacing w:val="-8"/>
          <w:sz w:val="32"/>
          <w:szCs w:val="32"/>
        </w:rPr>
        <w:t>加强先进思想文化引领，把培育和践行社会主义核心价值观融入经济社会发展各领域，把握理论解读、媒体宣传、文艺创作三个关键环节，使社会主义核心价值体系，融入国民教育、精神文明建设和经济社会发展各领域，使社会主义核心价值观内化为人们的精神追求，外化为人们的自觉行动。树立起一批平凡而伟大、可敬又可学的道德模范，引导人们从我做起、从身边做起、从小事做起，</w:t>
      </w:r>
      <w:bookmarkEnd w:id="96"/>
      <w:bookmarkEnd w:id="97"/>
      <w:bookmarkEnd w:id="98"/>
      <w:r>
        <w:rPr>
          <w:rFonts w:hint="eastAsia" w:ascii="仿宋_GB2312" w:eastAsia="仿宋_GB2312" w:cs="仿宋_GB2312"/>
          <w:spacing w:val="-8"/>
          <w:sz w:val="32"/>
          <w:szCs w:val="32"/>
        </w:rPr>
        <w:t>加强社会公德、职业道德、家庭美德、个人品德教育和宣传。开展文明单位、文明行业、文明村镇等群众性精神文明创建活动，开展道德模范主题实践活动，引导广大干部群众自觉践行社会主义核心价值观，提升全民思想道德素质和科学文化素质，弘扬正气和健康社会风气。持续开展“最美满城人”“最美红马甲”系列评选活动，传播满城声音，讲好满城故事，弘扬正能量，增强凝聚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提升群众精神文化生活品质。</w:t>
      </w:r>
      <w:r>
        <w:rPr>
          <w:rFonts w:hint="eastAsia" w:ascii="仿宋_GB2312" w:eastAsia="仿宋_GB2312" w:cs="仿宋_GB2312"/>
          <w:spacing w:val="-8"/>
          <w:sz w:val="32"/>
          <w:szCs w:val="32"/>
        </w:rPr>
        <w:t>继续实施和推进广播电视村村通、文化信息资源共享、农村电影放映和农家书屋等国家重点文化惠民工程项目建设。大力开展送文化下基层活动，积极开展文化科技卫生“三下乡”等丰富多彩的文化活动，建设“网上图书馆”“网上博物馆”“网上档案馆”“网上剧场”“群众文化活动远程指导网”等覆盖全区的数字文化服务网络，多渠道向基层配送文化资源。积极开展节庆活动，在社区、农村组织开展多层次、多种类、多方位大型综合文化活动，不断满足人民群众文化生活需求。</w:t>
      </w:r>
    </w:p>
    <w:p>
      <w:pPr>
        <w:spacing w:line="570" w:lineRule="exact"/>
        <w:ind w:firstLine="611" w:firstLineChars="200"/>
        <w:rPr>
          <w:rFonts w:ascii="仿宋_GB2312" w:eastAsia="仿宋_GB2312"/>
          <w:spacing w:val="-8"/>
        </w:rPr>
      </w:pPr>
      <w:r>
        <w:rPr>
          <w:rFonts w:hint="eastAsia" w:ascii="仿宋_GB2312" w:hAnsi="仿宋" w:eastAsia="仿宋_GB2312" w:cs="仿宋"/>
          <w:b/>
          <w:bCs/>
          <w:spacing w:val="-8"/>
          <w:sz w:val="32"/>
          <w:szCs w:val="32"/>
        </w:rPr>
        <w:t>弘扬诗词文化。</w:t>
      </w:r>
      <w:r>
        <w:rPr>
          <w:rFonts w:hint="eastAsia" w:ascii="仿宋_GB2312" w:eastAsia="仿宋_GB2312" w:cs="仿宋_GB2312"/>
          <w:spacing w:val="-8"/>
          <w:sz w:val="32"/>
          <w:szCs w:val="32"/>
        </w:rPr>
        <w:t>支持、培育诗词学会和社团，形成“</w:t>
      </w:r>
      <w:r>
        <w:rPr>
          <w:rFonts w:ascii="仿宋_GB2312" w:eastAsia="仿宋_GB2312" w:cs="仿宋_GB2312"/>
          <w:spacing w:val="-8"/>
          <w:sz w:val="32"/>
          <w:szCs w:val="32"/>
        </w:rPr>
        <w:t>1</w:t>
      </w:r>
      <w:r>
        <w:rPr>
          <w:rFonts w:hint="eastAsia" w:ascii="仿宋_GB2312" w:eastAsia="仿宋_GB2312" w:cs="仿宋_GB2312"/>
          <w:spacing w:val="-8"/>
          <w:sz w:val="32"/>
          <w:szCs w:val="32"/>
        </w:rPr>
        <w:t>个诗词学会、</w:t>
      </w:r>
      <w:r>
        <w:rPr>
          <w:rFonts w:ascii="仿宋_GB2312" w:eastAsia="仿宋_GB2312" w:cs="仿宋_GB2312"/>
          <w:spacing w:val="-8"/>
          <w:sz w:val="32"/>
          <w:szCs w:val="32"/>
        </w:rPr>
        <w:t>2</w:t>
      </w:r>
      <w:r>
        <w:rPr>
          <w:rFonts w:hint="eastAsia" w:ascii="仿宋_GB2312" w:eastAsia="仿宋_GB2312" w:cs="仿宋_GB2312"/>
          <w:spacing w:val="-8"/>
          <w:sz w:val="32"/>
          <w:szCs w:val="32"/>
        </w:rPr>
        <w:t>个诗词分会、</w:t>
      </w:r>
      <w:r>
        <w:rPr>
          <w:rFonts w:ascii="仿宋_GB2312" w:eastAsia="仿宋_GB2312" w:cs="仿宋_GB2312"/>
          <w:spacing w:val="-8"/>
          <w:sz w:val="32"/>
          <w:szCs w:val="32"/>
        </w:rPr>
        <w:t>N</w:t>
      </w:r>
      <w:r>
        <w:rPr>
          <w:rFonts w:hint="eastAsia" w:ascii="仿宋_GB2312" w:eastAsia="仿宋_GB2312" w:cs="仿宋_GB2312"/>
          <w:spacing w:val="-8"/>
          <w:sz w:val="32"/>
          <w:szCs w:val="32"/>
        </w:rPr>
        <w:t>个诗社”的立体诗词组织网络。将中华诗词城市创建和“诗教名校”“中华诗词”单位创建统一步调、城乡联动、统筹推进，实现区域互动。坚持举办各类诗词活动，每逢端午节、中秋节等举办全区性的诗词朗诵大会；各中小学、区域内院校常态化开展中华诗词诵读活动，推动和培养一批诗词名人。</w:t>
      </w:r>
    </w:p>
    <w:p>
      <w:pPr>
        <w:pStyle w:val="4"/>
        <w:spacing w:before="0" w:after="0" w:line="570" w:lineRule="exact"/>
        <w:jc w:val="center"/>
        <w:rPr>
          <w:rFonts w:ascii="黑体" w:hAnsi="Times New Roman"/>
          <w:b w:val="0"/>
          <w:spacing w:val="-8"/>
          <w:kern w:val="2"/>
          <w:szCs w:val="32"/>
        </w:rPr>
      </w:pPr>
      <w:bookmarkStart w:id="99" w:name="_Toc3484"/>
      <w:bookmarkStart w:id="100" w:name="_Toc63009752"/>
      <w:r>
        <w:rPr>
          <w:rFonts w:hint="eastAsia" w:ascii="黑体" w:hAnsi="Times New Roman"/>
          <w:b w:val="0"/>
          <w:spacing w:val="-8"/>
          <w:kern w:val="2"/>
          <w:szCs w:val="32"/>
        </w:rPr>
        <w:t>第二节健全公共文化服务体系</w:t>
      </w:r>
      <w:bookmarkEnd w:id="99"/>
      <w:bookmarkEnd w:id="100"/>
    </w:p>
    <w:p>
      <w:pPr>
        <w:pStyle w:val="7"/>
        <w:spacing w:line="570" w:lineRule="exact"/>
        <w:ind w:firstLine="604" w:firstLineChars="198"/>
        <w:rPr>
          <w:rFonts w:ascii="仿宋_GB2312" w:eastAsia="仿宋_GB2312" w:cs="仿宋_GB2312"/>
          <w:spacing w:val="-8"/>
          <w:sz w:val="32"/>
          <w:szCs w:val="32"/>
        </w:rPr>
      </w:pPr>
      <w:r>
        <w:rPr>
          <w:rFonts w:hint="eastAsia" w:ascii="仿宋_GB2312" w:eastAsia="仿宋_GB2312" w:cs="仿宋_GB2312"/>
          <w:b/>
          <w:bCs/>
          <w:spacing w:val="-8"/>
          <w:sz w:val="32"/>
          <w:szCs w:val="32"/>
        </w:rPr>
        <w:t>健全公共文化体制机制。</w:t>
      </w:r>
      <w:r>
        <w:rPr>
          <w:rFonts w:hint="eastAsia" w:ascii="仿宋_GB2312" w:eastAsia="仿宋_GB2312" w:cs="仿宋_GB2312"/>
          <w:spacing w:val="-8"/>
          <w:sz w:val="32"/>
          <w:szCs w:val="32"/>
        </w:rPr>
        <w:t>改善基层公共文化活动设施，到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区、乡（镇）、村三级公共文化服务体系基本形成全覆盖。推进乡（镇）、村（社区）文体活动场所建设，逐步实现有线电视网络全覆盖；推进数字文化服务体系建设，建设数字图书馆、数字档案馆、高标准文化馆、数字化农家书屋。实施文化品牌战略，打造文化精品，实现全区文化馆、图书馆、纪念馆全部免费开放。推动基本公共文化服务标准化均等化，基本建成覆盖城乡、便捷高效、保基本、促公平的现代公共文化服务体系，实施现代传媒建设和提升工程、文化惠民工程、新闻出版和广播影视精品工程和文艺人才培养工程，大力繁荣发展社会主义文艺。</w:t>
      </w:r>
    </w:p>
    <w:p>
      <w:pPr>
        <w:pStyle w:val="7"/>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提升公共文化服务水平。</w:t>
      </w:r>
      <w:r>
        <w:rPr>
          <w:rFonts w:hint="eastAsia" w:ascii="仿宋_GB2312" w:eastAsia="仿宋_GB2312" w:cs="仿宋_GB2312"/>
          <w:spacing w:val="-8"/>
          <w:sz w:val="32"/>
          <w:szCs w:val="32"/>
        </w:rPr>
        <w:t>以各种文化、体育组织设立为抓手，通过各式各样的活动，极大兼顾乡村、社区及其他社会力量的文化体育建设。创新公共文化服务体系，推动文化信息共享，推动文化中心工程项目建设。</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健全城乡公共文化服务体系。</w:t>
      </w:r>
      <w:r>
        <w:rPr>
          <w:rFonts w:hint="eastAsia" w:ascii="仿宋_GB2312" w:eastAsia="仿宋_GB2312" w:cs="仿宋_GB2312"/>
          <w:spacing w:val="-8"/>
          <w:sz w:val="32"/>
          <w:szCs w:val="32"/>
        </w:rPr>
        <w:t>深入开展文化惠民活动，以“走出去、请进来”方式，加强基层文化队伍建设。充分发挥文艺演出在丰富群众文化生活中的重要作用，采取综艺演出、地方戏、曲艺、舞蹈等形式，每年组织进农村、进社区、进企业、进校园、进广场、进网站、进机关等“七进”演出不少于</w:t>
      </w:r>
      <w:r>
        <w:rPr>
          <w:rFonts w:ascii="仿宋_GB2312" w:eastAsia="仿宋_GB2312" w:cs="仿宋_GB2312"/>
          <w:spacing w:val="-8"/>
          <w:sz w:val="32"/>
          <w:szCs w:val="32"/>
        </w:rPr>
        <w:t>50</w:t>
      </w:r>
      <w:r>
        <w:rPr>
          <w:rFonts w:hint="eastAsia" w:ascii="仿宋_GB2312" w:eastAsia="仿宋_GB2312" w:cs="仿宋_GB2312"/>
          <w:spacing w:val="-8"/>
          <w:sz w:val="32"/>
          <w:szCs w:val="32"/>
        </w:rPr>
        <w:t>场。实施“阳光工程”农村文化志愿服务行动计划，进一步强化社会责任意识、奉献意识，积极推进文化志愿服务。</w:t>
      </w:r>
    </w:p>
    <w:p>
      <w:pPr>
        <w:pStyle w:val="4"/>
        <w:spacing w:before="0" w:after="0" w:line="570" w:lineRule="exact"/>
        <w:jc w:val="center"/>
        <w:rPr>
          <w:rFonts w:ascii="黑体" w:hAnsi="Times New Roman"/>
          <w:b w:val="0"/>
          <w:spacing w:val="-8"/>
          <w:kern w:val="2"/>
          <w:szCs w:val="32"/>
        </w:rPr>
      </w:pPr>
      <w:bookmarkStart w:id="101" w:name="_Toc63009753"/>
      <w:bookmarkStart w:id="102" w:name="_Toc9221"/>
      <w:r>
        <w:rPr>
          <w:rFonts w:hint="eastAsia" w:ascii="黑体" w:hAnsi="Times New Roman"/>
          <w:b w:val="0"/>
          <w:spacing w:val="-8"/>
          <w:kern w:val="2"/>
          <w:szCs w:val="32"/>
        </w:rPr>
        <w:t>第三节打造特色鲜明的文化旅游产业</w:t>
      </w:r>
      <w:bookmarkEnd w:id="101"/>
      <w:bookmarkEnd w:id="102"/>
    </w:p>
    <w:p>
      <w:pPr>
        <w:pStyle w:val="7"/>
        <w:spacing w:line="570" w:lineRule="exact"/>
        <w:ind w:firstLine="608" w:firstLineChars="200"/>
        <w:jc w:val="both"/>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实施农村特色文化产业，统筹“文化</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”战略，大力发展特色手工业、乡村文化旅游业等特色文化产业。加快发展乡村旅游，发挥好“旅游</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的魅力，推出一批高质量、有特色的乡村旅游产品，培育一批具有浓郁乡土气息的文化性、体验性、趣味性的旅游项目，加强文物发掘和保护工作，积极申报文物保护单位，丰富文物内涵。深入挖掘丰富的革命历史文化资源，充分利用晋察冀一分区司令部旧址等红色资源，发扬红色传统、传承红色基因，积极开展形式多样的群众性主题教育活动。以汉墓、大平台龙居瀑布群、月明寺、玉皇坨、要庄遗址、方顺古桥、卧龙山、龙潭峡谷风景区、抱阳山景区、原生态柿子沟、曹仙洞、木兰溶洞、龙门水库、夜借遗址和张柔墓等为节点，发挥资源优势和生态优势，大力发展生态经济，促进产业发展与生态保护相互协调，因地制宜发展绿色、高效、富民的加工业和文化旅游业，持续</w:t>
      </w:r>
      <w:r>
        <w:rPr>
          <w:rFonts w:hint="eastAsia" w:ascii="仿宋_GB2312" w:hAnsi="Calibri" w:eastAsia="仿宋_GB2312" w:cs="仿宋_GB2312"/>
          <w:spacing w:val="-8"/>
          <w:sz w:val="32"/>
          <w:szCs w:val="32"/>
          <w:lang w:eastAsia="zh-CN"/>
        </w:rPr>
        <w:t>巩固拓展脱贫攻坚成果</w:t>
      </w:r>
      <w:r>
        <w:rPr>
          <w:rFonts w:hint="eastAsia" w:ascii="仿宋_GB2312" w:hAnsi="Calibri" w:eastAsia="仿宋_GB2312" w:cs="仿宋_GB2312"/>
          <w:spacing w:val="-8"/>
          <w:sz w:val="32"/>
          <w:szCs w:val="32"/>
        </w:rPr>
        <w:t>。依托张柔墓葬群，大力宣传张柔名人效应，打造张柔墓元代博物馆。坚持不搞大开发、共抓大保护的原则，注重生态涵养与空间管控有机结合，建设绿色休闲观光走廊。</w:t>
      </w:r>
    </w:p>
    <w:p>
      <w:pPr>
        <w:pStyle w:val="7"/>
        <w:spacing w:line="570" w:lineRule="exact"/>
        <w:ind w:firstLine="608" w:firstLineChars="200"/>
        <w:jc w:val="both"/>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促进生态、文化、旅游深度融合，深化南部历史文化、北部生态休闲二条文化旅游产业带建设，依托汉墓、张柔墓、方顺古桥等打造历史文化旅游精品路线；依托卧龙山、原生态柿子沟、木兰溶洞等打造自然生态文化旅游精品路线。完善基础设施配套，着力培育建设一批重点生态文化旅游精品路线，谋划建设一批体量大、效益好、带动能力强的生态文化旅游综合体，将我区建设成京津保地区市民生态休闲度假首选地，用旅游带动我区经济发展。“十四五”期间，力争全区旅游总收入超</w:t>
      </w:r>
      <w:r>
        <w:rPr>
          <w:rFonts w:ascii="仿宋_GB2312" w:hAnsi="Calibri" w:eastAsia="仿宋_GB2312" w:cs="仿宋_GB2312"/>
          <w:spacing w:val="-8"/>
          <w:sz w:val="32"/>
          <w:szCs w:val="32"/>
        </w:rPr>
        <w:t>20</w:t>
      </w:r>
      <w:r>
        <w:rPr>
          <w:rFonts w:hint="eastAsia" w:ascii="仿宋_GB2312" w:hAnsi="Calibri" w:eastAsia="仿宋_GB2312" w:cs="仿宋_GB2312"/>
          <w:spacing w:val="-8"/>
          <w:sz w:val="32"/>
          <w:szCs w:val="32"/>
        </w:rPr>
        <w:t>亿元。</w:t>
      </w:r>
    </w:p>
    <w:p>
      <w:pPr>
        <w:pStyle w:val="4"/>
        <w:spacing w:before="0" w:after="0" w:line="570" w:lineRule="exact"/>
        <w:jc w:val="center"/>
        <w:rPr>
          <w:rFonts w:ascii="黑体" w:hAnsi="Times New Roman"/>
          <w:b w:val="0"/>
          <w:spacing w:val="-8"/>
          <w:kern w:val="2"/>
          <w:szCs w:val="32"/>
        </w:rPr>
      </w:pPr>
      <w:bookmarkStart w:id="103" w:name="_Toc28686"/>
      <w:bookmarkStart w:id="104" w:name="_Toc63009754"/>
      <w:r>
        <w:rPr>
          <w:rFonts w:hint="eastAsia" w:ascii="黑体" w:hAnsi="Times New Roman"/>
          <w:b w:val="0"/>
          <w:spacing w:val="-8"/>
          <w:kern w:val="2"/>
          <w:szCs w:val="32"/>
        </w:rPr>
        <w:t>第四节打造“一城山水，满城文化”品牌</w:t>
      </w:r>
      <w:bookmarkEnd w:id="103"/>
      <w:bookmarkEnd w:id="104"/>
    </w:p>
    <w:p>
      <w:pPr>
        <w:adjustRightInd w:val="0"/>
        <w:snapToGrid w:val="0"/>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践行“绿水青山就是金山银山”理念，强化顶层设计，整合经济社会、城乡建设、国土空间、环境保护等规划资源，编制多规融合的旅游产业发展规划。加强资源管控，建立考核问效制度，杜绝旅游资源闲置和违规、无序、低水平开发。灵活资源运营，组建旅游发展投资公司，探索资源入股、收益分成、共同管理的旅游开发新模式。创新旅游开发，积极对接国内顶尖旅游开发运营公司，推动资源创新、文化创新、模式创新、业态创新，唤醒、整合、盘活一批优质旅游资源，不断推出高质量旅游新产品。</w:t>
      </w:r>
    </w:p>
    <w:p>
      <w:pPr>
        <w:adjustRightInd w:val="0"/>
        <w:snapToGrid w:val="0"/>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拓展推介渠道。</w:t>
      </w:r>
      <w:r>
        <w:rPr>
          <w:rFonts w:hint="eastAsia" w:ascii="仿宋_GB2312" w:eastAsia="仿宋_GB2312" w:cs="仿宋_GB2312"/>
          <w:spacing w:val="-8"/>
          <w:sz w:val="32"/>
          <w:szCs w:val="32"/>
        </w:rPr>
        <w:t>综合公众营销、网络营销、事件营销、节庆营销方式，推出“汉文化</w:t>
      </w:r>
      <w:r>
        <w:rPr>
          <w:rFonts w:ascii="仿宋_GB2312" w:eastAsia="仿宋_GB2312" w:cs="仿宋_GB2312"/>
          <w:spacing w:val="-8"/>
          <w:sz w:val="32"/>
          <w:szCs w:val="32"/>
        </w:rPr>
        <w:t>+</w:t>
      </w:r>
      <w:r>
        <w:rPr>
          <w:rFonts w:hint="eastAsia" w:ascii="仿宋_GB2312" w:eastAsia="仿宋_GB2312" w:cs="仿宋_GB2312"/>
          <w:spacing w:val="-8"/>
          <w:sz w:val="32"/>
          <w:szCs w:val="32"/>
        </w:rPr>
        <w:t>山水</w:t>
      </w:r>
      <w:r>
        <w:rPr>
          <w:rFonts w:ascii="仿宋_GB2312" w:eastAsia="仿宋_GB2312" w:cs="仿宋_GB2312"/>
          <w:spacing w:val="-8"/>
          <w:sz w:val="32"/>
          <w:szCs w:val="32"/>
        </w:rPr>
        <w:t>+</w:t>
      </w:r>
      <w:r>
        <w:rPr>
          <w:rFonts w:hint="eastAsia" w:ascii="仿宋_GB2312" w:eastAsia="仿宋_GB2312" w:cs="仿宋_GB2312"/>
          <w:spacing w:val="-8"/>
          <w:sz w:val="32"/>
          <w:szCs w:val="32"/>
        </w:rPr>
        <w:t>红色”模式，依托草莓文化节、白龙乡云山花海健步节、坨南乡桃花节、金秋红叶柿子节、龙居冰瀑节等旅游活动，继续大力推介中国磨盘柿之乡、中国草莓之乡、金缕玉衣的故乡、中华诗词之乡等旅游名牌，打造“一城山水、满城文化”品牌效应。</w:t>
      </w:r>
    </w:p>
    <w:p>
      <w:pPr>
        <w:adjustRightInd w:val="0"/>
        <w:snapToGrid w:val="0"/>
        <w:spacing w:line="570" w:lineRule="exact"/>
        <w:ind w:firstLine="611" w:firstLineChars="200"/>
        <w:rPr>
          <w:rFonts w:ascii="仿宋_GB2312" w:eastAsia="仿宋_GB2312"/>
        </w:rPr>
      </w:pPr>
      <w:r>
        <w:rPr>
          <w:rFonts w:hint="eastAsia" w:ascii="仿宋_GB2312" w:hAnsi="仿宋" w:eastAsia="仿宋_GB2312" w:cs="仿宋"/>
          <w:b/>
          <w:bCs/>
          <w:spacing w:val="-8"/>
          <w:sz w:val="32"/>
          <w:szCs w:val="32"/>
        </w:rPr>
        <w:t>丰富全域旅游业态</w:t>
      </w:r>
      <w:r>
        <w:rPr>
          <w:rFonts w:hint="eastAsia" w:ascii="仿宋_GB2312" w:hAnsi="仿宋" w:eastAsia="仿宋_GB2312" w:cs="仿宋"/>
          <w:spacing w:val="-8"/>
          <w:sz w:val="32"/>
          <w:szCs w:val="32"/>
        </w:rPr>
        <w:t>。</w:t>
      </w:r>
      <w:r>
        <w:rPr>
          <w:rFonts w:hint="eastAsia" w:ascii="仿宋_GB2312" w:eastAsia="仿宋_GB2312" w:cs="仿宋_GB2312"/>
          <w:spacing w:val="-8"/>
          <w:sz w:val="32"/>
          <w:szCs w:val="32"/>
        </w:rPr>
        <w:t>继续推进秀兰康养小镇、高士生态水镇等项目续建扩容、提档升级。加快汉墓创建</w:t>
      </w:r>
      <w:r>
        <w:rPr>
          <w:rFonts w:ascii="仿宋_GB2312" w:eastAsia="仿宋_GB2312" w:cs="仿宋_GB2312"/>
          <w:spacing w:val="-8"/>
          <w:sz w:val="32"/>
          <w:szCs w:val="32"/>
        </w:rPr>
        <w:t>5A</w:t>
      </w:r>
      <w:r>
        <w:rPr>
          <w:rFonts w:hint="eastAsia" w:ascii="仿宋_GB2312" w:eastAsia="仿宋_GB2312" w:cs="仿宋_GB2312"/>
          <w:spacing w:val="-8"/>
          <w:sz w:val="32"/>
          <w:szCs w:val="32"/>
        </w:rPr>
        <w:t>级景区步伐。深入实施“旅游</w:t>
      </w:r>
      <w:r>
        <w:rPr>
          <w:rFonts w:ascii="仿宋_GB2312" w:eastAsia="仿宋_GB2312" w:cs="仿宋_GB2312"/>
          <w:spacing w:val="-8"/>
          <w:sz w:val="32"/>
          <w:szCs w:val="32"/>
        </w:rPr>
        <w:t>+</w:t>
      </w:r>
      <w:r>
        <w:rPr>
          <w:rFonts w:hint="eastAsia" w:ascii="仿宋_GB2312" w:eastAsia="仿宋_GB2312" w:cs="仿宋_GB2312"/>
          <w:spacing w:val="-8"/>
          <w:sz w:val="32"/>
          <w:szCs w:val="32"/>
        </w:rPr>
        <w:t>”战略，促进旅游业与各领域融合互动，推进实施农田景观化、乡村庄园化。探索草莓风情小镇、葡萄酒庄小镇等旅游新业态。推动金博士纸业等企业创建</w:t>
      </w:r>
      <w:r>
        <w:rPr>
          <w:rFonts w:ascii="仿宋_GB2312" w:eastAsia="仿宋_GB2312" w:cs="仿宋_GB2312"/>
          <w:spacing w:val="-8"/>
          <w:sz w:val="32"/>
          <w:szCs w:val="32"/>
        </w:rPr>
        <w:t>3A</w:t>
      </w:r>
      <w:r>
        <w:rPr>
          <w:rFonts w:hint="eastAsia" w:ascii="仿宋_GB2312" w:eastAsia="仿宋_GB2312" w:cs="仿宋_GB2312"/>
          <w:spacing w:val="-8"/>
          <w:sz w:val="32"/>
          <w:szCs w:val="32"/>
        </w:rPr>
        <w:t>级工业景区。打造一批工业观光、农业休闲、城市文化、康养体验新业态，走出一条旅游互动、游城一体、旅文结合的旅游发展新路径。</w:t>
      </w:r>
    </w:p>
    <w:p>
      <w:pPr>
        <w:adjustRightInd w:val="0"/>
        <w:snapToGrid w:val="0"/>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夯实全域旅游基础。</w:t>
      </w:r>
      <w:r>
        <w:rPr>
          <w:rFonts w:hint="eastAsia" w:ascii="仿宋_GB2312" w:eastAsia="仿宋_GB2312" w:cs="仿宋_GB2312"/>
          <w:spacing w:val="-8"/>
          <w:sz w:val="32"/>
          <w:szCs w:val="32"/>
        </w:rPr>
        <w:t>建好旅游交通网。围绕“国际田园休闲区”和城市居民“半小时休闲圈”定位，紧跟自驾游发展趋势，完善交通驿站、骑行专线、休闲绿道等基础设施，打造柿子沟高标准房车自驾营地。发挥满神铁路的作用，积极探索建设城市观光旅游轻轨，完善智慧旅游服务。提高一线旅游从业者素质技能。加强常态化联合执法，营造文明有序、安全和谐的旅游环境。加快资源整合和区域合作，打造休闲度假旅游、山水观光游、民宿体验游、田园耕读游、汉韵寻梦游等各具特色的旅游板块，形成处处皆景、处处可游的全域旅游发展格局。</w:t>
      </w:r>
    </w:p>
    <w:p>
      <w:pPr>
        <w:pStyle w:val="19"/>
        <w:spacing w:line="570" w:lineRule="exact"/>
        <w:rPr>
          <w:highlight w:val="red"/>
        </w:rPr>
      </w:pPr>
    </w:p>
    <w:p>
      <w:pPr>
        <w:rPr>
          <w:rFonts w:ascii="方正小标宋简体" w:hAnsi="黑体" w:eastAsia="方正小标宋简体" w:cs="宋体"/>
          <w:spacing w:val="-8"/>
          <w:sz w:val="36"/>
          <w:szCs w:val="36"/>
        </w:rPr>
      </w:pPr>
      <w:bookmarkStart w:id="105" w:name="_Toc63009755"/>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06" w:name="_Toc14809"/>
      <w:r>
        <w:rPr>
          <w:rFonts w:hint="eastAsia" w:ascii="方正小标宋简体" w:hAnsi="黑体" w:eastAsia="方正小标宋简体" w:cs="宋体"/>
          <w:b w:val="0"/>
          <w:spacing w:val="-8"/>
          <w:kern w:val="2"/>
          <w:sz w:val="36"/>
          <w:szCs w:val="36"/>
        </w:rPr>
        <w:t>第十章加大生态文明建设力度，创建大美满城</w:t>
      </w:r>
      <w:bookmarkEnd w:id="105"/>
      <w:bookmarkEnd w:id="106"/>
    </w:p>
    <w:p>
      <w:pPr>
        <w:spacing w:line="570" w:lineRule="exact"/>
      </w:pPr>
    </w:p>
    <w:p>
      <w:pPr>
        <w:spacing w:line="570" w:lineRule="exact"/>
        <w:ind w:firstLine="608" w:firstLineChars="200"/>
        <w:jc w:val="left"/>
        <w:rPr>
          <w:rFonts w:ascii="仿宋_GB2312" w:eastAsia="仿宋_GB2312" w:cs="仿宋_GB2312"/>
          <w:spacing w:val="-8"/>
          <w:sz w:val="32"/>
          <w:szCs w:val="32"/>
        </w:rPr>
      </w:pPr>
      <w:r>
        <w:rPr>
          <w:rFonts w:hint="eastAsia" w:ascii="仿宋_GB2312" w:eastAsia="仿宋_GB2312" w:cs="仿宋_GB2312"/>
          <w:spacing w:val="-8"/>
          <w:sz w:val="32"/>
          <w:szCs w:val="32"/>
        </w:rPr>
        <w:t>按照防治结合，标本兼治原则，以解决生态环境领域突出问题为导向，以防控环境风险为基线，深化大气、水、土壤环境治理和生态修复，促进环境质量持续改善。</w:t>
      </w:r>
    </w:p>
    <w:p>
      <w:pPr>
        <w:pStyle w:val="4"/>
        <w:spacing w:before="0" w:after="0" w:line="570" w:lineRule="exact"/>
        <w:jc w:val="center"/>
        <w:rPr>
          <w:rFonts w:ascii="黑体" w:hAnsi="仿宋" w:cs="仿宋"/>
          <w:b w:val="0"/>
          <w:spacing w:val="-8"/>
          <w:kern w:val="2"/>
        </w:rPr>
      </w:pPr>
      <w:bookmarkStart w:id="107" w:name="_Toc32691"/>
      <w:bookmarkStart w:id="108" w:name="_Toc63009756"/>
      <w:r>
        <w:rPr>
          <w:rFonts w:hint="eastAsia" w:ascii="黑体" w:hAnsi="Times New Roman"/>
          <w:b w:val="0"/>
          <w:spacing w:val="-8"/>
          <w:kern w:val="2"/>
          <w:szCs w:val="32"/>
        </w:rPr>
        <w:t>第一节加强污染治理修复，强化资源保护力度</w:t>
      </w:r>
      <w:bookmarkEnd w:id="107"/>
      <w:bookmarkEnd w:id="108"/>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全力打好大气污染防治攻坚战。</w:t>
      </w:r>
      <w:r>
        <w:rPr>
          <w:rFonts w:hint="eastAsia" w:ascii="仿宋_GB2312" w:eastAsia="仿宋_GB2312" w:cs="仿宋_GB2312"/>
          <w:spacing w:val="-8"/>
          <w:sz w:val="32"/>
          <w:szCs w:val="32"/>
        </w:rPr>
        <w:t>坚持全面推进与重点突破相结合、总量减排与环境质量改善同步，不断优化产业结构，解决以细颗粒物（</w:t>
      </w:r>
      <w:r>
        <w:rPr>
          <w:rFonts w:ascii="仿宋_GB2312" w:eastAsia="仿宋_GB2312" w:cs="仿宋_GB2312"/>
          <w:spacing w:val="-8"/>
          <w:sz w:val="32"/>
          <w:szCs w:val="32"/>
        </w:rPr>
        <w:t>PM2.5</w:t>
      </w:r>
      <w:r>
        <w:rPr>
          <w:rFonts w:hint="eastAsia" w:ascii="仿宋_GB2312" w:eastAsia="仿宋_GB2312" w:cs="仿宋_GB2312"/>
          <w:spacing w:val="-8"/>
          <w:sz w:val="32"/>
          <w:szCs w:val="32"/>
        </w:rPr>
        <w:t>）、二氧化硫、氮氧化物为重点的大气污染问题，推进采石场、建筑工地、餐饮油烟、燃煤污染的整治攻坚行动，加强城市扬尘、秸</w:t>
      </w:r>
      <w:r>
        <w:rPr>
          <w:rFonts w:hint="eastAsia" w:ascii="仿宋_GB2312" w:eastAsia="仿宋_GB2312" w:cs="仿宋_GB2312"/>
          <w:spacing w:val="-8"/>
          <w:sz w:val="32"/>
          <w:szCs w:val="32"/>
          <w:lang w:val="en-US" w:eastAsia="zh-CN"/>
        </w:rPr>
        <w:t>秆</w:t>
      </w:r>
      <w:r>
        <w:rPr>
          <w:rFonts w:hint="eastAsia" w:ascii="仿宋_GB2312" w:eastAsia="仿宋_GB2312" w:cs="仿宋_GB2312"/>
          <w:spacing w:val="-8"/>
          <w:sz w:val="32"/>
          <w:szCs w:val="32"/>
        </w:rPr>
        <w:t>焚烧和机动车尾气排放监管依法实施全域全时禁烧。加快环保公交车投放步伐，推广使用新能源机动车，有效控制大气污染。制定碳排放达峰行动方案，力争到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年前碳排放达峰，为“</w:t>
      </w:r>
      <w:r>
        <w:rPr>
          <w:rFonts w:ascii="仿宋_GB2312" w:eastAsia="仿宋_GB2312" w:cs="仿宋_GB2312"/>
          <w:spacing w:val="-8"/>
          <w:sz w:val="32"/>
          <w:szCs w:val="32"/>
        </w:rPr>
        <w:t>30•60</w:t>
      </w:r>
      <w:r>
        <w:rPr>
          <w:rFonts w:hint="eastAsia" w:ascii="仿宋_GB2312" w:eastAsia="仿宋_GB2312" w:cs="仿宋_GB2312"/>
          <w:spacing w:val="-8"/>
          <w:sz w:val="32"/>
          <w:szCs w:val="32"/>
        </w:rPr>
        <w:t>”行动作出满城贡献，全区空气质量综合指数与保定市主城区持平。</w:t>
      </w:r>
    </w:p>
    <w:p>
      <w:pPr>
        <w:spacing w:line="570" w:lineRule="exact"/>
        <w:ind w:firstLine="595" w:firstLineChars="200"/>
        <w:rPr>
          <w:rFonts w:ascii="仿宋_GB2312" w:eastAsia="仿宋_GB2312"/>
          <w:spacing w:val="-12"/>
          <w:sz w:val="32"/>
          <w:szCs w:val="32"/>
        </w:rPr>
      </w:pPr>
      <w:r>
        <w:rPr>
          <w:rFonts w:hint="eastAsia" w:ascii="仿宋_GB2312" w:hAnsi="仿宋" w:eastAsia="仿宋_GB2312" w:cs="仿宋"/>
          <w:b/>
          <w:bCs/>
          <w:spacing w:val="-12"/>
          <w:sz w:val="32"/>
          <w:szCs w:val="32"/>
        </w:rPr>
        <w:t>推进矿山修复与治理。</w:t>
      </w:r>
      <w:r>
        <w:rPr>
          <w:rFonts w:hint="eastAsia" w:ascii="仿宋_GB2312" w:eastAsia="仿宋_GB2312" w:cs="仿宋_GB2312"/>
          <w:spacing w:val="-12"/>
          <w:sz w:val="32"/>
          <w:szCs w:val="32"/>
        </w:rPr>
        <w:t>健全完善矿山生态环境有效保护与恢复，实行矿产开发减量化管理绿色发展理念，提升修复生态环境。全面推进矿产资源的集约开发，引导矿业结构调整，重点对陵山</w:t>
      </w:r>
      <w:r>
        <w:rPr>
          <w:rFonts w:ascii="仿宋_GB2312" w:eastAsia="仿宋_GB2312" w:cs="仿宋_GB2312"/>
          <w:spacing w:val="-12"/>
          <w:sz w:val="32"/>
          <w:szCs w:val="32"/>
        </w:rPr>
        <w:t>-</w:t>
      </w:r>
      <w:r>
        <w:rPr>
          <w:rFonts w:hint="eastAsia" w:ascii="仿宋_GB2312" w:eastAsia="仿宋_GB2312" w:cs="仿宋_GB2312"/>
          <w:spacing w:val="-12"/>
          <w:sz w:val="32"/>
          <w:szCs w:val="32"/>
        </w:rPr>
        <w:t>抱阳山风景名胜区、京昆高速等国省干道沿线两侧废弃露天矿山进行高标准生态环境恢复治理，打造示范工程建设。采取生态修复、景观再造、工矿废弃地复垦利用等方式，引导社会力量参与矿山生态环境治理，重点实施对</w:t>
      </w:r>
      <w:r>
        <w:rPr>
          <w:rFonts w:ascii="仿宋_GB2312" w:eastAsia="仿宋_GB2312" w:cs="仿宋_GB2312"/>
          <w:spacing w:val="-12"/>
          <w:sz w:val="32"/>
          <w:szCs w:val="32"/>
        </w:rPr>
        <w:t>16</w:t>
      </w:r>
      <w:r>
        <w:rPr>
          <w:rFonts w:hint="eastAsia" w:ascii="仿宋_GB2312" w:eastAsia="仿宋_GB2312" w:cs="仿宋_GB2312"/>
          <w:spacing w:val="-12"/>
          <w:sz w:val="32"/>
          <w:szCs w:val="32"/>
        </w:rPr>
        <w:t>处责任主体灭失矿山生态修复和京昆高速沿线</w:t>
      </w:r>
      <w:r>
        <w:rPr>
          <w:rFonts w:ascii="仿宋_GB2312" w:eastAsia="仿宋_GB2312" w:cs="仿宋_GB2312"/>
          <w:spacing w:val="-12"/>
          <w:sz w:val="32"/>
          <w:szCs w:val="32"/>
        </w:rPr>
        <w:t>5</w:t>
      </w:r>
      <w:r>
        <w:rPr>
          <w:rFonts w:hint="eastAsia" w:ascii="仿宋_GB2312" w:eastAsia="仿宋_GB2312" w:cs="仿宋_GB2312"/>
          <w:spacing w:val="-12"/>
          <w:sz w:val="32"/>
          <w:szCs w:val="32"/>
        </w:rPr>
        <w:t>处白茬山高标准综</w:t>
      </w:r>
      <w:r>
        <w:rPr>
          <w:rFonts w:hint="eastAsia" w:ascii="仿宋_GB2312" w:eastAsia="仿宋_GB2312"/>
          <w:spacing w:val="-12"/>
          <w:sz w:val="32"/>
          <w:szCs w:val="32"/>
        </w:rPr>
        <w:t>合治理。加大政策资金支持力度，鼓励矿山企业转型转产，力争在“十四五”末关闭所有不符合标准的矿山，实现矿山生态环境综合治理达到</w:t>
      </w:r>
      <w:r>
        <w:rPr>
          <w:rFonts w:ascii="仿宋_GB2312" w:eastAsia="仿宋_GB2312"/>
          <w:spacing w:val="-12"/>
          <w:sz w:val="32"/>
          <w:szCs w:val="32"/>
        </w:rPr>
        <w:t>80%</w:t>
      </w:r>
      <w:r>
        <w:rPr>
          <w:rFonts w:hint="eastAsia" w:ascii="仿宋_GB2312" w:eastAsia="仿宋_GB2312"/>
          <w:spacing w:val="-12"/>
          <w:sz w:val="32"/>
          <w:szCs w:val="32"/>
        </w:rPr>
        <w:t>以上的目标。</w:t>
      </w:r>
    </w:p>
    <w:p>
      <w:pPr>
        <w:pStyle w:val="19"/>
        <w:spacing w:line="570" w:lineRule="exact"/>
        <w:ind w:left="0" w:leftChars="0" w:firstLine="611" w:firstLineChars="200"/>
        <w:rPr>
          <w:rFonts w:ascii="仿宋_GB2312" w:eastAsia="仿宋_GB2312"/>
          <w:spacing w:val="-8"/>
          <w:sz w:val="32"/>
          <w:szCs w:val="32"/>
        </w:rPr>
      </w:pPr>
      <w:r>
        <w:rPr>
          <w:rFonts w:hint="eastAsia" w:ascii="仿宋_GB2312" w:hAnsi="仿宋" w:eastAsia="仿宋_GB2312" w:cs="仿宋"/>
          <w:b/>
          <w:bCs/>
          <w:spacing w:val="-8"/>
          <w:sz w:val="32"/>
          <w:szCs w:val="32"/>
        </w:rPr>
        <w:t>大力推进水污染防治。</w:t>
      </w:r>
      <w:r>
        <w:rPr>
          <w:rFonts w:hint="eastAsia" w:ascii="仿宋_GB2312" w:eastAsia="仿宋_GB2312"/>
          <w:spacing w:val="-8"/>
          <w:sz w:val="32"/>
          <w:szCs w:val="32"/>
        </w:rPr>
        <w:t>综合整治我区区级和乡村级河道，高标准推进白洋淀上游生态环境治理，推动全流域综合治理保护，持续开展河湖“清四乱”、入河排污口“夜查”，坚决整治“散乱污”企业，不让一滴污水进入白洋淀。全面启动漕河沿岸生态带建设，坚持源头治理、溯源治理、水岸共治，加强入河排污口规范化管理，抓好傍河村庄生态建设，推进我区主要河流综合治理工程。加强饮用水水源风险防范，提升水源地规范化建设，持续整治水源保护区内环境违法问题，保证饮用水源安全。全面推进地下水污染防治，加强地下水环境监管。统筹推进农村厕所改造和农村生活污水治理，大力推进神星镇农村生活污水治理项目，深入实施城区和大册营污水处理厂、保定大水系及水源保护区等综合整治，谋划新建一座城区污水处理厂，推进城镇污水管网全覆盖，消除城区黑臭水体。</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加强生态修复和治理。</w:t>
      </w:r>
      <w:r>
        <w:rPr>
          <w:rFonts w:hint="eastAsia" w:ascii="仿宋_GB2312" w:eastAsia="仿宋_GB2312"/>
          <w:spacing w:val="-8"/>
          <w:sz w:val="32"/>
          <w:szCs w:val="32"/>
        </w:rPr>
        <w:t>严格落实生态保护红线，统筹推进山体修复、森林绿化等系统治理，持续扩大森林覆盖率，提高生态系统碳汇能力，为碳达峰、碳中和</w:t>
      </w:r>
      <w:r>
        <w:rPr>
          <w:rFonts w:hint="eastAsia" w:ascii="仿宋_GB2312" w:eastAsia="仿宋_GB2312"/>
          <w:spacing w:val="-8"/>
          <w:sz w:val="32"/>
          <w:szCs w:val="32"/>
          <w:lang w:val="en-US" w:eastAsia="zh-CN"/>
        </w:rPr>
        <w:t>作</w:t>
      </w:r>
      <w:r>
        <w:rPr>
          <w:rFonts w:hint="eastAsia" w:ascii="仿宋_GB2312" w:eastAsia="仿宋_GB2312"/>
          <w:spacing w:val="-8"/>
          <w:sz w:val="32"/>
          <w:szCs w:val="32"/>
        </w:rPr>
        <w:t>出满城贡献，全力推进西北部生态涵养区建设，打造保西生态屏障。开展矿山综合治理攻坚行动，坚决关停取缔退出矿山企业，运用市场化手段抓好矿山恢复治理，严厉打击偷开盗采等破坏山体违法行为。开展地下水超采综合治理行动，严格管控地下水开采，推进农村生活水源江水置换工程项目，加快实现地下水采补平衡和稳步回升。改善水生态环境，满足全区人民饮水安全。开展大规模国土绿化行动，重点抓好山区绿化和道路、河道两侧绿化，建设环城市、环乡村林带，打造秀美山川。开展清洁田园行动，推动生态化种植，推广节肥节药技术。</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提升生活垃圾处理能力。</w:t>
      </w:r>
      <w:r>
        <w:rPr>
          <w:rFonts w:hint="eastAsia" w:ascii="仿宋_GB2312" w:eastAsia="仿宋_GB2312" w:cs="仿宋_GB2312"/>
          <w:spacing w:val="-8"/>
          <w:sz w:val="32"/>
          <w:szCs w:val="32"/>
        </w:rPr>
        <w:t>加强城镇集中式垃圾中转站和垃圾场建设，提高城镇生活垃圾的回收利用率和无害化处理率。农村施行“村收集、乡转运、区处理”的生活垃圾处理模式，改善农村地区及周边生活垃圾粗放管理和落后处理的状况。到“十四五”末，全区生活垃圾填埋后，无害化处理率达</w:t>
      </w:r>
      <w:r>
        <w:rPr>
          <w:rFonts w:ascii="仿宋_GB2312" w:eastAsia="仿宋_GB2312" w:cs="仿宋_GB2312"/>
          <w:spacing w:val="-8"/>
          <w:sz w:val="32"/>
          <w:szCs w:val="32"/>
        </w:rPr>
        <w:t>90%</w:t>
      </w:r>
      <w:r>
        <w:rPr>
          <w:rFonts w:hint="eastAsia" w:ascii="仿宋_GB2312" w:eastAsia="仿宋_GB2312" w:cs="仿宋_GB2312"/>
          <w:spacing w:val="-8"/>
          <w:sz w:val="32"/>
          <w:szCs w:val="32"/>
        </w:rPr>
        <w:t>；农村生活垃圾清运实现</w:t>
      </w:r>
      <w:r>
        <w:rPr>
          <w:rFonts w:ascii="仿宋_GB2312" w:eastAsia="仿宋_GB2312" w:cs="仿宋_GB2312"/>
          <w:spacing w:val="-8"/>
          <w:sz w:val="32"/>
          <w:szCs w:val="32"/>
        </w:rPr>
        <w:t>100%</w:t>
      </w:r>
      <w:r>
        <w:rPr>
          <w:rFonts w:hint="eastAsia" w:ascii="仿宋_GB2312" w:eastAsia="仿宋_GB2312" w:cs="仿宋_GB2312"/>
          <w:spacing w:val="-8"/>
          <w:sz w:val="32"/>
          <w:szCs w:val="32"/>
        </w:rPr>
        <w:t>覆盖，填埋处理率达</w:t>
      </w:r>
      <w:r>
        <w:rPr>
          <w:rFonts w:ascii="仿宋_GB2312" w:eastAsia="仿宋_GB2312" w:cs="仿宋_GB2312"/>
          <w:spacing w:val="-8"/>
          <w:sz w:val="32"/>
          <w:szCs w:val="32"/>
        </w:rPr>
        <w:t>100%</w:t>
      </w:r>
      <w:r>
        <w:rPr>
          <w:rFonts w:hint="eastAsia" w:ascii="仿宋_GB2312" w:eastAsia="仿宋_GB2312" w:cs="仿宋_GB2312"/>
          <w:spacing w:val="-8"/>
          <w:sz w:val="32"/>
          <w:szCs w:val="32"/>
        </w:rPr>
        <w:t>。</w:t>
      </w:r>
    </w:p>
    <w:p>
      <w:pPr>
        <w:spacing w:line="570" w:lineRule="exact"/>
        <w:ind w:firstLine="611" w:firstLineChars="200"/>
        <w:jc w:val="left"/>
        <w:rPr>
          <w:rFonts w:ascii="仿宋_GB2312" w:eastAsia="仿宋_GB2312" w:cs="仿宋_GB2312"/>
          <w:spacing w:val="-8"/>
          <w:sz w:val="32"/>
          <w:szCs w:val="32"/>
        </w:rPr>
      </w:pPr>
      <w:r>
        <w:rPr>
          <w:rFonts w:hint="eastAsia" w:ascii="仿宋_GB2312" w:eastAsia="仿宋_GB2312" w:cs="仿宋_GB2312"/>
          <w:b/>
          <w:bCs/>
          <w:spacing w:val="-8"/>
          <w:sz w:val="32"/>
          <w:szCs w:val="32"/>
          <w:lang w:val="zh-CN"/>
        </w:rPr>
        <w:t>加强土壤污染治理与修复。</w:t>
      </w:r>
      <w:r>
        <w:rPr>
          <w:rFonts w:hint="eastAsia" w:ascii="仿宋_GB2312" w:eastAsia="仿宋_GB2312" w:cs="仿宋_GB2312"/>
          <w:spacing w:val="-8"/>
          <w:sz w:val="32"/>
          <w:szCs w:val="32"/>
          <w:lang w:val="zh-CN"/>
        </w:rPr>
        <w:t>重点整治土壤污染，推进农业清洁生产示范区建设，推广应用清洁生产技术模式。严格保护耕地，加大土地复垦力度，提高闲置土地利用率。</w:t>
      </w:r>
      <w:r>
        <w:rPr>
          <w:rFonts w:hint="eastAsia" w:ascii="仿宋_GB2312" w:eastAsia="仿宋_GB2312" w:cs="仿宋_GB2312"/>
          <w:spacing w:val="-8"/>
          <w:sz w:val="32"/>
          <w:szCs w:val="32"/>
        </w:rPr>
        <w:t>切实抓好城区、乡村和公路干线绿化，增加绿量、改善生态，营造绿意盎然的</w:t>
      </w:r>
      <w:r>
        <w:rPr>
          <w:rFonts w:hint="eastAsia" w:ascii="仿宋_GB2312" w:eastAsia="仿宋_GB2312" w:cs="仿宋_GB2312"/>
          <w:spacing w:val="-8"/>
          <w:sz w:val="32"/>
          <w:szCs w:val="32"/>
          <w:lang w:val="zh-CN"/>
        </w:rPr>
        <w:t>绿色走廊，</w:t>
      </w:r>
      <w:r>
        <w:rPr>
          <w:rFonts w:hint="eastAsia" w:ascii="仿宋_GB2312" w:eastAsia="仿宋_GB2312" w:cs="仿宋_GB2312"/>
          <w:spacing w:val="-8"/>
          <w:sz w:val="32"/>
          <w:szCs w:val="32"/>
        </w:rPr>
        <w:t>改扩建城乡公园绿地，配合绿色交通和城郊绿化带建设网状绿色体系。</w:t>
      </w:r>
    </w:p>
    <w:p>
      <w:pPr>
        <w:pStyle w:val="4"/>
        <w:spacing w:before="0" w:after="0" w:line="570" w:lineRule="exact"/>
        <w:jc w:val="center"/>
        <w:rPr>
          <w:rFonts w:ascii="黑体" w:hAnsi="Times New Roman"/>
          <w:b w:val="0"/>
          <w:spacing w:val="-8"/>
          <w:kern w:val="2"/>
          <w:szCs w:val="32"/>
        </w:rPr>
      </w:pPr>
      <w:bookmarkStart w:id="109" w:name="_Toc63009757"/>
      <w:bookmarkStart w:id="110" w:name="_Toc32161"/>
      <w:r>
        <w:rPr>
          <w:rFonts w:hint="eastAsia" w:ascii="黑体" w:hAnsi="Times New Roman"/>
          <w:b w:val="0"/>
          <w:spacing w:val="-8"/>
          <w:kern w:val="2"/>
          <w:szCs w:val="32"/>
        </w:rPr>
        <w:t>第二节持续深化节能减排，控制增量污染</w:t>
      </w:r>
      <w:bookmarkEnd w:id="109"/>
      <w:bookmarkEnd w:id="110"/>
    </w:p>
    <w:p>
      <w:pPr>
        <w:spacing w:line="570" w:lineRule="exact"/>
        <w:ind w:firstLine="608" w:firstLineChars="200"/>
        <w:jc w:val="left"/>
        <w:rPr>
          <w:rFonts w:ascii="仿宋_GB2312" w:eastAsia="仿宋_GB2312" w:cs="仿宋_GB2312"/>
          <w:spacing w:val="-8"/>
          <w:sz w:val="32"/>
          <w:szCs w:val="32"/>
        </w:rPr>
      </w:pPr>
      <w:r>
        <w:rPr>
          <w:rFonts w:hint="eastAsia" w:ascii="仿宋_GB2312" w:eastAsia="仿宋_GB2312" w:cs="仿宋_GB2312"/>
          <w:spacing w:val="-8"/>
          <w:sz w:val="32"/>
          <w:szCs w:val="32"/>
        </w:rPr>
        <w:t>缓解经济发展与资源环境的矛盾，着力构建绿色、低碳、循环的现代产业体系。到“十四五”末，新增主要耗能设备能源效率接近或达到国际先进水平；全面推行清洁生产，完成上级下达的单位</w:t>
      </w:r>
      <w:r>
        <w:rPr>
          <w:rFonts w:ascii="仿宋_GB2312" w:eastAsia="仿宋_GB2312" w:cs="仿宋_GB2312"/>
          <w:spacing w:val="-8"/>
          <w:sz w:val="32"/>
          <w:szCs w:val="32"/>
        </w:rPr>
        <w:t>GDP</w:t>
      </w:r>
      <w:r>
        <w:rPr>
          <w:rFonts w:hint="eastAsia" w:ascii="仿宋_GB2312" w:eastAsia="仿宋_GB2312" w:cs="仿宋_GB2312"/>
          <w:spacing w:val="-8"/>
          <w:sz w:val="32"/>
          <w:szCs w:val="32"/>
        </w:rPr>
        <w:t>能耗降低、单位二氧化硫排放降低、主要污染物排放等任务指标。</w:t>
      </w:r>
    </w:p>
    <w:p>
      <w:pPr>
        <w:spacing w:line="570" w:lineRule="exact"/>
        <w:ind w:firstLine="611" w:firstLineChars="200"/>
        <w:jc w:val="left"/>
        <w:rPr>
          <w:rFonts w:ascii="仿宋_GB2312" w:eastAsia="仿宋_GB2312" w:cs="仿宋_GB2312"/>
          <w:spacing w:val="-8"/>
          <w:sz w:val="32"/>
          <w:szCs w:val="32"/>
        </w:rPr>
      </w:pPr>
      <w:r>
        <w:rPr>
          <w:rFonts w:hint="eastAsia" w:ascii="仿宋" w:hAnsi="仿宋" w:eastAsia="仿宋" w:cs="仿宋"/>
          <w:b/>
          <w:bCs/>
          <w:spacing w:val="-8"/>
          <w:sz w:val="32"/>
          <w:szCs w:val="32"/>
        </w:rPr>
        <w:t>大力开展循环经济。</w:t>
      </w:r>
      <w:r>
        <w:rPr>
          <w:rFonts w:hint="eastAsia" w:ascii="仿宋_GB2312" w:eastAsia="仿宋_GB2312" w:cs="仿宋_GB2312"/>
          <w:spacing w:val="-8"/>
          <w:sz w:val="32"/>
          <w:szCs w:val="32"/>
        </w:rPr>
        <w:t>把循环经济作为经济增长方式转变突破口，按照减量化、再利用、资源化发展原则，促进资源利用循环化，优化循环经济产业发展模式，建立循环型产业体系，推进产业园区、重点企业循环化改造，实施再生资源回收利用工程，提高全社会资源产出率。</w:t>
      </w:r>
    </w:p>
    <w:p>
      <w:pPr>
        <w:spacing w:line="570" w:lineRule="exact"/>
        <w:ind w:firstLine="611" w:firstLineChars="200"/>
        <w:jc w:val="left"/>
        <w:rPr>
          <w:rFonts w:ascii="仿宋_GB2312" w:eastAsia="仿宋_GB2312" w:cs="仿宋_GB2312"/>
          <w:spacing w:val="-8"/>
          <w:sz w:val="32"/>
          <w:szCs w:val="32"/>
        </w:rPr>
      </w:pPr>
      <w:r>
        <w:rPr>
          <w:rFonts w:hint="eastAsia" w:ascii="仿宋_GB2312" w:eastAsia="仿宋_GB2312" w:cs="仿宋_GB2312"/>
          <w:b/>
          <w:bCs/>
          <w:spacing w:val="-8"/>
          <w:sz w:val="32"/>
          <w:szCs w:val="32"/>
        </w:rPr>
        <w:t>优化城区能源结构</w:t>
      </w:r>
      <w:r>
        <w:rPr>
          <w:rFonts w:hint="eastAsia" w:ascii="仿宋_GB2312" w:eastAsia="仿宋_GB2312" w:cs="仿宋_GB2312"/>
          <w:spacing w:val="-8"/>
          <w:sz w:val="32"/>
          <w:szCs w:val="32"/>
        </w:rPr>
        <w:t>。采用一二三产业联动发展的现代工农复合型循环经济产业模式，打造无废高效的“企业</w:t>
      </w:r>
      <w:r>
        <w:rPr>
          <w:rFonts w:ascii="仿宋_GB2312" w:eastAsia="仿宋_GB2312" w:cs="仿宋_GB2312"/>
          <w:spacing w:val="-8"/>
          <w:sz w:val="32"/>
          <w:szCs w:val="32"/>
        </w:rPr>
        <w:t>+</w:t>
      </w:r>
      <w:r>
        <w:rPr>
          <w:rFonts w:hint="eastAsia" w:ascii="仿宋_GB2312" w:eastAsia="仿宋_GB2312" w:cs="仿宋_GB2312"/>
          <w:spacing w:val="-8"/>
          <w:sz w:val="32"/>
          <w:szCs w:val="32"/>
        </w:rPr>
        <w:t>农户</w:t>
      </w:r>
      <w:r>
        <w:rPr>
          <w:rFonts w:ascii="仿宋_GB2312" w:eastAsia="仿宋_GB2312" w:cs="仿宋_GB2312"/>
          <w:spacing w:val="-8"/>
          <w:sz w:val="32"/>
          <w:szCs w:val="32"/>
        </w:rPr>
        <w:t>+</w:t>
      </w:r>
      <w:r>
        <w:rPr>
          <w:rFonts w:hint="eastAsia" w:ascii="仿宋_GB2312" w:eastAsia="仿宋_GB2312" w:cs="仿宋_GB2312"/>
          <w:spacing w:val="-8"/>
          <w:sz w:val="32"/>
          <w:szCs w:val="32"/>
        </w:rPr>
        <w:t>农村合作社”循环经济联合体。积极推行淘汰落后产能企业，实现工业企业“退区进园”。到“十四五”末，工业园区单位生产总值能耗降低</w:t>
      </w:r>
      <w:r>
        <w:rPr>
          <w:rFonts w:ascii="仿宋_GB2312" w:eastAsia="仿宋_GB2312" w:cs="仿宋_GB2312"/>
          <w:spacing w:val="-8"/>
          <w:sz w:val="32"/>
          <w:szCs w:val="32"/>
        </w:rPr>
        <w:t>30%</w:t>
      </w:r>
      <w:r>
        <w:rPr>
          <w:rFonts w:hint="eastAsia" w:ascii="仿宋_GB2312" w:eastAsia="仿宋_GB2312" w:cs="仿宋_GB2312"/>
          <w:spacing w:val="-8"/>
          <w:sz w:val="32"/>
          <w:szCs w:val="32"/>
        </w:rPr>
        <w:t>，化学需氧量、氨氮、二氧化硫、氮氧化物等主要污染物排放指标控制在市政府下达的范围内，空气质量好于二级标准天数比例完成省市下达任务目标。</w:t>
      </w:r>
    </w:p>
    <w:p>
      <w:pPr>
        <w:spacing w:line="570" w:lineRule="exact"/>
        <w:ind w:firstLine="611" w:firstLineChars="200"/>
        <w:jc w:val="left"/>
        <w:rPr>
          <w:rFonts w:ascii="仿宋_GB2312" w:eastAsia="仿宋_GB2312" w:cs="仿宋_GB2312"/>
          <w:spacing w:val="-8"/>
          <w:sz w:val="32"/>
          <w:szCs w:val="32"/>
        </w:rPr>
      </w:pPr>
      <w:r>
        <w:rPr>
          <w:rFonts w:hint="eastAsia" w:ascii="仿宋_GB2312" w:hAnsi="仿宋" w:eastAsia="仿宋_GB2312" w:cs="仿宋"/>
          <w:b/>
          <w:bCs/>
          <w:spacing w:val="-8"/>
          <w:sz w:val="32"/>
          <w:szCs w:val="32"/>
        </w:rPr>
        <w:t>加大植树造林力度。</w:t>
      </w:r>
      <w:r>
        <w:rPr>
          <w:rFonts w:hint="eastAsia" w:ascii="仿宋_GB2312" w:eastAsia="仿宋_GB2312" w:cs="仿宋_GB2312"/>
          <w:spacing w:val="-8"/>
          <w:sz w:val="32"/>
          <w:szCs w:val="32"/>
        </w:rPr>
        <w:t>大力开展造林绿化活动，重点抓好环企绿化、环校绿化、环村绿化、环田绿化、环山绿化和沿路、沿河绿化，实施矿山生态修复工程，建设大型绿地公园，大幅度提高全区森林覆盖率。以水库治理为重点，加大小流域水土流失治理力度，加强水源涵养林建设。到“十四五”末，森林覆盖率相较</w:t>
      </w:r>
      <w:r>
        <w:rPr>
          <w:rFonts w:ascii="仿宋_GB2312" w:eastAsia="仿宋_GB2312" w:cs="仿宋_GB2312"/>
          <w:spacing w:val="-8"/>
          <w:sz w:val="32"/>
          <w:szCs w:val="32"/>
        </w:rPr>
        <w:t>2020</w:t>
      </w:r>
      <w:r>
        <w:rPr>
          <w:rFonts w:hint="eastAsia" w:ascii="仿宋_GB2312" w:eastAsia="仿宋_GB2312" w:cs="仿宋_GB2312"/>
          <w:spacing w:val="-8"/>
          <w:sz w:val="32"/>
          <w:szCs w:val="32"/>
        </w:rPr>
        <w:t>年，年均增长达市要求标准。</w:t>
      </w:r>
    </w:p>
    <w:p>
      <w:pPr>
        <w:pStyle w:val="4"/>
        <w:spacing w:before="0" w:after="0" w:line="570" w:lineRule="exact"/>
        <w:jc w:val="center"/>
        <w:rPr>
          <w:rFonts w:ascii="黑体" w:hAnsi="Times New Roman"/>
          <w:b w:val="0"/>
          <w:spacing w:val="-8"/>
          <w:kern w:val="2"/>
          <w:szCs w:val="32"/>
        </w:rPr>
      </w:pPr>
      <w:bookmarkStart w:id="111" w:name="_Toc63009758"/>
      <w:bookmarkStart w:id="112" w:name="_Toc10712"/>
      <w:r>
        <w:rPr>
          <w:rFonts w:hint="eastAsia" w:ascii="黑体" w:hAnsi="Times New Roman"/>
          <w:b w:val="0"/>
          <w:spacing w:val="-8"/>
          <w:kern w:val="2"/>
          <w:szCs w:val="32"/>
        </w:rPr>
        <w:t>第三节引导科学生产生活方式，完善制度体系</w:t>
      </w:r>
      <w:bookmarkEnd w:id="111"/>
      <w:bookmarkEnd w:id="112"/>
    </w:p>
    <w:p>
      <w:pPr>
        <w:spacing w:line="570" w:lineRule="exact"/>
        <w:ind w:firstLine="611" w:firstLineChars="200"/>
        <w:jc w:val="left"/>
        <w:rPr>
          <w:rFonts w:ascii="仿宋_GB2312" w:hAnsi="楷体" w:eastAsia="仿宋_GB2312" w:cs="楷体"/>
          <w:b/>
          <w:bCs/>
          <w:color w:val="FF0000"/>
          <w:spacing w:val="-8"/>
          <w:sz w:val="32"/>
          <w:szCs w:val="32"/>
        </w:rPr>
      </w:pPr>
      <w:r>
        <w:rPr>
          <w:rFonts w:hint="eastAsia" w:ascii="仿宋_GB2312" w:hAnsi="仿宋" w:eastAsia="仿宋_GB2312" w:cs="仿宋"/>
          <w:b/>
          <w:bCs/>
          <w:spacing w:val="-8"/>
          <w:sz w:val="32"/>
          <w:szCs w:val="32"/>
        </w:rPr>
        <w:t>倡导绿色低碳生活方式。</w:t>
      </w:r>
      <w:r>
        <w:rPr>
          <w:rFonts w:hint="eastAsia" w:ascii="仿宋_GB2312" w:eastAsia="仿宋_GB2312" w:cs="仿宋_GB2312"/>
          <w:spacing w:val="-8"/>
          <w:sz w:val="32"/>
          <w:szCs w:val="32"/>
        </w:rPr>
        <w:t>加强低碳交通、生活设施建设，倡导公众采用公共交通、自行车和步行等绿色出行方式，支持新能源汽车的推广和使用，引导居民自觉减少能源和资源浪费，形成以低碳生活为荣的社会风尚。推进气、电、太阳能、生物质、风电等清洁能源利用，支持有条件的农村地区优先采用地热、沼气、生物质、轻烃等清洁能源替代燃煤。</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大力推进新能源发展力度。</w:t>
      </w:r>
      <w:r>
        <w:rPr>
          <w:rFonts w:hint="eastAsia" w:ascii="仿宋_GB2312" w:eastAsia="仿宋_GB2312" w:cs="仿宋_GB2312"/>
          <w:spacing w:val="-8"/>
          <w:sz w:val="32"/>
          <w:szCs w:val="32"/>
        </w:rPr>
        <w:t>依托驻保高校、北京高校和科研机构，瞄准智能化、智慧化方向，聚焦“智造”发力，重点推动光电、新型储能、高效节能、智能输变电、电力自动化、光伏、沼气、生物质能等领域深入发展。积极与行业龙头企业对接，着眼占领未来产业发展制高点，着力促进新能源及其装备、输变电设备等优势产业创新升级。紧盯新一代新能源关键核心技术，促进转化落地，实现我区新能源产业腾飞。确保政府主导制定相关能源规划，在政策、资金上予以重点支持，加快形成完整的可再生能源产业链。</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完善生态文明制度体系。</w:t>
      </w:r>
      <w:r>
        <w:rPr>
          <w:rFonts w:hint="eastAsia" w:ascii="仿宋_GB2312" w:eastAsia="仿宋_GB2312" w:cs="仿宋_GB2312"/>
          <w:spacing w:val="-8"/>
          <w:sz w:val="32"/>
          <w:szCs w:val="32"/>
        </w:rPr>
        <w:t>围绕自然资源资产管理、生态保护红线、国土空间治理、生态补偿、生态环境保护与管理等关键环节，建立和完善产权清晰、多元参与、激励与约束并重、系统完整的生态文明制度体系。开展自然资源资产状况调查评价工作，构建归属清晰、权责明确、监管有效的自然资源资产产权制度。加快基本农田红线、水资源管理“三条红线”、林业“三条红线”等控制线划定工作，完善控制线制度体系。建立多元化的生态补偿机制，探索生态文明积分制度。完善生态环境风险评估和隐患排查机制。</w:t>
      </w:r>
    </w:p>
    <w:p>
      <w:pPr>
        <w:spacing w:line="570" w:lineRule="exact"/>
      </w:pPr>
    </w:p>
    <w:p>
      <w:pPr>
        <w:rPr>
          <w:rFonts w:ascii="方正小标宋简体" w:hAnsi="黑体" w:eastAsia="方正小标宋简体" w:cs="宋体"/>
          <w:spacing w:val="-8"/>
          <w:sz w:val="36"/>
          <w:szCs w:val="36"/>
        </w:rPr>
      </w:pPr>
      <w:bookmarkStart w:id="113" w:name="_Toc63009759"/>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14" w:name="_Toc13791"/>
      <w:r>
        <w:rPr>
          <w:rFonts w:hint="eastAsia" w:ascii="方正小标宋简体" w:hAnsi="黑体" w:eastAsia="方正小标宋简体" w:cs="宋体"/>
          <w:b w:val="0"/>
          <w:spacing w:val="-8"/>
          <w:kern w:val="2"/>
          <w:sz w:val="36"/>
          <w:szCs w:val="36"/>
        </w:rPr>
        <w:t>第十一章完善社会公共服务体系，创建文明和谐满城</w:t>
      </w:r>
      <w:bookmarkEnd w:id="113"/>
      <w:bookmarkEnd w:id="114"/>
    </w:p>
    <w:p>
      <w:pPr>
        <w:spacing w:line="570" w:lineRule="exact"/>
      </w:pPr>
    </w:p>
    <w:p>
      <w:pPr>
        <w:pStyle w:val="4"/>
        <w:spacing w:before="0" w:after="0" w:line="570" w:lineRule="exact"/>
        <w:jc w:val="center"/>
        <w:rPr>
          <w:rFonts w:ascii="黑体" w:hAnsi="Times New Roman"/>
          <w:b w:val="0"/>
          <w:spacing w:val="-8"/>
          <w:kern w:val="2"/>
          <w:szCs w:val="32"/>
        </w:rPr>
      </w:pPr>
      <w:bookmarkStart w:id="115" w:name="_Toc6067"/>
      <w:bookmarkStart w:id="116" w:name="_Toc63009760"/>
      <w:r>
        <w:rPr>
          <w:rFonts w:hint="eastAsia" w:ascii="黑体" w:hAnsi="Times New Roman"/>
          <w:b w:val="0"/>
          <w:spacing w:val="-8"/>
          <w:kern w:val="2"/>
          <w:szCs w:val="32"/>
        </w:rPr>
        <w:t>第一节</w:t>
      </w:r>
      <w:r>
        <w:rPr>
          <w:rFonts w:hint="eastAsia" w:ascii="黑体" w:hAnsi="Times New Roman"/>
          <w:b w:val="0"/>
          <w:spacing w:val="-8"/>
          <w:kern w:val="2"/>
          <w:szCs w:val="32"/>
          <w:lang w:eastAsia="zh-CN"/>
        </w:rPr>
        <w:t>巩固拓展脱贫攻坚成果</w:t>
      </w:r>
      <w:r>
        <w:rPr>
          <w:rFonts w:hint="eastAsia" w:ascii="黑体" w:hAnsi="Times New Roman"/>
          <w:b w:val="0"/>
          <w:spacing w:val="-8"/>
          <w:kern w:val="2"/>
          <w:szCs w:val="32"/>
        </w:rPr>
        <w:t>，全面建设社会主义现代化</w:t>
      </w:r>
      <w:bookmarkEnd w:id="115"/>
      <w:bookmarkEnd w:id="116"/>
    </w:p>
    <w:p>
      <w:pPr>
        <w:pStyle w:val="19"/>
        <w:spacing w:line="570" w:lineRule="exact"/>
        <w:ind w:left="0" w:leftChars="0" w:firstLine="598" w:firstLineChars="196"/>
        <w:rPr>
          <w:rFonts w:ascii="仿宋_GB2312" w:eastAsia="仿宋_GB2312" w:cs="仿宋_GB2312"/>
          <w:spacing w:val="-8"/>
          <w:sz w:val="32"/>
          <w:szCs w:val="32"/>
        </w:rPr>
      </w:pPr>
      <w:r>
        <w:rPr>
          <w:rFonts w:hint="eastAsia" w:ascii="仿宋_GB2312" w:hAnsi="仿宋" w:eastAsia="仿宋_GB2312" w:cs="仿宋"/>
          <w:b/>
          <w:bCs/>
          <w:spacing w:val="-8"/>
          <w:sz w:val="32"/>
          <w:szCs w:val="32"/>
        </w:rPr>
        <w:t>精准落实脱贫政策。</w:t>
      </w:r>
      <w:r>
        <w:rPr>
          <w:rFonts w:hint="eastAsia" w:ascii="仿宋_GB2312" w:eastAsia="仿宋_GB2312" w:cs="仿宋_GB2312"/>
          <w:spacing w:val="-8"/>
          <w:sz w:val="32"/>
          <w:szCs w:val="32"/>
        </w:rPr>
        <w:t>精准落实各项帮扶政策、责任和工作，确保所有已脱贫人口稳定脱贫、不返贫。确保“十四五”期间实现所有建档立卡贫困户至少有一项以上的稳定增收渠道，已脱贫户和边缘易致贫户人均纯收入稳定超过脱贫标准，所有脱贫人口全面稳定达到“两不愁三保障”（不愁吃，不愁穿，义务教育、基本医疗和住房安全有保障）的脱贫标准。</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提高脱贫人口效益。</w:t>
      </w:r>
      <w:r>
        <w:rPr>
          <w:rFonts w:hint="eastAsia" w:ascii="仿宋_GB2312" w:eastAsia="仿宋_GB2312" w:cs="仿宋_GB2312"/>
          <w:spacing w:val="-8"/>
          <w:sz w:val="32"/>
          <w:szCs w:val="32"/>
        </w:rPr>
        <w:t>加强对扶贫项目的管理，完善收益和分配，稳定提高贫困人口收入。创新和完善激励政策，广泛动员科技人员开展科技扶贫，全面落实区派专家服务团队、乡</w:t>
      </w:r>
      <w:r>
        <w:rPr>
          <w:rFonts w:ascii="仿宋_GB2312" w:eastAsia="仿宋_GB2312" w:cs="仿宋_GB2312"/>
          <w:spacing w:val="-8"/>
          <w:sz w:val="32"/>
          <w:szCs w:val="32"/>
        </w:rPr>
        <w:t>(</w:t>
      </w:r>
      <w:r>
        <w:rPr>
          <w:rFonts w:hint="eastAsia" w:ascii="仿宋_GB2312" w:eastAsia="仿宋_GB2312" w:cs="仿宋_GB2312"/>
          <w:spacing w:val="-8"/>
          <w:sz w:val="32"/>
          <w:szCs w:val="32"/>
        </w:rPr>
        <w:t>镇</w:t>
      </w:r>
      <w:r>
        <w:rPr>
          <w:rFonts w:ascii="仿宋_GB2312" w:eastAsia="仿宋_GB2312" w:cs="仿宋_GB2312"/>
          <w:spacing w:val="-8"/>
          <w:sz w:val="32"/>
          <w:szCs w:val="32"/>
        </w:rPr>
        <w:t>)</w:t>
      </w:r>
      <w:r>
        <w:rPr>
          <w:rFonts w:hint="eastAsia" w:ascii="仿宋_GB2312" w:eastAsia="仿宋_GB2312" w:cs="仿宋_GB2312"/>
          <w:spacing w:val="-8"/>
          <w:sz w:val="32"/>
          <w:szCs w:val="32"/>
        </w:rPr>
        <w:t>建科技服务站、村派科技特派员制度。</w:t>
      </w:r>
    </w:p>
    <w:p>
      <w:pPr>
        <w:pStyle w:val="19"/>
        <w:spacing w:line="570" w:lineRule="exact"/>
        <w:ind w:left="0" w:leftChars="0" w:firstLine="589" w:firstLineChars="198"/>
        <w:rPr>
          <w:rFonts w:ascii="仿宋_GB2312" w:eastAsia="仿宋_GB2312" w:cs="仿宋_GB2312"/>
          <w:spacing w:val="-12"/>
          <w:sz w:val="32"/>
          <w:szCs w:val="32"/>
        </w:rPr>
      </w:pPr>
      <w:r>
        <w:rPr>
          <w:rFonts w:hint="eastAsia" w:ascii="仿宋_GB2312" w:hAnsi="仿宋" w:eastAsia="仿宋_GB2312" w:cs="仿宋"/>
          <w:b/>
          <w:bCs/>
          <w:spacing w:val="-12"/>
          <w:sz w:val="32"/>
          <w:szCs w:val="32"/>
        </w:rPr>
        <w:t>全面强化就业优先政策体系。</w:t>
      </w:r>
      <w:r>
        <w:rPr>
          <w:rFonts w:hint="eastAsia" w:ascii="仿宋_GB2312" w:eastAsia="仿宋_GB2312" w:cs="仿宋_GB2312"/>
          <w:spacing w:val="-12"/>
          <w:sz w:val="32"/>
          <w:szCs w:val="32"/>
        </w:rPr>
        <w:t>促进经济增长与扩大就业联动，促进产业结构、区域发展与就业协同，支持现代服务业和劳动密集型产业发展，推进传统产业绿色改造，创造更多就业机会。开发更多就业岗位，挖掘内需带动就业，加大投资创造就业</w:t>
      </w:r>
      <w:r>
        <w:rPr>
          <w:rFonts w:ascii="仿宋_GB2312" w:eastAsia="仿宋_GB2312" w:cs="仿宋_GB2312"/>
          <w:spacing w:val="-12"/>
          <w:sz w:val="32"/>
          <w:szCs w:val="32"/>
        </w:rPr>
        <w:t>,</w:t>
      </w:r>
      <w:r>
        <w:rPr>
          <w:rFonts w:hint="eastAsia" w:ascii="仿宋_GB2312" w:eastAsia="仿宋_GB2312" w:cs="仿宋_GB2312"/>
          <w:spacing w:val="-12"/>
          <w:sz w:val="32"/>
          <w:szCs w:val="32"/>
        </w:rPr>
        <w:t>培育壮大新动能，拓展就业空间。加强对重点行业、重点群体就业支持，做好高校毕业生、农民工就业服务工作，加强就业援助，帮扶残疾人零就业家庭等困难群体就业，保障困难人员基本生活。</w:t>
      </w:r>
    </w:p>
    <w:p>
      <w:pPr>
        <w:pStyle w:val="19"/>
        <w:spacing w:line="570" w:lineRule="exact"/>
        <w:ind w:left="0" w:leftChars="0" w:firstLine="604" w:firstLineChars="198"/>
        <w:rPr>
          <w:rFonts w:ascii="仿宋_GB2312" w:eastAsia="仿宋_GB2312" w:cs="仿宋_GB2312"/>
          <w:spacing w:val="-8"/>
          <w:sz w:val="32"/>
          <w:szCs w:val="32"/>
        </w:rPr>
      </w:pPr>
      <w:r>
        <w:rPr>
          <w:rFonts w:hint="eastAsia" w:ascii="仿宋_GB2312" w:hAnsi="仿宋" w:eastAsia="仿宋_GB2312" w:cs="仿宋"/>
          <w:b/>
          <w:bCs/>
          <w:spacing w:val="-8"/>
          <w:sz w:val="32"/>
          <w:szCs w:val="32"/>
        </w:rPr>
        <w:t>着力健全终身职业技能培训体系。</w:t>
      </w:r>
      <w:r>
        <w:rPr>
          <w:rFonts w:hint="eastAsia" w:ascii="仿宋_GB2312" w:eastAsia="仿宋_GB2312" w:cs="仿宋_GB2312"/>
          <w:spacing w:val="-8"/>
          <w:sz w:val="32"/>
          <w:szCs w:val="32"/>
        </w:rPr>
        <w:t>加快技能强区建设</w:t>
      </w:r>
      <w:r>
        <w:rPr>
          <w:rFonts w:ascii="仿宋_GB2312" w:eastAsia="仿宋_GB2312" w:cs="仿宋_GB2312"/>
          <w:spacing w:val="-8"/>
          <w:sz w:val="32"/>
          <w:szCs w:val="32"/>
        </w:rPr>
        <w:t>,</w:t>
      </w:r>
      <w:r>
        <w:rPr>
          <w:rFonts w:hint="eastAsia" w:ascii="仿宋_GB2312" w:eastAsia="仿宋_GB2312" w:cs="仿宋_GB2312"/>
          <w:spacing w:val="-8"/>
          <w:sz w:val="32"/>
          <w:szCs w:val="32"/>
        </w:rPr>
        <w:t>围绕健全培训资源优化配置、培训载体多元发展、劳动者按需选择、政府加强监管服务的体制机制。以政府补贴培训、企业自主培训、市场化培训为主要供给</w:t>
      </w:r>
      <w:r>
        <w:rPr>
          <w:rFonts w:ascii="仿宋_GB2312" w:eastAsia="仿宋_GB2312" w:cs="仿宋_GB2312"/>
          <w:spacing w:val="-8"/>
          <w:sz w:val="32"/>
          <w:szCs w:val="32"/>
        </w:rPr>
        <w:t>,</w:t>
      </w:r>
      <w:r>
        <w:rPr>
          <w:rFonts w:hint="eastAsia" w:ascii="仿宋_GB2312" w:eastAsia="仿宋_GB2312" w:cs="仿宋_GB2312"/>
          <w:spacing w:val="-8"/>
          <w:sz w:val="32"/>
          <w:szCs w:val="32"/>
        </w:rPr>
        <w:t>以公共实训机构、职业学校、职业培训机构和行业企业为主要载体</w:t>
      </w:r>
      <w:r>
        <w:rPr>
          <w:rFonts w:ascii="仿宋_GB2312" w:eastAsia="仿宋_GB2312" w:cs="仿宋_GB2312"/>
          <w:spacing w:val="-8"/>
          <w:sz w:val="32"/>
          <w:szCs w:val="32"/>
        </w:rPr>
        <w:t>,</w:t>
      </w:r>
      <w:r>
        <w:rPr>
          <w:rFonts w:hint="eastAsia" w:ascii="仿宋_GB2312" w:eastAsia="仿宋_GB2312" w:cs="仿宋_GB2312"/>
          <w:spacing w:val="-8"/>
          <w:sz w:val="32"/>
          <w:szCs w:val="32"/>
        </w:rPr>
        <w:t>以就业技能培训、岗位技能提升培训和创业创新培训为主要形式</w:t>
      </w:r>
      <w:r>
        <w:rPr>
          <w:rFonts w:ascii="仿宋_GB2312" w:eastAsia="仿宋_GB2312" w:cs="仿宋_GB2312"/>
          <w:spacing w:val="-8"/>
          <w:sz w:val="32"/>
          <w:szCs w:val="32"/>
        </w:rPr>
        <w:t>,</w:t>
      </w:r>
      <w:r>
        <w:rPr>
          <w:rFonts w:hint="eastAsia" w:ascii="仿宋_GB2312" w:eastAsia="仿宋_GB2312" w:cs="仿宋_GB2312"/>
          <w:spacing w:val="-8"/>
          <w:sz w:val="32"/>
          <w:szCs w:val="32"/>
        </w:rPr>
        <w:t>构建资源充足、布局合理、载体多元、方式科学的培训组织实施体系。大力开展职业技能提升行动</w:t>
      </w:r>
      <w:r>
        <w:rPr>
          <w:rFonts w:ascii="仿宋_GB2312" w:eastAsia="仿宋_GB2312" w:cs="仿宋_GB2312"/>
          <w:spacing w:val="-8"/>
          <w:sz w:val="32"/>
          <w:szCs w:val="32"/>
        </w:rPr>
        <w:t>,</w:t>
      </w:r>
      <w:r>
        <w:rPr>
          <w:rFonts w:hint="eastAsia" w:ascii="仿宋_GB2312" w:eastAsia="仿宋_GB2312" w:cs="仿宋_GB2312"/>
          <w:spacing w:val="-8"/>
          <w:sz w:val="32"/>
          <w:szCs w:val="32"/>
        </w:rPr>
        <w:t>深入推进高技能人才振兴计划</w:t>
      </w:r>
      <w:r>
        <w:rPr>
          <w:rFonts w:ascii="仿宋_GB2312" w:eastAsia="仿宋_GB2312" w:cs="仿宋_GB2312"/>
          <w:spacing w:val="-8"/>
          <w:sz w:val="32"/>
          <w:szCs w:val="32"/>
        </w:rPr>
        <w:t>,</w:t>
      </w:r>
      <w:r>
        <w:rPr>
          <w:rFonts w:hint="eastAsia" w:ascii="仿宋_GB2312" w:eastAsia="仿宋_GB2312" w:cs="仿宋_GB2312"/>
          <w:spacing w:val="-8"/>
          <w:sz w:val="32"/>
          <w:szCs w:val="32"/>
        </w:rPr>
        <w:t>全面推行企业新型学徒制</w:t>
      </w:r>
      <w:r>
        <w:rPr>
          <w:rFonts w:ascii="仿宋_GB2312" w:eastAsia="仿宋_GB2312" w:cs="仿宋_GB2312"/>
          <w:spacing w:val="-8"/>
          <w:sz w:val="32"/>
          <w:szCs w:val="32"/>
        </w:rPr>
        <w:t>,</w:t>
      </w:r>
      <w:r>
        <w:rPr>
          <w:rFonts w:hint="eastAsia" w:ascii="仿宋_GB2312" w:eastAsia="仿宋_GB2312" w:cs="仿宋_GB2312"/>
          <w:spacing w:val="-8"/>
          <w:sz w:val="32"/>
          <w:szCs w:val="32"/>
        </w:rPr>
        <w:t>不断提升劳动者素质。力争在“十四五”期间建成一座以培训、规划、教授为一体的职业培训大学，依托此大学，为我区培养更多具有专业技能的人才</w:t>
      </w:r>
      <w:r>
        <w:rPr>
          <w:rFonts w:ascii="仿宋_GB2312" w:eastAsia="仿宋_GB2312" w:cs="仿宋_GB2312"/>
          <w:spacing w:val="-8"/>
          <w:sz w:val="32"/>
          <w:szCs w:val="32"/>
        </w:rPr>
        <w:t>,</w:t>
      </w:r>
      <w:r>
        <w:rPr>
          <w:rFonts w:hint="eastAsia" w:ascii="仿宋_GB2312" w:eastAsia="仿宋_GB2312" w:cs="仿宋_GB2312"/>
          <w:spacing w:val="-8"/>
          <w:sz w:val="32"/>
          <w:szCs w:val="32"/>
        </w:rPr>
        <w:t>为失业人口再就业提供强有力的保障。</w:t>
      </w:r>
    </w:p>
    <w:p>
      <w:pPr>
        <w:pStyle w:val="4"/>
        <w:spacing w:before="0" w:after="0" w:line="570" w:lineRule="exact"/>
        <w:jc w:val="center"/>
        <w:rPr>
          <w:rFonts w:ascii="黑体" w:hAnsi="Times New Roman"/>
          <w:b w:val="0"/>
          <w:spacing w:val="-8"/>
          <w:kern w:val="2"/>
          <w:szCs w:val="32"/>
        </w:rPr>
      </w:pPr>
      <w:bookmarkStart w:id="117" w:name="_Toc30895"/>
      <w:r>
        <w:rPr>
          <w:rFonts w:hint="eastAsia"/>
        </w:rPr>
        <w:fldChar w:fldCharType="begin"/>
      </w:r>
      <w:r>
        <w:instrText xml:space="preserve"> HYPERLINK \l "_Toc24059"</w:instrText>
      </w:r>
      <w:r>
        <w:rPr>
          <w:rFonts w:hint="eastAsia"/>
        </w:rPr>
        <w:fldChar w:fldCharType="separate"/>
      </w:r>
      <w:bookmarkStart w:id="118" w:name="_Toc63009761"/>
      <w:r>
        <w:rPr>
          <w:rFonts w:hint="eastAsia" w:ascii="黑体" w:hAnsi="Times New Roman"/>
          <w:b w:val="0"/>
          <w:spacing w:val="-8"/>
          <w:kern w:val="2"/>
          <w:szCs w:val="32"/>
        </w:rPr>
        <w:t>第二节完善社会保障体系，全面提高社会保障水平</w:t>
      </w:r>
      <w:bookmarkEnd w:id="118"/>
      <w:r>
        <w:rPr>
          <w:rFonts w:hint="eastAsia" w:ascii="黑体" w:hAnsi="Times New Roman"/>
          <w:b w:val="0"/>
          <w:spacing w:val="-8"/>
          <w:kern w:val="2"/>
          <w:szCs w:val="32"/>
        </w:rPr>
        <w:fldChar w:fldCharType="end"/>
      </w:r>
      <w:bookmarkEnd w:id="117"/>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在坚持公平与效率、权利与义务、统一性与灵活性相结合的基础上，企业、个体劳动者、灵活就业人员和农民工，继续扩大社会保险覆盖范围，确保到“十四五”末做到全民参保，全面建成覆盖城乡的社会保险体系</w:t>
      </w:r>
      <w:r>
        <w:rPr>
          <w:rFonts w:ascii="仿宋_GB2312" w:eastAsia="仿宋_GB2312" w:cs="仿宋_GB2312"/>
          <w:spacing w:val="-8"/>
          <w:sz w:val="32"/>
          <w:szCs w:val="32"/>
        </w:rPr>
        <w:t>,</w:t>
      </w:r>
      <w:r>
        <w:rPr>
          <w:rFonts w:hint="eastAsia" w:ascii="仿宋_GB2312" w:eastAsia="仿宋_GB2312" w:cs="仿宋_GB2312"/>
          <w:spacing w:val="-8"/>
          <w:sz w:val="32"/>
          <w:szCs w:val="32"/>
        </w:rPr>
        <w:t>继续推动城乡居民基本养老保险制度和职工基本养老保险制度的有效衔接。</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完善城乡居民社会保障制度。</w:t>
      </w:r>
      <w:r>
        <w:rPr>
          <w:rFonts w:hint="eastAsia" w:ascii="仿宋_GB2312" w:eastAsia="仿宋_GB2312" w:cs="仿宋_GB2312"/>
          <w:spacing w:val="-8"/>
          <w:sz w:val="32"/>
          <w:szCs w:val="32"/>
        </w:rPr>
        <w:t>积极推进城乡居民最低生活保障统筹，落实农村五保供养制度。推进机关事业单位养老保险制度改革，建立职业年金制度，推动个人储蓄性养老保险发展，全面建成公平、统一、规范的城乡居民养老保险制度。提升对困难群体救助能力，大力发展社会救助、社会福利和慈善事业，筑牢社会保障安全网网底。坚持房子是用来住的、不是用来炒的定位，不断规范房地产市场秩序。积极推动房地产遗留问题稳妥化解，全力维护群众合法权益。高度重视保障性租赁住房建设，努力满足群众多元住房需求，建立市场配置和政府保障相结合的住房制度。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年达到城镇调查失业率控制在</w:t>
      </w:r>
      <w:r>
        <w:rPr>
          <w:rFonts w:ascii="仿宋_GB2312" w:eastAsia="仿宋_GB2312" w:cs="仿宋_GB2312"/>
          <w:spacing w:val="-8"/>
          <w:sz w:val="32"/>
          <w:szCs w:val="32"/>
        </w:rPr>
        <w:t>5.5%</w:t>
      </w:r>
      <w:r>
        <w:rPr>
          <w:rFonts w:hint="eastAsia" w:ascii="仿宋_GB2312" w:eastAsia="仿宋_GB2312" w:cs="仿宋_GB2312"/>
          <w:spacing w:val="-8"/>
          <w:sz w:val="32"/>
          <w:szCs w:val="32"/>
        </w:rPr>
        <w:t>左右，下岗失业职工再就业率达到</w:t>
      </w:r>
      <w:r>
        <w:rPr>
          <w:rFonts w:ascii="仿宋_GB2312" w:eastAsia="仿宋_GB2312" w:cs="仿宋_GB2312"/>
          <w:spacing w:val="-8"/>
          <w:sz w:val="32"/>
          <w:szCs w:val="32"/>
        </w:rPr>
        <w:t>90%</w:t>
      </w:r>
      <w:r>
        <w:rPr>
          <w:rFonts w:hint="eastAsia" w:ascii="仿宋_GB2312" w:eastAsia="仿宋_GB2312" w:cs="仿宋_GB2312"/>
          <w:spacing w:val="-8"/>
          <w:sz w:val="32"/>
          <w:szCs w:val="32"/>
        </w:rPr>
        <w:t>以上，城镇新增就业率达到</w:t>
      </w:r>
      <w:r>
        <w:rPr>
          <w:rFonts w:ascii="仿宋_GB2312" w:eastAsia="仿宋_GB2312" w:cs="仿宋_GB2312"/>
          <w:spacing w:val="-8"/>
          <w:sz w:val="32"/>
          <w:szCs w:val="32"/>
        </w:rPr>
        <w:t>100%</w:t>
      </w:r>
      <w:r>
        <w:rPr>
          <w:rFonts w:hint="eastAsia" w:ascii="仿宋_GB2312" w:eastAsia="仿宋_GB2312" w:cs="仿宋_GB2312"/>
          <w:spacing w:val="-8"/>
          <w:sz w:val="32"/>
          <w:szCs w:val="32"/>
        </w:rPr>
        <w:t>以上，农村劳动力转移就业达到</w:t>
      </w:r>
      <w:r>
        <w:rPr>
          <w:rFonts w:ascii="仿宋_GB2312" w:eastAsia="仿宋_GB2312" w:cs="仿宋_GB2312"/>
          <w:spacing w:val="-8"/>
          <w:sz w:val="32"/>
          <w:szCs w:val="32"/>
        </w:rPr>
        <w:t>90%</w:t>
      </w:r>
      <w:r>
        <w:rPr>
          <w:rFonts w:hint="eastAsia" w:ascii="仿宋_GB2312" w:eastAsia="仿宋_GB2312" w:cs="仿宋_GB2312"/>
          <w:spacing w:val="-8"/>
          <w:sz w:val="32"/>
          <w:szCs w:val="32"/>
        </w:rPr>
        <w:t>以上。</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健全和完善社会救助综合体系。</w:t>
      </w:r>
      <w:r>
        <w:rPr>
          <w:rFonts w:hint="eastAsia" w:ascii="仿宋_GB2312" w:eastAsia="仿宋_GB2312" w:cs="仿宋_GB2312"/>
          <w:spacing w:val="-8"/>
          <w:sz w:val="32"/>
          <w:szCs w:val="32"/>
        </w:rPr>
        <w:t>推进低保制度城乡统筹，探索建立以最低生活保障为基础</w:t>
      </w:r>
      <w:r>
        <w:rPr>
          <w:rFonts w:ascii="仿宋_GB2312" w:eastAsia="仿宋_GB2312" w:cs="仿宋_GB2312"/>
          <w:spacing w:val="-8"/>
          <w:sz w:val="32"/>
          <w:szCs w:val="32"/>
        </w:rPr>
        <w:t>,</w:t>
      </w:r>
      <w:r>
        <w:rPr>
          <w:rFonts w:hint="eastAsia" w:ascii="仿宋_GB2312" w:eastAsia="仿宋_GB2312" w:cs="仿宋_GB2312"/>
          <w:spacing w:val="-8"/>
          <w:sz w:val="32"/>
          <w:szCs w:val="32"/>
        </w:rPr>
        <w:t>专项救助为支撑</w:t>
      </w:r>
      <w:r>
        <w:rPr>
          <w:rFonts w:ascii="仿宋_GB2312" w:eastAsia="仿宋_GB2312" w:cs="仿宋_GB2312"/>
          <w:spacing w:val="-8"/>
          <w:sz w:val="32"/>
          <w:szCs w:val="32"/>
        </w:rPr>
        <w:t>,</w:t>
      </w:r>
      <w:r>
        <w:rPr>
          <w:rFonts w:hint="eastAsia" w:ascii="仿宋_GB2312" w:eastAsia="仿宋_GB2312" w:cs="仿宋_GB2312"/>
          <w:spacing w:val="-8"/>
          <w:sz w:val="32"/>
          <w:szCs w:val="32"/>
        </w:rPr>
        <w:t>急难救助为辅助</w:t>
      </w:r>
      <w:r>
        <w:rPr>
          <w:rFonts w:ascii="仿宋_GB2312" w:eastAsia="仿宋_GB2312" w:cs="仿宋_GB2312"/>
          <w:spacing w:val="-8"/>
          <w:sz w:val="32"/>
          <w:szCs w:val="32"/>
        </w:rPr>
        <w:t>,</w:t>
      </w:r>
      <w:r>
        <w:rPr>
          <w:rFonts w:hint="eastAsia" w:ascii="仿宋_GB2312" w:eastAsia="仿宋_GB2312" w:cs="仿宋_GB2312"/>
          <w:spacing w:val="-8"/>
          <w:sz w:val="32"/>
          <w:szCs w:val="32"/>
        </w:rPr>
        <w:t>社会力量参与为补充</w:t>
      </w:r>
      <w:r>
        <w:rPr>
          <w:rFonts w:ascii="仿宋_GB2312" w:eastAsia="仿宋_GB2312" w:cs="仿宋_GB2312"/>
          <w:spacing w:val="-8"/>
          <w:sz w:val="32"/>
          <w:szCs w:val="32"/>
        </w:rPr>
        <w:t>,</w:t>
      </w:r>
      <w:r>
        <w:rPr>
          <w:rFonts w:hint="eastAsia" w:ascii="仿宋_GB2312" w:eastAsia="仿宋_GB2312" w:cs="仿宋_GB2312"/>
          <w:spacing w:val="-8"/>
          <w:sz w:val="32"/>
          <w:szCs w:val="32"/>
        </w:rPr>
        <w:t>分层分类的梯度社会救助制度体系</w:t>
      </w:r>
      <w:r>
        <w:rPr>
          <w:rFonts w:ascii="仿宋_GB2312" w:eastAsia="仿宋_GB2312" w:cs="仿宋_GB2312"/>
          <w:spacing w:val="-8"/>
          <w:sz w:val="32"/>
          <w:szCs w:val="32"/>
        </w:rPr>
        <w:t>,</w:t>
      </w:r>
      <w:r>
        <w:rPr>
          <w:rFonts w:hint="eastAsia" w:ascii="仿宋_GB2312" w:eastAsia="仿宋_GB2312" w:cs="仿宋_GB2312"/>
          <w:spacing w:val="-8"/>
          <w:sz w:val="32"/>
          <w:szCs w:val="32"/>
        </w:rPr>
        <w:t>推动建立相对贫困人群扶弱帮困长效机制</w:t>
      </w:r>
      <w:r>
        <w:rPr>
          <w:rFonts w:ascii="仿宋_GB2312" w:eastAsia="仿宋_GB2312" w:cs="仿宋_GB2312"/>
          <w:spacing w:val="-8"/>
          <w:sz w:val="32"/>
          <w:szCs w:val="32"/>
        </w:rPr>
        <w:t>,</w:t>
      </w:r>
      <w:r>
        <w:rPr>
          <w:rFonts w:hint="eastAsia" w:ascii="仿宋_GB2312" w:eastAsia="仿宋_GB2312" w:cs="仿宋_GB2312"/>
          <w:spacing w:val="-8"/>
          <w:sz w:val="32"/>
          <w:szCs w:val="32"/>
        </w:rPr>
        <w:t>切实保障困难群众的基本生活。进一步优化社会救助工作流程</w:t>
      </w:r>
      <w:r>
        <w:rPr>
          <w:rFonts w:ascii="仿宋_GB2312" w:eastAsia="仿宋_GB2312" w:cs="仿宋_GB2312"/>
          <w:spacing w:val="-8"/>
          <w:sz w:val="32"/>
          <w:szCs w:val="32"/>
        </w:rPr>
        <w:t>,</w:t>
      </w:r>
      <w:r>
        <w:rPr>
          <w:rFonts w:hint="eastAsia" w:ascii="仿宋_GB2312" w:eastAsia="仿宋_GB2312" w:cs="仿宋_GB2312"/>
          <w:spacing w:val="-8"/>
          <w:sz w:val="32"/>
          <w:szCs w:val="32"/>
        </w:rPr>
        <w:t>充分发挥困难群众基本生活保障工作协调机制的作用</w:t>
      </w:r>
      <w:r>
        <w:rPr>
          <w:rFonts w:ascii="仿宋_GB2312" w:eastAsia="仿宋_GB2312" w:cs="仿宋_GB2312"/>
          <w:spacing w:val="-8"/>
          <w:sz w:val="32"/>
          <w:szCs w:val="32"/>
        </w:rPr>
        <w:t>,</w:t>
      </w:r>
      <w:r>
        <w:rPr>
          <w:rFonts w:hint="eastAsia" w:ascii="仿宋_GB2312" w:eastAsia="仿宋_GB2312" w:cs="仿宋_GB2312"/>
          <w:spacing w:val="-8"/>
          <w:sz w:val="32"/>
          <w:szCs w:val="32"/>
        </w:rPr>
        <w:t>着力破解制约社会救助发展的瓶颈问题。分步推进全区低保标准、政策、程序、管理等方面实现城乡统筹</w:t>
      </w:r>
      <w:r>
        <w:rPr>
          <w:rFonts w:ascii="仿宋_GB2312" w:eastAsia="仿宋_GB2312" w:cs="仿宋_GB2312"/>
          <w:spacing w:val="-8"/>
          <w:sz w:val="32"/>
          <w:szCs w:val="32"/>
        </w:rPr>
        <w:t>,</w:t>
      </w:r>
      <w:r>
        <w:rPr>
          <w:rFonts w:hint="eastAsia" w:ascii="仿宋_GB2312" w:eastAsia="仿宋_GB2312" w:cs="仿宋_GB2312"/>
          <w:spacing w:val="-8"/>
          <w:sz w:val="32"/>
          <w:szCs w:val="32"/>
        </w:rPr>
        <w:t>加快实现城乡社会救助服务均等化。到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年底</w:t>
      </w:r>
      <w:r>
        <w:rPr>
          <w:rFonts w:ascii="仿宋_GB2312" w:eastAsia="仿宋_GB2312" w:cs="仿宋_GB2312"/>
          <w:spacing w:val="-8"/>
          <w:sz w:val="32"/>
          <w:szCs w:val="32"/>
        </w:rPr>
        <w:t>,</w:t>
      </w:r>
      <w:r>
        <w:rPr>
          <w:rFonts w:hint="eastAsia" w:ascii="仿宋_GB2312" w:eastAsia="仿宋_GB2312" w:cs="仿宋_GB2312"/>
          <w:spacing w:val="-8"/>
          <w:sz w:val="32"/>
          <w:szCs w:val="32"/>
        </w:rPr>
        <w:t>全区初步形成与经济社会发展水平相适应、与基本公共服务均等化目标相协调统筹城乡低保保障体系。</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完善社会保障新体系。</w:t>
      </w:r>
      <w:r>
        <w:rPr>
          <w:rFonts w:hint="eastAsia" w:ascii="仿宋_GB2312" w:eastAsia="仿宋_GB2312" w:cs="仿宋_GB2312"/>
          <w:spacing w:val="-8"/>
          <w:sz w:val="32"/>
          <w:szCs w:val="32"/>
        </w:rPr>
        <w:t>持续推进电商、灵活就业、新业态从业人员等群体的参保工作。全民参保计划全面实施，继续扩大社会保险覆盖范围，加大社会保险费征缴力度</w:t>
      </w:r>
      <w:r>
        <w:rPr>
          <w:rFonts w:ascii="仿宋_GB2312" w:eastAsia="仿宋_GB2312" w:cs="仿宋_GB2312"/>
          <w:spacing w:val="-8"/>
          <w:sz w:val="32"/>
          <w:szCs w:val="32"/>
        </w:rPr>
        <w:t>,</w:t>
      </w:r>
      <w:r>
        <w:rPr>
          <w:rFonts w:hint="eastAsia" w:ascii="仿宋_GB2312" w:eastAsia="仿宋_GB2312" w:cs="仿宋_GB2312"/>
          <w:spacing w:val="-8"/>
          <w:sz w:val="32"/>
          <w:szCs w:val="32"/>
        </w:rPr>
        <w:t>切实做到应收尽收、应保尽保；调整提高参保人员的待遇水平</w:t>
      </w:r>
      <w:r>
        <w:rPr>
          <w:rFonts w:ascii="仿宋_GB2312" w:eastAsia="仿宋_GB2312" w:cs="仿宋_GB2312"/>
          <w:spacing w:val="-8"/>
          <w:sz w:val="32"/>
          <w:szCs w:val="32"/>
        </w:rPr>
        <w:t>,</w:t>
      </w:r>
      <w:r>
        <w:rPr>
          <w:rFonts w:hint="eastAsia" w:ascii="仿宋_GB2312" w:eastAsia="仿宋_GB2312" w:cs="仿宋_GB2312"/>
          <w:spacing w:val="-8"/>
          <w:sz w:val="32"/>
          <w:szCs w:val="32"/>
        </w:rPr>
        <w:t>逐步加大政府对社会保障事业的资金投入</w:t>
      </w:r>
      <w:r>
        <w:rPr>
          <w:rFonts w:ascii="仿宋_GB2312" w:eastAsia="仿宋_GB2312" w:cs="仿宋_GB2312"/>
          <w:spacing w:val="-8"/>
          <w:sz w:val="32"/>
          <w:szCs w:val="32"/>
        </w:rPr>
        <w:t>,</w:t>
      </w:r>
      <w:r>
        <w:rPr>
          <w:rFonts w:hint="eastAsia" w:ascii="仿宋_GB2312" w:eastAsia="仿宋_GB2312" w:cs="仿宋_GB2312"/>
          <w:spacing w:val="-8"/>
          <w:sz w:val="32"/>
          <w:szCs w:val="32"/>
        </w:rPr>
        <w:t>确保各项社会保险待遇按时足额发放。深入开展社保数据稽核</w:t>
      </w:r>
      <w:r>
        <w:rPr>
          <w:rFonts w:ascii="仿宋_GB2312" w:eastAsia="仿宋_GB2312" w:cs="仿宋_GB2312"/>
          <w:spacing w:val="-8"/>
          <w:sz w:val="32"/>
          <w:szCs w:val="32"/>
        </w:rPr>
        <w:t>,</w:t>
      </w:r>
      <w:r>
        <w:rPr>
          <w:rFonts w:hint="eastAsia" w:ascii="仿宋_GB2312" w:eastAsia="仿宋_GB2312" w:cs="仿宋_GB2312"/>
          <w:spacing w:val="-8"/>
          <w:sz w:val="32"/>
          <w:szCs w:val="32"/>
        </w:rPr>
        <w:t>建立制度化、常态化、数据核查机制。大力推进风险防控措施“进规程、进系统”</w:t>
      </w:r>
      <w:r>
        <w:rPr>
          <w:rFonts w:ascii="仿宋_GB2312" w:eastAsia="仿宋_GB2312" w:cs="仿宋_GB2312"/>
          <w:spacing w:val="-8"/>
          <w:sz w:val="32"/>
          <w:szCs w:val="32"/>
        </w:rPr>
        <w:t>,</w:t>
      </w:r>
      <w:r>
        <w:rPr>
          <w:rFonts w:hint="eastAsia" w:ascii="仿宋_GB2312" w:eastAsia="仿宋_GB2312" w:cs="仿宋_GB2312"/>
          <w:spacing w:val="-8"/>
          <w:sz w:val="32"/>
          <w:szCs w:val="32"/>
        </w:rPr>
        <w:t>构建事前预防控制、事中在线核验、事后稽核检查的风险防控体系。严格执行社会保险基金监督法律、法规和政策</w:t>
      </w:r>
      <w:r>
        <w:rPr>
          <w:rFonts w:ascii="仿宋_GB2312" w:eastAsia="仿宋_GB2312" w:cs="仿宋_GB2312"/>
          <w:spacing w:val="-8"/>
          <w:sz w:val="32"/>
          <w:szCs w:val="32"/>
        </w:rPr>
        <w:t>,</w:t>
      </w:r>
      <w:r>
        <w:rPr>
          <w:rFonts w:hint="eastAsia" w:ascii="仿宋_GB2312" w:eastAsia="仿宋_GB2312" w:cs="仿宋_GB2312"/>
          <w:spacing w:val="-8"/>
          <w:sz w:val="32"/>
          <w:szCs w:val="32"/>
        </w:rPr>
        <w:t>进一步完善社保经办内控制度。加强社会监督、政府监督和有关部门协同监督</w:t>
      </w:r>
      <w:r>
        <w:rPr>
          <w:rFonts w:ascii="仿宋_GB2312" w:eastAsia="仿宋_GB2312" w:cs="仿宋_GB2312"/>
          <w:spacing w:val="-8"/>
          <w:sz w:val="32"/>
          <w:szCs w:val="32"/>
        </w:rPr>
        <w:t>,</w:t>
      </w:r>
      <w:r>
        <w:rPr>
          <w:rFonts w:hint="eastAsia" w:ascii="仿宋_GB2312" w:eastAsia="仿宋_GB2312" w:cs="仿宋_GB2312"/>
          <w:spacing w:val="-8"/>
          <w:sz w:val="32"/>
          <w:szCs w:val="32"/>
        </w:rPr>
        <w:t>及时查处和纠正违规行为</w:t>
      </w:r>
      <w:r>
        <w:rPr>
          <w:rFonts w:ascii="仿宋_GB2312" w:eastAsia="仿宋_GB2312" w:cs="仿宋_GB2312"/>
          <w:spacing w:val="-8"/>
          <w:sz w:val="32"/>
          <w:szCs w:val="32"/>
        </w:rPr>
        <w:t>,</w:t>
      </w:r>
      <w:r>
        <w:rPr>
          <w:rFonts w:hint="eastAsia" w:ascii="仿宋_GB2312" w:eastAsia="仿宋_GB2312" w:cs="仿宋_GB2312"/>
          <w:spacing w:val="-8"/>
          <w:sz w:val="32"/>
          <w:szCs w:val="32"/>
        </w:rPr>
        <w:t>确保基金安全平稳</w:t>
      </w:r>
      <w:r>
        <w:rPr>
          <w:rFonts w:ascii="仿宋_GB2312" w:eastAsia="仿宋_GB2312" w:cs="仿宋_GB2312"/>
          <w:spacing w:val="-8"/>
          <w:sz w:val="32"/>
          <w:szCs w:val="32"/>
        </w:rPr>
        <w:t>;</w:t>
      </w:r>
      <w:r>
        <w:rPr>
          <w:rFonts w:hint="eastAsia" w:ascii="仿宋_GB2312" w:eastAsia="仿宋_GB2312" w:cs="仿宋_GB2312"/>
          <w:spacing w:val="-8"/>
          <w:sz w:val="32"/>
          <w:szCs w:val="32"/>
        </w:rPr>
        <w:t>加快社保经办数字化转型。大力优化社保经办数字化环境</w:t>
      </w:r>
      <w:r>
        <w:rPr>
          <w:rFonts w:ascii="仿宋_GB2312" w:eastAsia="仿宋_GB2312" w:cs="仿宋_GB2312"/>
          <w:spacing w:val="-8"/>
          <w:sz w:val="32"/>
          <w:szCs w:val="32"/>
        </w:rPr>
        <w:t>,</w:t>
      </w:r>
      <w:r>
        <w:rPr>
          <w:rFonts w:hint="eastAsia" w:ascii="仿宋_GB2312" w:eastAsia="仿宋_GB2312" w:cs="仿宋_GB2312"/>
          <w:spacing w:val="-8"/>
          <w:sz w:val="32"/>
          <w:szCs w:val="32"/>
        </w:rPr>
        <w:t>强化数据安全管理</w:t>
      </w:r>
      <w:r>
        <w:rPr>
          <w:rFonts w:ascii="仿宋_GB2312" w:eastAsia="仿宋_GB2312" w:cs="仿宋_GB2312"/>
          <w:spacing w:val="-8"/>
          <w:sz w:val="32"/>
          <w:szCs w:val="32"/>
        </w:rPr>
        <w:t>,</w:t>
      </w:r>
      <w:r>
        <w:rPr>
          <w:rFonts w:hint="eastAsia" w:ascii="仿宋_GB2312" w:eastAsia="仿宋_GB2312" w:cs="仿宋_GB2312"/>
          <w:spacing w:val="-8"/>
          <w:sz w:val="32"/>
          <w:szCs w:val="32"/>
        </w:rPr>
        <w:t>推动数据安全与协同共享可控发展</w:t>
      </w:r>
      <w:r>
        <w:rPr>
          <w:rFonts w:ascii="仿宋_GB2312" w:eastAsia="仿宋_GB2312" w:cs="仿宋_GB2312"/>
          <w:spacing w:val="-8"/>
          <w:sz w:val="32"/>
          <w:szCs w:val="32"/>
        </w:rPr>
        <w:t>,</w:t>
      </w:r>
      <w:r>
        <w:rPr>
          <w:rFonts w:hint="eastAsia" w:ascii="仿宋_GB2312" w:eastAsia="仿宋_GB2312" w:cs="仿宋_GB2312"/>
          <w:spacing w:val="-8"/>
          <w:sz w:val="32"/>
          <w:szCs w:val="32"/>
        </w:rPr>
        <w:t>构建职能高效与安全可靠的保数据管理体系。</w:t>
      </w:r>
    </w:p>
    <w:p>
      <w:pPr>
        <w:pStyle w:val="4"/>
        <w:spacing w:before="0" w:after="0" w:line="570" w:lineRule="exact"/>
        <w:jc w:val="center"/>
        <w:rPr>
          <w:rFonts w:ascii="黑体" w:hAnsi="Times New Roman"/>
          <w:b w:val="0"/>
          <w:spacing w:val="-8"/>
          <w:kern w:val="2"/>
          <w:szCs w:val="32"/>
        </w:rPr>
      </w:pPr>
      <w:bookmarkStart w:id="119" w:name="_Toc14789"/>
      <w:r>
        <w:rPr>
          <w:rFonts w:hint="eastAsia"/>
        </w:rPr>
        <w:fldChar w:fldCharType="begin"/>
      </w:r>
      <w:r>
        <w:instrText xml:space="preserve"> HYPERLINK \l "_Toc8273"</w:instrText>
      </w:r>
      <w:r>
        <w:rPr>
          <w:rFonts w:hint="eastAsia"/>
        </w:rPr>
        <w:fldChar w:fldCharType="separate"/>
      </w:r>
      <w:bookmarkStart w:id="120" w:name="_Toc63009762"/>
      <w:r>
        <w:rPr>
          <w:rFonts w:hint="eastAsia" w:ascii="黑体" w:hAnsi="Times New Roman"/>
          <w:b w:val="0"/>
          <w:spacing w:val="-8"/>
          <w:kern w:val="2"/>
          <w:szCs w:val="32"/>
        </w:rPr>
        <w:t>第三节坚持教育优先战略，稳步提升教育教学质</w:t>
      </w:r>
      <w:r>
        <w:rPr>
          <w:rFonts w:hint="eastAsia" w:ascii="黑体" w:hAnsi="Times New Roman"/>
          <w:b w:val="0"/>
          <w:spacing w:val="-8"/>
          <w:kern w:val="2"/>
          <w:szCs w:val="32"/>
        </w:rPr>
        <w:fldChar w:fldCharType="end"/>
      </w:r>
      <w:r>
        <w:rPr>
          <w:rFonts w:hint="eastAsia" w:ascii="黑体" w:hAnsi="Times New Roman"/>
          <w:b w:val="0"/>
          <w:spacing w:val="-8"/>
          <w:kern w:val="2"/>
          <w:szCs w:val="32"/>
        </w:rPr>
        <w:t>量</w:t>
      </w:r>
      <w:bookmarkEnd w:id="119"/>
      <w:bookmarkEnd w:id="120"/>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坚持以“立德树人”为根本，以“创建教育强区，办好人民满意教育，培养德智体美劳全面发展的社会主义建设者和接班人”为目标，落实教育是“国之大计、党之大计”两个大计；突出“思想政治、教育质量、安全稳定”三个重点；抓实“学前教育抓普惠、义务教育抓均衡、高中教育抓培优、职业教育抓创新”四项任务；实施“校园工程项目建设、校园文化环境优化、教师队伍建设管理、学生思想道德建设、校园安全管理教育、教育信息化建设、校园体育美育发展和教育脱贫成果巩固”八大工程。借势京津冀协同发展，积极对接京津优质教育资源，推进教育治理体系和治理能力现代化。</w:t>
      </w:r>
    </w:p>
    <w:p>
      <w:pPr>
        <w:spacing w:line="570" w:lineRule="exact"/>
        <w:ind w:firstLine="611" w:firstLineChars="200"/>
        <w:rPr>
          <w:rFonts w:ascii="仿宋_GB2312" w:eastAsia="仿宋_GB2312" w:cs="仿宋_GB2312"/>
          <w:color w:val="FF0000"/>
          <w:spacing w:val="-8"/>
          <w:sz w:val="32"/>
          <w:szCs w:val="32"/>
        </w:rPr>
      </w:pPr>
      <w:r>
        <w:rPr>
          <w:rFonts w:hint="eastAsia" w:ascii="仿宋_GB2312" w:hAnsi="仿宋" w:eastAsia="仿宋_GB2312" w:cs="仿宋"/>
          <w:b/>
          <w:bCs/>
          <w:spacing w:val="-8"/>
          <w:sz w:val="32"/>
          <w:szCs w:val="32"/>
        </w:rPr>
        <w:t>城区办学条件优化。</w:t>
      </w:r>
      <w:r>
        <w:rPr>
          <w:rFonts w:hint="eastAsia" w:ascii="仿宋_GB2312" w:eastAsia="仿宋_GB2312" w:cs="仿宋_GB2312"/>
          <w:spacing w:val="-8"/>
          <w:sz w:val="32"/>
          <w:szCs w:val="32"/>
        </w:rPr>
        <w:t>完成满城小学和第三实验小学新建教学楼项目、职教中心新型技能实训基地项目、河北满城中学新建教学楼项目、保定市第二十八中学建设项目，谋划实施第四实验小学项目、第二直属幼儿园建设项目。</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校园文化环境优化。</w:t>
      </w:r>
      <w:r>
        <w:rPr>
          <w:rFonts w:hint="eastAsia" w:ascii="仿宋_GB2312" w:eastAsia="仿宋_GB2312" w:cs="仿宋_GB2312"/>
          <w:spacing w:val="-8"/>
          <w:sz w:val="32"/>
          <w:szCs w:val="32"/>
        </w:rPr>
        <w:t>以习近平新时代中国特色社会主义思想为指导，突出社会主义核心价值观，结合学校地域文化，因地制宜，注重传承，美化校园，培育时代精神。用“五四精神”“长征精神”“抗战精神”“抗美援朝精神”“雷锋精神”“抗疫精神”等中华民族和中国人民在奋进发展中表现出来的优秀精神力量鼓舞学生。让学校成为区域优秀文化的聚集所、生态文明建设的样板间、精神文明的新高地。</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学生道德水平提升。</w:t>
      </w:r>
      <w:r>
        <w:rPr>
          <w:rFonts w:hint="eastAsia" w:ascii="仿宋_GB2312" w:eastAsia="仿宋_GB2312" w:cs="仿宋_GB2312"/>
          <w:spacing w:val="-12"/>
          <w:sz w:val="32"/>
          <w:szCs w:val="32"/>
        </w:rPr>
        <w:t>坚持德育为首，健全学校家庭社会协同育人机制，努力构建德智体美劳全面培养的教育体系。强化青少年阶段人生“拔节孕穗期”的引导和栽培，以学校思政课为主渠道，以爱国主义教育基地为补充，突出“清明节”“五四青年节”“中国人民抗日战争胜利纪念日”“南京大屠杀死难者国家公祭日”等纪念活动，深入学习贯彻习近平新时代中国特色社</w:t>
      </w:r>
      <w:r>
        <w:rPr>
          <w:rFonts w:hint="eastAsia" w:ascii="仿宋_GB2312" w:eastAsia="仿宋_GB2312" w:cs="仿宋_GB2312"/>
          <w:spacing w:val="-12"/>
          <w:sz w:val="32"/>
          <w:szCs w:val="32"/>
          <w:lang w:val="en-US" w:eastAsia="zh-CN"/>
        </w:rPr>
        <w:t>会</w:t>
      </w:r>
      <w:r>
        <w:rPr>
          <w:rFonts w:hint="eastAsia" w:ascii="仿宋_GB2312" w:eastAsia="仿宋_GB2312" w:cs="仿宋_GB2312"/>
          <w:spacing w:val="-12"/>
          <w:sz w:val="32"/>
          <w:szCs w:val="32"/>
        </w:rPr>
        <w:t>主义思想，教育引导学生践行社会主义核心价值观，扣好人生第一粒扣子。</w:t>
      </w:r>
    </w:p>
    <w:p>
      <w:pPr>
        <w:spacing w:line="570" w:lineRule="exact"/>
        <w:ind w:firstLine="611" w:firstLineChars="200"/>
        <w:rPr>
          <w:rFonts w:ascii="仿宋_GB2312" w:eastAsia="仿宋_GB2312" w:cs="仿宋_GB2312"/>
          <w:spacing w:val="-8"/>
          <w:sz w:val="32"/>
          <w:szCs w:val="32"/>
        </w:rPr>
      </w:pPr>
      <w:r>
        <w:rPr>
          <w:rFonts w:hint="eastAsia" w:ascii="仿宋_GB2312" w:eastAsia="仿宋_GB2312" w:cs="仿宋_GB2312"/>
          <w:b/>
          <w:bCs/>
          <w:spacing w:val="-8"/>
          <w:sz w:val="32"/>
          <w:szCs w:val="32"/>
        </w:rPr>
        <w:t>教育教学质量提升。</w:t>
      </w:r>
      <w:r>
        <w:rPr>
          <w:rFonts w:hint="eastAsia" w:ascii="仿宋_GB2312" w:eastAsia="仿宋_GB2312" w:cs="仿宋_GB2312"/>
          <w:spacing w:val="-8"/>
          <w:sz w:val="32"/>
          <w:szCs w:val="32"/>
        </w:rPr>
        <w:t>加快构建教育新发展格局，建设高质量教育体系。规范教育管理，坚持系统观念，扬长避短，改善教育生态。深化教学改革，开展教学大练兵，研训结合，评训结合，同课异构，提质增效。深化教师发展改革，优化师资结构，提高教师待遇和地位，加大教师培训，厉行师德规范，弘扬师德新风。实施农村义务教育学生营养改善计划，推进农村薄弱学校升级改造，逐步消除城乡差异、校际差异，构建义务教育城乡一体化发展格局。教学相长，努力办好公平而有质量的教育。</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校园安全管理教育。</w:t>
      </w:r>
      <w:r>
        <w:rPr>
          <w:rFonts w:hint="eastAsia" w:ascii="仿宋_GB2312" w:eastAsia="仿宋_GB2312" w:cs="仿宋_GB2312"/>
          <w:spacing w:val="-8"/>
          <w:sz w:val="32"/>
          <w:szCs w:val="32"/>
        </w:rPr>
        <w:t>构建创新型现代化安全工作管理体系，全面实现学校安全工作智能化、规范化、精细化，全力维护学校安全稳定。继续开展校园周边环境治安综合治理，加强学校、家庭、社会和司法联动保护。突出师生安全教育、法治教育、防范演练，深入推进依法治校、依法治教、依法治学。</w:t>
      </w:r>
    </w:p>
    <w:p>
      <w:pPr>
        <w:spacing w:line="570" w:lineRule="exact"/>
        <w:ind w:firstLine="611" w:firstLineChars="200"/>
        <w:rPr>
          <w:rFonts w:ascii="仿宋_GB2312" w:eastAsia="仿宋_GB2312"/>
          <w:spacing w:val="-8"/>
        </w:rPr>
      </w:pPr>
      <w:r>
        <w:rPr>
          <w:rFonts w:hint="eastAsia" w:ascii="仿宋_GB2312" w:hAnsi="仿宋" w:eastAsia="仿宋_GB2312" w:cs="仿宋"/>
          <w:b/>
          <w:bCs/>
          <w:spacing w:val="-8"/>
          <w:sz w:val="32"/>
          <w:szCs w:val="32"/>
        </w:rPr>
        <w:t>教育信息化建设。</w:t>
      </w:r>
      <w:r>
        <w:rPr>
          <w:rFonts w:hint="eastAsia" w:ascii="仿宋_GB2312" w:eastAsia="仿宋_GB2312" w:cs="仿宋_GB2312"/>
          <w:spacing w:val="-8"/>
          <w:sz w:val="32"/>
          <w:szCs w:val="32"/>
        </w:rPr>
        <w:t>加强专业教室使用督查指导，组织设备应用及专业知识培训，补充完善教学仪器设备和音体美器材。加强农村小规模学校联网攻坚，组建城乡联校网教共同体，依托“专递课堂”、“同步课堂”促进城乡优质资源共享，全面实现城乡教育均衡发展。</w:t>
      </w:r>
    </w:p>
    <w:p>
      <w:pPr>
        <w:pStyle w:val="4"/>
        <w:spacing w:before="0" w:after="0" w:line="570" w:lineRule="exact"/>
        <w:jc w:val="center"/>
        <w:rPr>
          <w:rFonts w:ascii="黑体" w:hAnsi="Times New Roman"/>
          <w:b w:val="0"/>
          <w:spacing w:val="-8"/>
          <w:kern w:val="2"/>
          <w:szCs w:val="32"/>
        </w:rPr>
      </w:pPr>
      <w:bookmarkStart w:id="121" w:name="_Toc9235"/>
      <w:bookmarkStart w:id="122" w:name="_Toc63009763"/>
      <w:r>
        <w:rPr>
          <w:rFonts w:hint="eastAsia" w:ascii="黑体" w:hAnsi="Times New Roman"/>
          <w:b w:val="0"/>
          <w:spacing w:val="-8"/>
          <w:kern w:val="2"/>
          <w:szCs w:val="32"/>
        </w:rPr>
        <w:t>第四节普及发展体育事业，全面提升全民健康水平</w:t>
      </w:r>
      <w:bookmarkEnd w:id="121"/>
      <w:bookmarkEnd w:id="122"/>
    </w:p>
    <w:p>
      <w:pPr>
        <w:spacing w:line="570" w:lineRule="exact"/>
        <w:ind w:firstLine="608" w:firstLineChars="200"/>
        <w:rPr>
          <w:rFonts w:eastAsia="仿宋_GB2312"/>
          <w:spacing w:val="-8"/>
          <w:sz w:val="32"/>
          <w:szCs w:val="32"/>
        </w:rPr>
      </w:pPr>
      <w:r>
        <w:rPr>
          <w:rFonts w:hint="eastAsia" w:eastAsia="仿宋_GB2312"/>
          <w:spacing w:val="-8"/>
          <w:sz w:val="32"/>
          <w:szCs w:val="32"/>
        </w:rPr>
        <w:t>借势“</w:t>
      </w:r>
      <w:r>
        <w:rPr>
          <w:rFonts w:eastAsia="仿宋_GB2312"/>
          <w:spacing w:val="-8"/>
          <w:sz w:val="32"/>
          <w:szCs w:val="32"/>
        </w:rPr>
        <w:t>2022</w:t>
      </w:r>
      <w:r>
        <w:rPr>
          <w:rFonts w:hint="eastAsia" w:eastAsia="仿宋_GB2312"/>
          <w:spacing w:val="-8"/>
          <w:sz w:val="32"/>
          <w:szCs w:val="32"/>
        </w:rPr>
        <w:t>年北京冬季奥运会”，积极推进以冰雪运动为特色的体育运动，进一步提高全区人民群众的身体素质和健康水平，全民健身工作再上新台阶。</w:t>
      </w:r>
    </w:p>
    <w:p>
      <w:pPr>
        <w:spacing w:line="570" w:lineRule="exact"/>
        <w:ind w:firstLine="604" w:firstLineChars="198"/>
        <w:rPr>
          <w:rFonts w:eastAsia="仿宋_GB2312"/>
          <w:spacing w:val="-8"/>
          <w:sz w:val="32"/>
          <w:szCs w:val="32"/>
        </w:rPr>
      </w:pPr>
      <w:r>
        <w:rPr>
          <w:rFonts w:hint="eastAsia" w:eastAsia="仿宋_GB2312"/>
          <w:b/>
          <w:bCs/>
          <w:spacing w:val="-8"/>
          <w:sz w:val="32"/>
          <w:szCs w:val="32"/>
        </w:rPr>
        <w:t>建设全民健身服务设施。</w:t>
      </w:r>
      <w:r>
        <w:rPr>
          <w:rFonts w:hint="eastAsia" w:eastAsia="仿宋_GB2312"/>
          <w:spacing w:val="-8"/>
          <w:sz w:val="32"/>
          <w:szCs w:val="32"/>
        </w:rPr>
        <w:t>统筹建设全民健身公共设施，加强健身步道、骑行道、全民健身中心、体育公园、社区多功能运动场等场地设施建设，进一步完善“</w:t>
      </w:r>
      <w:r>
        <w:rPr>
          <w:rFonts w:eastAsia="仿宋_GB2312"/>
          <w:spacing w:val="-8"/>
          <w:sz w:val="32"/>
          <w:szCs w:val="32"/>
        </w:rPr>
        <w:t>3+X</w:t>
      </w:r>
      <w:r>
        <w:rPr>
          <w:rFonts w:hint="eastAsia" w:eastAsia="仿宋_GB2312"/>
          <w:spacing w:val="-8"/>
          <w:sz w:val="32"/>
          <w:szCs w:val="32"/>
        </w:rPr>
        <w:t>”工程</w:t>
      </w:r>
      <w:r>
        <w:rPr>
          <w:rFonts w:eastAsia="仿宋_GB2312"/>
          <w:spacing w:val="-8"/>
          <w:sz w:val="32"/>
          <w:szCs w:val="32"/>
        </w:rPr>
        <w:t>(</w:t>
      </w:r>
      <w:r>
        <w:rPr>
          <w:rFonts w:hint="eastAsia" w:eastAsia="仿宋_GB2312"/>
          <w:spacing w:val="-8"/>
          <w:sz w:val="32"/>
          <w:szCs w:val="32"/>
        </w:rPr>
        <w:t>即：一个公共体育场、一个公共体育馆、一个全民健身中心或公共滑冰馆、公共游泳馆</w:t>
      </w:r>
      <w:r>
        <w:rPr>
          <w:rFonts w:eastAsia="仿宋_GB2312"/>
          <w:spacing w:val="-8"/>
          <w:sz w:val="32"/>
          <w:szCs w:val="32"/>
        </w:rPr>
        <w:t>)</w:t>
      </w:r>
      <w:r>
        <w:rPr>
          <w:rFonts w:hint="eastAsia" w:eastAsia="仿宋_GB2312"/>
          <w:spacing w:val="-8"/>
          <w:sz w:val="32"/>
          <w:szCs w:val="32"/>
        </w:rPr>
        <w:t>提档升级。到</w:t>
      </w:r>
      <w:r>
        <w:rPr>
          <w:rFonts w:eastAsia="仿宋_GB2312"/>
          <w:spacing w:val="-8"/>
          <w:sz w:val="32"/>
          <w:szCs w:val="32"/>
        </w:rPr>
        <w:t>2025</w:t>
      </w:r>
      <w:r>
        <w:rPr>
          <w:rFonts w:hint="eastAsia" w:eastAsia="仿宋_GB2312"/>
          <w:spacing w:val="-8"/>
          <w:sz w:val="32"/>
          <w:szCs w:val="32"/>
        </w:rPr>
        <w:t>年，基本建成区、乡（镇）、村三级公共体育设施网络，人均体育场地面积不低于</w:t>
      </w:r>
      <w:r>
        <w:rPr>
          <w:rFonts w:eastAsia="仿宋_GB2312"/>
          <w:spacing w:val="-8"/>
          <w:sz w:val="32"/>
          <w:szCs w:val="32"/>
        </w:rPr>
        <w:t>2.2</w:t>
      </w:r>
      <w:r>
        <w:rPr>
          <w:rFonts w:hint="eastAsia" w:eastAsia="仿宋_GB2312"/>
          <w:spacing w:val="-8"/>
          <w:sz w:val="32"/>
          <w:szCs w:val="32"/>
        </w:rPr>
        <w:t>平方米，完善城镇社区</w:t>
      </w:r>
      <w:r>
        <w:rPr>
          <w:rFonts w:eastAsia="仿宋_GB2312"/>
          <w:spacing w:val="-8"/>
          <w:sz w:val="32"/>
          <w:szCs w:val="32"/>
        </w:rPr>
        <w:t>15</w:t>
      </w:r>
      <w:r>
        <w:rPr>
          <w:rFonts w:hint="eastAsia" w:eastAsia="仿宋_GB2312"/>
          <w:spacing w:val="-8"/>
          <w:sz w:val="32"/>
          <w:szCs w:val="32"/>
        </w:rPr>
        <w:t>分钟健身圈，实现所有行政村、公园广场健身器材配备。加快社会足球场地建设，在现有的基础上提升建设标准。推行公共体育设施免费或低收费开放，确保公共体育场地设施和符合开放条件的企事业单位体育场地设施全部向社会开放。</w:t>
      </w:r>
    </w:p>
    <w:p>
      <w:pPr>
        <w:spacing w:line="570" w:lineRule="exact"/>
        <w:ind w:firstLine="645"/>
        <w:jc w:val="left"/>
        <w:rPr>
          <w:rFonts w:ascii="仿宋_GB2312" w:eastAsia="仿宋_GB2312"/>
          <w:spacing w:val="-8"/>
          <w:sz w:val="32"/>
          <w:szCs w:val="32"/>
        </w:rPr>
      </w:pPr>
      <w:r>
        <w:rPr>
          <w:rFonts w:hint="eastAsia" w:ascii="仿宋_GB2312" w:hAnsi="仿宋" w:eastAsia="仿宋_GB2312" w:cs="仿宋"/>
          <w:b/>
          <w:bCs/>
          <w:spacing w:val="-8"/>
          <w:sz w:val="32"/>
          <w:szCs w:val="32"/>
        </w:rPr>
        <w:t>广泛开展全民健身运动。</w:t>
      </w:r>
      <w:r>
        <w:rPr>
          <w:rFonts w:hint="eastAsia" w:ascii="仿宋_GB2312" w:eastAsia="仿宋_GB2312"/>
          <w:spacing w:val="-8"/>
          <w:sz w:val="32"/>
          <w:szCs w:val="32"/>
        </w:rPr>
        <w:t>继续制定实施全民健身计划，推动全民健身生活化。组织社会体育指导员广泛开展全民健身指导服务，实施国家体育锻炼标准，发展群众健身休闲活动。重点依托社会体育协会、跑健走、球类、冰雪、武术、广场舞等健身组织大力发展群众喜闻乐见的运动项目，鼓励开发适合不同人群、不同地域特点的特色运动项目，扶持推广太极拳、健身气功等民族民俗民间传统运动项目。加快发展足球运动，广泛开展校园足球活动，成立足球协会，组织举办全区足球比赛，不断扩大足球运动人口规模，推动足球运动成为群众普遍参与的全民健身活动。</w:t>
      </w:r>
    </w:p>
    <w:p>
      <w:pPr>
        <w:spacing w:line="570" w:lineRule="exact"/>
        <w:ind w:firstLine="604" w:firstLineChars="198"/>
        <w:rPr>
          <w:rFonts w:eastAsia="仿宋_GB2312"/>
          <w:spacing w:val="-8"/>
          <w:sz w:val="32"/>
          <w:szCs w:val="32"/>
        </w:rPr>
      </w:pPr>
      <w:r>
        <w:rPr>
          <w:rFonts w:hint="eastAsia" w:ascii="仿宋_GB2312" w:hAnsi="仿宋" w:eastAsia="仿宋_GB2312" w:cs="仿宋"/>
          <w:b/>
          <w:bCs/>
          <w:spacing w:val="-8"/>
          <w:sz w:val="32"/>
          <w:szCs w:val="32"/>
        </w:rPr>
        <w:t>促进重点人群体育活动。</w:t>
      </w:r>
      <w:r>
        <w:rPr>
          <w:rFonts w:hint="eastAsia" w:ascii="仿宋_GB2312" w:eastAsia="仿宋_GB2312"/>
          <w:spacing w:val="-8"/>
          <w:sz w:val="32"/>
          <w:szCs w:val="32"/>
        </w:rPr>
        <w:t>制定实施青少年、妇女、老年人及残疾人等特殊群体的体质健康干预</w:t>
      </w:r>
      <w:r>
        <w:rPr>
          <w:rFonts w:hint="eastAsia" w:eastAsia="仿宋_GB2312"/>
          <w:spacing w:val="-8"/>
          <w:sz w:val="32"/>
          <w:szCs w:val="32"/>
        </w:rPr>
        <w:t>计划，实施青少年体育活动促进计划，培育青少年体育爱好，基本实现青少年熟练掌握</w:t>
      </w:r>
      <w:r>
        <w:rPr>
          <w:rFonts w:eastAsia="仿宋_GB2312"/>
          <w:spacing w:val="-8"/>
          <w:sz w:val="32"/>
          <w:szCs w:val="32"/>
        </w:rPr>
        <w:t>1</w:t>
      </w:r>
      <w:r>
        <w:rPr>
          <w:rFonts w:hint="eastAsia" w:eastAsia="仿宋_GB2312"/>
          <w:spacing w:val="-8"/>
          <w:sz w:val="32"/>
          <w:szCs w:val="32"/>
        </w:rPr>
        <w:t>项以上体育运动技能，确保学生在校每天体育活动时间不少于</w:t>
      </w:r>
      <w:r>
        <w:rPr>
          <w:rFonts w:eastAsia="仿宋_GB2312"/>
          <w:spacing w:val="-8"/>
          <w:sz w:val="32"/>
          <w:szCs w:val="32"/>
        </w:rPr>
        <w:t>1</w:t>
      </w:r>
      <w:r>
        <w:rPr>
          <w:rFonts w:hint="eastAsia" w:eastAsia="仿宋_GB2312"/>
          <w:spacing w:val="-8"/>
          <w:sz w:val="32"/>
          <w:szCs w:val="32"/>
        </w:rPr>
        <w:t>小时。到</w:t>
      </w:r>
      <w:r>
        <w:rPr>
          <w:rFonts w:eastAsia="仿宋_GB2312"/>
          <w:spacing w:val="-8"/>
          <w:sz w:val="32"/>
          <w:szCs w:val="32"/>
        </w:rPr>
        <w:t>2025</w:t>
      </w:r>
      <w:r>
        <w:rPr>
          <w:rFonts w:hint="eastAsia" w:eastAsia="仿宋_GB2312"/>
          <w:spacing w:val="-8"/>
          <w:sz w:val="32"/>
          <w:szCs w:val="32"/>
        </w:rPr>
        <w:t>年，学校体育场设施与器材配置达标率达到</w:t>
      </w:r>
      <w:r>
        <w:rPr>
          <w:rFonts w:eastAsia="仿宋_GB2312"/>
          <w:spacing w:val="-8"/>
          <w:sz w:val="32"/>
          <w:szCs w:val="32"/>
        </w:rPr>
        <w:t>100%</w:t>
      </w:r>
      <w:r>
        <w:rPr>
          <w:rFonts w:hint="eastAsia" w:eastAsia="仿宋_GB2312"/>
          <w:spacing w:val="-8"/>
          <w:sz w:val="32"/>
          <w:szCs w:val="32"/>
        </w:rPr>
        <w:t>。青少年学生每周参与体育活动，达到中等强度</w:t>
      </w:r>
      <w:r>
        <w:rPr>
          <w:rFonts w:eastAsia="仿宋_GB2312"/>
          <w:spacing w:val="-8"/>
          <w:sz w:val="32"/>
          <w:szCs w:val="32"/>
        </w:rPr>
        <w:t>3</w:t>
      </w:r>
      <w:r>
        <w:rPr>
          <w:rFonts w:hint="eastAsia" w:eastAsia="仿宋_GB2312"/>
          <w:spacing w:val="-8"/>
          <w:sz w:val="32"/>
          <w:szCs w:val="32"/>
        </w:rPr>
        <w:t>次以上，国家学生体质健康标准达标率</w:t>
      </w:r>
      <w:r>
        <w:rPr>
          <w:rFonts w:eastAsia="仿宋_GB2312"/>
          <w:spacing w:val="-8"/>
          <w:sz w:val="32"/>
          <w:szCs w:val="32"/>
        </w:rPr>
        <w:t>25%</w:t>
      </w:r>
      <w:r>
        <w:rPr>
          <w:rFonts w:hint="eastAsia" w:eastAsia="仿宋_GB2312"/>
          <w:spacing w:val="-8"/>
          <w:sz w:val="32"/>
          <w:szCs w:val="32"/>
        </w:rPr>
        <w:t>以上。加强科学指导，促进妇女、老年人和职业群体积极参与全民健身。</w:t>
      </w:r>
    </w:p>
    <w:p>
      <w:pPr>
        <w:spacing w:line="570" w:lineRule="exact"/>
        <w:ind w:firstLine="611" w:firstLineChars="200"/>
        <w:rPr>
          <w:spacing w:val="-8"/>
        </w:rPr>
      </w:pPr>
      <w:r>
        <w:rPr>
          <w:rFonts w:hint="eastAsia" w:ascii="仿宋_GB2312" w:hAnsi="仿宋" w:eastAsia="仿宋_GB2312" w:cs="仿宋"/>
          <w:b/>
          <w:bCs/>
          <w:spacing w:val="-8"/>
          <w:sz w:val="32"/>
          <w:szCs w:val="32"/>
        </w:rPr>
        <w:t>深入推进冰雪运动发展。</w:t>
      </w:r>
      <w:r>
        <w:rPr>
          <w:rFonts w:hint="eastAsia" w:ascii="仿宋_GB2312" w:hAnsi="仿宋_GB2312" w:eastAsia="仿宋_GB2312" w:cs="仿宋_GB2312"/>
          <w:spacing w:val="-8"/>
          <w:sz w:val="32"/>
          <w:szCs w:val="32"/>
        </w:rPr>
        <w:t>加强冰雪场馆建设，提升现有的滑雪场、滑冰场建设</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建成一个室内滑冰馆，每年举办区级冰雪赛事</w:t>
      </w:r>
      <w:r>
        <w:rPr>
          <w:rFonts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rPr>
        <w:t>项以上。依托区冰雪运动协会，组织开展轮滑、滑雪等冰雪运动训练及师资培训，培养专业人才，省市级赛事活动，继续推进体教深入融合，组织中小学生积极体验冰雪，带动广大人民群众广泛参与冰雪运动，到</w:t>
      </w:r>
      <w:r>
        <w:rPr>
          <w:rFonts w:ascii="仿宋_GB2312" w:hAnsi="仿宋_GB2312" w:eastAsia="仿宋_GB2312" w:cs="仿宋_GB2312"/>
          <w:spacing w:val="-8"/>
          <w:sz w:val="32"/>
          <w:szCs w:val="32"/>
        </w:rPr>
        <w:t>2025</w:t>
      </w:r>
      <w:r>
        <w:rPr>
          <w:rFonts w:hint="eastAsia" w:ascii="仿宋_GB2312" w:hAnsi="仿宋_GB2312" w:eastAsia="仿宋_GB2312" w:cs="仿宋_GB2312"/>
          <w:spacing w:val="-8"/>
          <w:sz w:val="32"/>
          <w:szCs w:val="32"/>
        </w:rPr>
        <w:t>年实现全区直接和间接参与人数达到</w:t>
      </w:r>
      <w:r>
        <w:rPr>
          <w:rFonts w:ascii="仿宋_GB2312" w:hAnsi="仿宋_GB2312" w:eastAsia="仿宋_GB2312" w:cs="仿宋_GB2312"/>
          <w:spacing w:val="-8"/>
          <w:sz w:val="32"/>
          <w:szCs w:val="32"/>
        </w:rPr>
        <w:t>25</w:t>
      </w:r>
      <w:r>
        <w:rPr>
          <w:rFonts w:hint="eastAsia" w:ascii="仿宋_GB2312" w:hAnsi="仿宋_GB2312" w:eastAsia="仿宋_GB2312" w:cs="仿宋_GB2312"/>
          <w:spacing w:val="-8"/>
          <w:sz w:val="32"/>
          <w:szCs w:val="32"/>
        </w:rPr>
        <w:t>万人的目标。</w:t>
      </w:r>
    </w:p>
    <w:p>
      <w:pPr>
        <w:pStyle w:val="4"/>
        <w:spacing w:before="0" w:after="0" w:line="570" w:lineRule="exact"/>
        <w:jc w:val="center"/>
        <w:rPr>
          <w:rFonts w:ascii="黑体" w:hAnsi="Times New Roman"/>
          <w:b w:val="0"/>
          <w:spacing w:val="-8"/>
          <w:kern w:val="2"/>
          <w:szCs w:val="32"/>
        </w:rPr>
      </w:pPr>
      <w:bookmarkStart w:id="123" w:name="_Toc3944"/>
      <w:bookmarkStart w:id="124" w:name="_Toc63009764"/>
      <w:r>
        <w:rPr>
          <w:rFonts w:hint="eastAsia" w:ascii="黑体" w:hAnsi="Times New Roman"/>
          <w:b w:val="0"/>
          <w:spacing w:val="-8"/>
          <w:kern w:val="2"/>
          <w:szCs w:val="32"/>
        </w:rPr>
        <w:t>第五节完善卫生养老服务，提高人民群众健康水平</w:t>
      </w:r>
      <w:bookmarkEnd w:id="123"/>
      <w:bookmarkEnd w:id="124"/>
    </w:p>
    <w:p>
      <w:pPr>
        <w:pStyle w:val="19"/>
        <w:tabs>
          <w:tab w:val="right" w:leader="dot" w:pos="9072"/>
        </w:tabs>
        <w:spacing w:line="570" w:lineRule="exact"/>
        <w:ind w:left="0" w:leftChars="0" w:firstLine="583" w:firstLineChars="196"/>
        <w:rPr>
          <w:rFonts w:ascii="仿宋_GB2312" w:hAnsi="仿宋_GB2312" w:eastAsia="仿宋_GB2312" w:cs="仿宋_GB2312"/>
          <w:spacing w:val="-12"/>
          <w:sz w:val="32"/>
          <w:szCs w:val="32"/>
        </w:rPr>
      </w:pPr>
      <w:r>
        <w:rPr>
          <w:rFonts w:hint="eastAsia" w:ascii="仿宋_GB2312" w:hAnsi="仿宋_GB2312" w:eastAsia="仿宋_GB2312" w:cs="仿宋_GB2312"/>
          <w:b/>
          <w:bCs/>
          <w:spacing w:val="-12"/>
          <w:sz w:val="32"/>
          <w:szCs w:val="32"/>
        </w:rPr>
        <w:t>深化医药卫生体制改革。</w:t>
      </w:r>
      <w:r>
        <w:rPr>
          <w:rFonts w:hint="eastAsia" w:ascii="仿宋_GB2312" w:hAnsi="仿宋_GB2312" w:eastAsia="仿宋_GB2312" w:cs="仿宋_GB2312"/>
          <w:spacing w:val="-12"/>
          <w:sz w:val="32"/>
          <w:szCs w:val="32"/>
        </w:rPr>
        <w:t>全面完成“四医联动”医改任务。推进区人民医院西院（老院区）感染病区建设项目、妇计中心改造提升项目、卫生应急储备库及妇幼保健院重大疫情救治能力提升建设项目、疾病预防控制中心综合能力提升项目、基层卫生院污水处理及公共卫生服务能力提升建设项目等；支持保定第七医院争创三级甲等医院；加快推进中医院建设，补齐中医短板；实施乡村医疗机构一体化管理，加快医联体建设，不断完善分级诊疗制度；健全“基本医疗保险</w:t>
      </w:r>
      <w:r>
        <w:rPr>
          <w:rFonts w:ascii="仿宋_GB2312" w:hAnsi="仿宋_GB2312" w:eastAsia="仿宋_GB2312" w:cs="仿宋_GB2312"/>
          <w:spacing w:val="-12"/>
          <w:sz w:val="32"/>
          <w:szCs w:val="32"/>
        </w:rPr>
        <w:t>+</w:t>
      </w:r>
      <w:r>
        <w:rPr>
          <w:rFonts w:hint="eastAsia" w:ascii="仿宋_GB2312" w:hAnsi="仿宋_GB2312" w:eastAsia="仿宋_GB2312" w:cs="仿宋_GB2312"/>
          <w:spacing w:val="-12"/>
          <w:sz w:val="32"/>
          <w:szCs w:val="32"/>
        </w:rPr>
        <w:t>大病保险</w:t>
      </w:r>
      <w:r>
        <w:rPr>
          <w:rFonts w:ascii="仿宋_GB2312" w:hAnsi="仿宋_GB2312" w:eastAsia="仿宋_GB2312" w:cs="仿宋_GB2312"/>
          <w:spacing w:val="-12"/>
          <w:sz w:val="32"/>
          <w:szCs w:val="32"/>
        </w:rPr>
        <w:t>+</w:t>
      </w:r>
      <w:r>
        <w:rPr>
          <w:rFonts w:hint="eastAsia" w:ascii="仿宋_GB2312" w:hAnsi="仿宋_GB2312" w:eastAsia="仿宋_GB2312" w:cs="仿宋_GB2312"/>
          <w:spacing w:val="-12"/>
          <w:sz w:val="32"/>
          <w:szCs w:val="32"/>
        </w:rPr>
        <w:t>医疗救助”多层次医疗保障体系，有效解决群众看病难、看病贵问题。开展</w:t>
      </w:r>
      <w:r>
        <w:rPr>
          <w:rFonts w:hint="eastAsia" w:ascii="仿宋_GB2312" w:hAnsi="黑体" w:eastAsia="仿宋_GB2312"/>
          <w:color w:val="000000"/>
          <w:spacing w:val="-12"/>
          <w:sz w:val="32"/>
          <w:szCs w:val="32"/>
        </w:rPr>
        <w:t>养老机构规范提升专项行动。鼓励</w:t>
      </w:r>
      <w:r>
        <w:rPr>
          <w:rFonts w:hint="eastAsia" w:ascii="仿宋_GB2312" w:hAnsi="仿宋_GB2312" w:eastAsia="仿宋_GB2312" w:cs="仿宋_GB2312"/>
          <w:spacing w:val="-12"/>
          <w:sz w:val="32"/>
          <w:szCs w:val="32"/>
        </w:rPr>
        <w:t>保定第七医院率先探路“医养结合”新模式。</w:t>
      </w:r>
    </w:p>
    <w:p>
      <w:pPr>
        <w:spacing w:line="570" w:lineRule="exact"/>
        <w:ind w:firstLine="611" w:firstLineChars="200"/>
        <w:rPr>
          <w:spacing w:val="-8"/>
        </w:rPr>
      </w:pPr>
      <w:r>
        <w:rPr>
          <w:rFonts w:hint="eastAsia" w:ascii="仿宋_GB2312" w:hAnsi="仿宋" w:eastAsia="仿宋_GB2312" w:cs="仿宋"/>
          <w:b/>
          <w:bCs/>
          <w:spacing w:val="-8"/>
          <w:sz w:val="32"/>
          <w:szCs w:val="32"/>
        </w:rPr>
        <w:t>推进养老服务体系不断完善。</w:t>
      </w:r>
      <w:r>
        <w:rPr>
          <w:rFonts w:hint="eastAsia" w:ascii="仿宋_GB2312" w:hAnsi="仿宋_GB2312" w:eastAsia="仿宋_GB2312" w:cs="仿宋_GB2312"/>
          <w:spacing w:val="-8"/>
          <w:sz w:val="32"/>
          <w:szCs w:val="32"/>
        </w:rPr>
        <w:t>加快建设居家社区机构</w:t>
      </w:r>
      <w:r>
        <w:rPr>
          <w:rFonts w:hint="eastAsia" w:ascii="仿宋_GB2312" w:eastAsia="仿宋_GB2312" w:cs="仿宋_GB2312"/>
          <w:spacing w:val="-8"/>
          <w:sz w:val="32"/>
          <w:szCs w:val="32"/>
        </w:rPr>
        <w:t>相协调、医养康养相结合的养老服务体系。建立老年人综合能力评估体系</w:t>
      </w:r>
      <w:r>
        <w:rPr>
          <w:rFonts w:ascii="仿宋_GB2312" w:eastAsia="仿宋_GB2312" w:cs="仿宋_GB2312"/>
          <w:spacing w:val="-8"/>
          <w:sz w:val="32"/>
          <w:szCs w:val="32"/>
        </w:rPr>
        <w:t>,</w:t>
      </w:r>
      <w:r>
        <w:rPr>
          <w:rFonts w:hint="eastAsia" w:ascii="仿宋_GB2312" w:eastAsia="仿宋_GB2312" w:cs="仿宋_GB2312"/>
          <w:spacing w:val="-8"/>
          <w:sz w:val="32"/>
          <w:szCs w:val="32"/>
        </w:rPr>
        <w:t>完善老年人福利补贴制度。加大公办养老机构设施升级改造力度</w:t>
      </w:r>
      <w:r>
        <w:rPr>
          <w:rFonts w:ascii="仿宋_GB2312" w:eastAsia="仿宋_GB2312" w:cs="仿宋_GB2312"/>
          <w:spacing w:val="-8"/>
          <w:sz w:val="32"/>
          <w:szCs w:val="32"/>
        </w:rPr>
        <w:t>,</w:t>
      </w:r>
      <w:r>
        <w:rPr>
          <w:rFonts w:hint="eastAsia" w:ascii="仿宋_GB2312" w:eastAsia="仿宋_GB2312" w:cs="仿宋_GB2312"/>
          <w:spacing w:val="-8"/>
          <w:sz w:val="32"/>
          <w:szCs w:val="32"/>
        </w:rPr>
        <w:t>加强养老服务综合监管</w:t>
      </w:r>
      <w:r>
        <w:rPr>
          <w:rFonts w:ascii="仿宋_GB2312" w:eastAsia="仿宋_GB2312" w:cs="仿宋_GB2312"/>
          <w:spacing w:val="-8"/>
          <w:sz w:val="32"/>
          <w:szCs w:val="32"/>
        </w:rPr>
        <w:t>,</w:t>
      </w:r>
      <w:r>
        <w:rPr>
          <w:rFonts w:hint="eastAsia" w:ascii="仿宋_GB2312" w:eastAsia="仿宋_GB2312" w:cs="仿宋_GB2312"/>
          <w:spacing w:val="-8"/>
          <w:sz w:val="32"/>
          <w:szCs w:val="32"/>
        </w:rPr>
        <w:t>进一步加强养老护理员队伍建设</w:t>
      </w:r>
      <w:r>
        <w:rPr>
          <w:rFonts w:ascii="仿宋_GB2312" w:eastAsia="仿宋_GB2312" w:cs="仿宋_GB2312"/>
          <w:spacing w:val="-8"/>
          <w:sz w:val="32"/>
          <w:szCs w:val="32"/>
        </w:rPr>
        <w:t>,</w:t>
      </w:r>
      <w:r>
        <w:rPr>
          <w:rFonts w:hint="eastAsia" w:ascii="仿宋_GB2312" w:eastAsia="仿宋_GB2312" w:cs="仿宋_GB2312"/>
          <w:spacing w:val="-8"/>
          <w:sz w:val="32"/>
          <w:szCs w:val="32"/>
        </w:rPr>
        <w:t>提高养老服务质量。大力推进社区居家养老服务发展</w:t>
      </w:r>
      <w:r>
        <w:rPr>
          <w:rFonts w:ascii="仿宋_GB2312" w:eastAsia="仿宋_GB2312" w:cs="仿宋_GB2312"/>
          <w:spacing w:val="-8"/>
          <w:sz w:val="32"/>
          <w:szCs w:val="32"/>
        </w:rPr>
        <w:t>,</w:t>
      </w:r>
      <w:r>
        <w:rPr>
          <w:rFonts w:hint="eastAsia" w:ascii="仿宋_GB2312" w:eastAsia="仿宋_GB2312" w:cs="仿宋_GB2312"/>
          <w:spacing w:val="-8"/>
          <w:sz w:val="32"/>
          <w:szCs w:val="32"/>
        </w:rPr>
        <w:t>加强社区养老服务设施建设</w:t>
      </w:r>
      <w:r>
        <w:rPr>
          <w:rFonts w:ascii="仿宋_GB2312" w:eastAsia="仿宋_GB2312" w:cs="仿宋_GB2312"/>
          <w:spacing w:val="-8"/>
          <w:sz w:val="32"/>
          <w:szCs w:val="32"/>
        </w:rPr>
        <w:t>,</w:t>
      </w:r>
      <w:r>
        <w:rPr>
          <w:rFonts w:hint="eastAsia" w:ascii="仿宋_GB2312" w:eastAsia="仿宋_GB2312" w:cs="仿宋_GB2312"/>
          <w:spacing w:val="-8"/>
          <w:sz w:val="32"/>
          <w:szCs w:val="32"/>
        </w:rPr>
        <w:t>补齐农村养老服务短板。强化特殊困难老年人兜底保障。打造“互联网养老”服务新模式</w:t>
      </w:r>
      <w:r>
        <w:rPr>
          <w:rFonts w:ascii="仿宋_GB2312" w:eastAsia="仿宋_GB2312" w:cs="仿宋_GB2312"/>
          <w:spacing w:val="-8"/>
          <w:sz w:val="32"/>
          <w:szCs w:val="32"/>
        </w:rPr>
        <w:t>,</w:t>
      </w:r>
      <w:r>
        <w:rPr>
          <w:rFonts w:hint="eastAsia" w:ascii="仿宋_GB2312" w:eastAsia="仿宋_GB2312" w:cs="仿宋_GB2312"/>
          <w:spacing w:val="-8"/>
          <w:sz w:val="32"/>
          <w:szCs w:val="32"/>
        </w:rPr>
        <w:t>支持养老服务与健康、旅游等行业融合发展。深化养老服务领域市场化改革和对内对外开放。</w:t>
      </w:r>
    </w:p>
    <w:p>
      <w:pPr>
        <w:spacing w:line="570" w:lineRule="exact"/>
        <w:ind w:firstLine="611" w:firstLineChars="200"/>
        <w:rPr>
          <w:spacing w:val="-8"/>
        </w:rPr>
      </w:pPr>
      <w:r>
        <w:rPr>
          <w:rFonts w:hint="eastAsia" w:ascii="仿宋_GB2312" w:hAnsi="仿宋" w:eastAsia="仿宋_GB2312" w:cs="仿宋"/>
          <w:b/>
          <w:bCs/>
          <w:spacing w:val="-8"/>
          <w:sz w:val="32"/>
          <w:szCs w:val="32"/>
        </w:rPr>
        <w:t>大力发展休闲康养产业。</w:t>
      </w:r>
      <w:r>
        <w:rPr>
          <w:rFonts w:hint="eastAsia" w:ascii="仿宋_GB2312" w:eastAsia="仿宋_GB2312" w:cs="仿宋_GB2312"/>
          <w:spacing w:val="-8"/>
          <w:sz w:val="32"/>
          <w:szCs w:val="32"/>
        </w:rPr>
        <w:t>依托我区山水资源和文化旅游资源，瞄准京津冀中高端养老市场，建设消夏避暑度假、天然氧吧休闲和高端品味休闲等一批特色养老基地，建设高品质、复合型养生养老度假社区，形成具有国内竞争力和生物医药特色的健康产业聚集地。</w:t>
      </w:r>
    </w:p>
    <w:p>
      <w:pPr>
        <w:pStyle w:val="4"/>
        <w:spacing w:before="0" w:after="0" w:line="570" w:lineRule="exact"/>
        <w:jc w:val="center"/>
        <w:rPr>
          <w:rFonts w:ascii="黑体" w:hAnsi="Times New Roman"/>
          <w:b w:val="0"/>
          <w:spacing w:val="-8"/>
          <w:kern w:val="2"/>
          <w:szCs w:val="32"/>
        </w:rPr>
      </w:pPr>
      <w:bookmarkStart w:id="125" w:name="_Toc30171"/>
      <w:r>
        <w:rPr>
          <w:rFonts w:hint="eastAsia"/>
        </w:rPr>
        <w:fldChar w:fldCharType="begin"/>
      </w:r>
      <w:r>
        <w:instrText xml:space="preserve"> HYPERLINK \l "_Toc2122"</w:instrText>
      </w:r>
      <w:r>
        <w:rPr>
          <w:rFonts w:hint="eastAsia"/>
        </w:rPr>
        <w:fldChar w:fldCharType="separate"/>
      </w:r>
      <w:bookmarkStart w:id="126" w:name="_Toc63009765"/>
      <w:r>
        <w:rPr>
          <w:rFonts w:hint="eastAsia" w:ascii="黑体" w:hAnsi="Times New Roman"/>
          <w:b w:val="0"/>
          <w:spacing w:val="-8"/>
          <w:kern w:val="2"/>
          <w:szCs w:val="32"/>
        </w:rPr>
        <w:t>第六节健全公共安全体系，强化城市运行安全保障</w:t>
      </w:r>
      <w:bookmarkEnd w:id="126"/>
      <w:r>
        <w:rPr>
          <w:rFonts w:hint="eastAsia" w:ascii="黑体" w:hAnsi="Times New Roman"/>
          <w:b w:val="0"/>
          <w:spacing w:val="-8"/>
          <w:kern w:val="2"/>
          <w:szCs w:val="32"/>
        </w:rPr>
        <w:fldChar w:fldCharType="end"/>
      </w:r>
      <w:bookmarkEnd w:id="125"/>
    </w:p>
    <w:p>
      <w:pPr>
        <w:spacing w:line="570" w:lineRule="exact"/>
        <w:ind w:firstLine="608" w:firstLineChars="200"/>
        <w:rPr>
          <w:rFonts w:eastAsia="仿宋_GB2312"/>
          <w:spacing w:val="-8"/>
          <w:sz w:val="32"/>
          <w:szCs w:val="32"/>
        </w:rPr>
      </w:pPr>
      <w:r>
        <w:rPr>
          <w:rFonts w:hint="eastAsia" w:eastAsia="仿宋_GB2312"/>
          <w:spacing w:val="-8"/>
          <w:sz w:val="32"/>
          <w:szCs w:val="32"/>
        </w:rPr>
        <w:t>全面加强食品药品安全、安全生产、消防安全、社会治安防控、灾害防治工作。</w:t>
      </w:r>
      <w:r>
        <w:rPr>
          <w:rFonts w:hint="eastAsia" w:ascii="仿宋_GB2312" w:hAnsi="仿宋_GB2312" w:eastAsia="仿宋_GB2312" w:cs="仿宋_GB2312"/>
          <w:spacing w:val="-8"/>
          <w:sz w:val="32"/>
          <w:szCs w:val="32"/>
        </w:rPr>
        <w:t>补齐城市公共卫生短板，健全公共卫生重大风险研判、评估、决策、防控协同机制，强化重大疫情预警、救治和应急处置能力。</w:t>
      </w:r>
    </w:p>
    <w:p>
      <w:pPr>
        <w:spacing w:line="570" w:lineRule="exact"/>
        <w:ind w:firstLine="611" w:firstLineChars="200"/>
        <w:textAlignment w:val="baseline"/>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积极推进食品安全城市创建。</w:t>
      </w:r>
      <w:r>
        <w:rPr>
          <w:rFonts w:hint="eastAsia" w:ascii="仿宋_GB2312" w:eastAsia="仿宋_GB2312"/>
          <w:spacing w:val="-8"/>
          <w:sz w:val="32"/>
          <w:szCs w:val="32"/>
        </w:rPr>
        <w:t>建立完善与产业链条管理相适应的食品安全组织管理、能力保障、执法监管、主体责任、社会共治、应急管理、产业发展、诚信管理八大体系，闭合从种植养殖、生产加工、流通销售到餐饮消费等环节的食品安全无缝隙监管链条，提高食品安全保障能力和食品产业发展水平。</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深化安全生产体制机制建设。</w:t>
      </w:r>
      <w:r>
        <w:rPr>
          <w:rFonts w:hint="eastAsia" w:ascii="仿宋_GB2312" w:eastAsia="仿宋_GB2312"/>
          <w:spacing w:val="-8"/>
          <w:sz w:val="32"/>
          <w:szCs w:val="32"/>
        </w:rPr>
        <w:t>深化安全生产体制机制建设。提升安全监管监察能力，加强应急救援体系，强化安全生产宣传教育培训工作，严格安全生产执法，进一步防范各行业领域安全风险排查治理事故隐患，坚决遏制各类事故的发生。</w:t>
      </w:r>
    </w:p>
    <w:p>
      <w:pPr>
        <w:spacing w:line="570" w:lineRule="exact"/>
        <w:ind w:firstLine="611" w:firstLineChars="200"/>
        <w:textAlignment w:val="baseline"/>
        <w:rPr>
          <w:rFonts w:ascii="仿宋_GB2312" w:eastAsia="仿宋_GB2312"/>
          <w:spacing w:val="-8"/>
          <w:sz w:val="32"/>
          <w:szCs w:val="32"/>
        </w:rPr>
      </w:pPr>
      <w:r>
        <w:rPr>
          <w:rFonts w:hint="eastAsia" w:ascii="仿宋_GB2312" w:hAnsi="仿宋" w:eastAsia="仿宋_GB2312" w:cs="仿宋"/>
          <w:b/>
          <w:bCs/>
          <w:spacing w:val="-8"/>
          <w:sz w:val="32"/>
          <w:szCs w:val="32"/>
        </w:rPr>
        <w:t>着力构建立体化常态化社会防控体系。</w:t>
      </w:r>
      <w:r>
        <w:rPr>
          <w:rFonts w:hint="eastAsia" w:ascii="仿宋_GB2312" w:eastAsia="仿宋_GB2312"/>
          <w:spacing w:val="-8"/>
          <w:sz w:val="32"/>
          <w:szCs w:val="32"/>
        </w:rPr>
        <w:t>完善“网格化”巡逻防控体系，严格危爆物品和管制器具管理，加强区人民法院审判法庭、</w:t>
      </w:r>
      <w:r>
        <w:rPr>
          <w:rFonts w:hint="eastAsia" w:eastAsia="仿宋_GB2312"/>
          <w:spacing w:val="-8"/>
          <w:sz w:val="32"/>
          <w:szCs w:val="32"/>
        </w:rPr>
        <w:t>乡（镇）</w:t>
      </w:r>
      <w:r>
        <w:rPr>
          <w:rFonts w:hint="eastAsia" w:ascii="仿宋_GB2312" w:eastAsia="仿宋_GB2312"/>
          <w:spacing w:val="-8"/>
          <w:sz w:val="32"/>
          <w:szCs w:val="32"/>
        </w:rPr>
        <w:t>综治工作中心、执法办案管理中心、交警业务用房（包括大赛中队）和城区警务站、高速检查站、智慧安防小区等基础建设，进一步夯实社区警务、社区矫治、群防群治、智慧公安、智慧交管等基础工作。加强民间融资管理，严厉打击非法金融活动，有效防范和化解金融风险。</w:t>
      </w:r>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bCs/>
          <w:spacing w:val="-8"/>
          <w:sz w:val="32"/>
          <w:szCs w:val="32"/>
        </w:rPr>
        <w:t>全面加强抗灾防御能力。</w:t>
      </w:r>
      <w:r>
        <w:rPr>
          <w:rFonts w:hint="eastAsia" w:ascii="仿宋_GB2312" w:eastAsia="仿宋_GB2312"/>
          <w:spacing w:val="-8"/>
          <w:sz w:val="32"/>
          <w:szCs w:val="32"/>
        </w:rPr>
        <w:t>加强防灾减灾体系建设，扎实做好抗震、防汛、抗旱、消防、森林防火、气象灾害防御等工作，加快实施灾害风险调查和重点隐患排查、重点生态功能区生态修复等自然灾害治理重点工程，妥善应对各种突发情况。夯实灾害防御基础，全面提升交通、电力等基础设施抗灾防御能力，着力加强学校、医院等人员密集场所建设工程抗震设防，充分发挥气象防灾减灾第一道防线作用，</w:t>
      </w:r>
      <w:r>
        <w:rPr>
          <w:rFonts w:hint="eastAsia" w:ascii="仿宋_GB2312" w:hAnsi="仿宋_GB2312" w:eastAsia="仿宋_GB2312" w:cs="仿宋_GB2312"/>
          <w:sz w:val="32"/>
          <w:szCs w:val="32"/>
        </w:rPr>
        <w:t>提高多灾种和灾害链综合监测、风险早期识别和预报预警能力</w:t>
      </w:r>
      <w:r>
        <w:rPr>
          <w:rFonts w:hint="eastAsia" w:ascii="仿宋_GB2312" w:eastAsia="仿宋_GB2312"/>
          <w:spacing w:val="-8"/>
          <w:sz w:val="32"/>
          <w:szCs w:val="32"/>
        </w:rPr>
        <w:t>，加快满城气象现代化建设的步伐。</w:t>
      </w:r>
      <w:r>
        <w:rPr>
          <w:rFonts w:hint="eastAsia" w:ascii="仿宋_GB2312" w:hAnsi="仿宋_GB2312" w:eastAsia="仿宋_GB2312" w:cs="仿宋_GB2312"/>
          <w:sz w:val="32"/>
          <w:szCs w:val="32"/>
        </w:rPr>
        <w:t>建立完善灾害保险制度，加强政府与社会力量、市场机制的协同配合，充分调动社会各方面积极性，实现自然灾害防治能力现代化。</w:t>
      </w:r>
      <w:r>
        <w:rPr>
          <w:rFonts w:hint="eastAsia" w:ascii="仿宋_GB2312" w:eastAsia="仿宋_GB2312"/>
          <w:spacing w:val="-8"/>
          <w:sz w:val="32"/>
          <w:szCs w:val="32"/>
        </w:rPr>
        <w:t>推进黄龙寺山洪沟和龙居山洪沟治理项目，防治山洪灾害。</w:t>
      </w:r>
    </w:p>
    <w:p>
      <w:pPr>
        <w:pStyle w:val="19"/>
        <w:spacing w:line="570" w:lineRule="exact"/>
        <w:ind w:left="0" w:leftChars="0" w:firstLine="611" w:firstLineChars="200"/>
        <w:rPr>
          <w:rFonts w:ascii="仿宋_GB2312" w:eastAsia="仿宋_GB2312"/>
          <w:color w:val="000000"/>
          <w:spacing w:val="-8"/>
          <w:sz w:val="32"/>
          <w:szCs w:val="32"/>
        </w:rPr>
      </w:pPr>
      <w:r>
        <w:rPr>
          <w:rFonts w:hint="eastAsia" w:ascii="仿宋_GB2312" w:eastAsia="仿宋_GB2312"/>
          <w:b/>
          <w:bCs/>
          <w:color w:val="000000"/>
          <w:spacing w:val="-8"/>
          <w:sz w:val="32"/>
          <w:szCs w:val="32"/>
        </w:rPr>
        <w:t>有效应对突发疫情处置</w:t>
      </w:r>
      <w:r>
        <w:rPr>
          <w:rFonts w:hint="eastAsia" w:ascii="仿宋_GB2312" w:eastAsia="仿宋_GB2312"/>
          <w:color w:val="000000"/>
          <w:spacing w:val="-8"/>
          <w:sz w:val="32"/>
          <w:szCs w:val="32"/>
        </w:rPr>
        <w:t>。坚持人民至上，科学应对疫情防控新常态严格落实“外防输入、内防反弹”策略，坚持人物同防、多病共防，织密抗击疫情防线，筑牢不可逾越的政治“护城河”，要落实落细常态化防控措施。要处理好紧急状态和常态化防控的关系，处理好疫情对经济社会发展产生的影响，做好疫情风险评价，按照“早、小、严、实”处理原则，及时高效做好疫情处置，科学开展医疗救治。</w:t>
      </w:r>
    </w:p>
    <w:p>
      <w:pPr>
        <w:spacing w:line="570" w:lineRule="exact"/>
        <w:ind w:firstLine="611" w:firstLineChars="200"/>
        <w:rPr>
          <w:rFonts w:ascii="仿宋_GB2312" w:hAnsi="仿宋" w:eastAsia="仿宋_GB2312"/>
          <w:spacing w:val="-8"/>
          <w:sz w:val="32"/>
          <w:szCs w:val="32"/>
        </w:rPr>
      </w:pPr>
      <w:r>
        <w:rPr>
          <w:rFonts w:hint="eastAsia" w:ascii="仿宋_GB2312" w:hAnsi="仿宋" w:eastAsia="仿宋_GB2312" w:cs="仿宋"/>
          <w:b/>
          <w:bCs/>
          <w:spacing w:val="-8"/>
          <w:sz w:val="32"/>
          <w:szCs w:val="32"/>
        </w:rPr>
        <w:t>深入推进消防设施攻坚。</w:t>
      </w:r>
      <w:r>
        <w:rPr>
          <w:rFonts w:hint="eastAsia" w:ascii="仿宋_GB2312" w:eastAsia="仿宋_GB2312"/>
          <w:spacing w:val="-8"/>
          <w:sz w:val="32"/>
          <w:szCs w:val="32"/>
        </w:rPr>
        <w:t>整改和完善消防设施，提升我区消防安全治理水平，结合用地规划和城市规划建设第二消防站，保证消防供水、消除火灾隐患。</w:t>
      </w:r>
      <w:r>
        <w:rPr>
          <w:rFonts w:hint="eastAsia" w:ascii="仿宋_GB2312" w:hAnsi="仿宋" w:eastAsia="仿宋_GB2312" w:cs="宋体"/>
          <w:spacing w:val="-8"/>
          <w:sz w:val="32"/>
          <w:szCs w:val="32"/>
        </w:rPr>
        <w:t>完善消防路网系统，推动消防通道与城市建设协调发展，利用城市道路建设打通微循环系统，逐步提高出警速度。</w:t>
      </w:r>
      <w:r>
        <w:rPr>
          <w:rFonts w:hint="eastAsia" w:ascii="仿宋_GB2312" w:eastAsia="仿宋_GB2312"/>
          <w:spacing w:val="-8"/>
          <w:sz w:val="32"/>
          <w:szCs w:val="32"/>
        </w:rPr>
        <w:t>疏通消防车通道</w:t>
      </w:r>
      <w:r>
        <w:rPr>
          <w:rFonts w:hint="eastAsia" w:ascii="仿宋_GB2312" w:hAnsi="仿宋" w:eastAsia="仿宋_GB2312"/>
          <w:spacing w:val="-8"/>
          <w:sz w:val="32"/>
          <w:szCs w:val="32"/>
        </w:rPr>
        <w:t>，</w:t>
      </w:r>
      <w:r>
        <w:rPr>
          <w:rFonts w:hint="eastAsia" w:ascii="仿宋_GB2312" w:eastAsia="仿宋_GB2312"/>
          <w:spacing w:val="-8"/>
          <w:sz w:val="32"/>
          <w:szCs w:val="32"/>
        </w:rPr>
        <w:t>组织公共建筑以及居住小区对消防车通道划线、标名、立牌，实行标识化管理。</w:t>
      </w:r>
      <w:r>
        <w:rPr>
          <w:rFonts w:hint="eastAsia" w:ascii="仿宋_GB2312" w:hAnsi="仿宋" w:eastAsia="仿宋_GB2312"/>
          <w:spacing w:val="-8"/>
          <w:sz w:val="32"/>
          <w:szCs w:val="32"/>
        </w:rPr>
        <w:t>整治机动车乱停乱放、堵占小区大门、私设限高限宽设施</w:t>
      </w:r>
      <w:r>
        <w:rPr>
          <w:rFonts w:hint="eastAsia" w:ascii="仿宋_GB2312" w:hAnsi="仿宋" w:eastAsia="仿宋_GB2312" w:cs="宋体"/>
          <w:spacing w:val="-8"/>
          <w:sz w:val="32"/>
          <w:szCs w:val="32"/>
        </w:rPr>
        <w:t>、</w:t>
      </w:r>
      <w:r>
        <w:rPr>
          <w:rFonts w:hint="eastAsia" w:ascii="仿宋_GB2312" w:hAnsi="仿宋" w:eastAsia="仿宋_GB2312"/>
          <w:spacing w:val="-8"/>
          <w:sz w:val="32"/>
          <w:szCs w:val="32"/>
        </w:rPr>
        <w:t>消防车通道被占用、堵塞等问题，保障消防车通道畅通。</w:t>
      </w:r>
    </w:p>
    <w:p>
      <w:pPr>
        <w:pStyle w:val="4"/>
        <w:spacing w:before="0" w:after="0" w:line="570" w:lineRule="exact"/>
        <w:jc w:val="center"/>
        <w:rPr>
          <w:rFonts w:ascii="黑体" w:hAnsi="黑体" w:cs="黑体"/>
          <w:b w:val="0"/>
          <w:bCs/>
        </w:rPr>
      </w:pPr>
      <w:bookmarkStart w:id="127" w:name="_Toc5026"/>
      <w:r>
        <w:rPr>
          <w:rFonts w:hint="eastAsia" w:ascii="黑体" w:hAnsi="黑体" w:cs="黑体"/>
          <w:b w:val="0"/>
          <w:bCs/>
        </w:rPr>
        <w:fldChar w:fldCharType="begin"/>
      </w:r>
      <w:r>
        <w:rPr>
          <w:rFonts w:hint="eastAsia" w:ascii="黑体" w:hAnsi="黑体" w:cs="黑体"/>
          <w:b w:val="0"/>
          <w:bCs/>
        </w:rPr>
        <w:instrText xml:space="preserve"> HYPERLINK \l "_Toc2122"</w:instrText>
      </w:r>
      <w:r>
        <w:rPr>
          <w:rFonts w:hint="eastAsia" w:ascii="黑体" w:hAnsi="黑体" w:cs="黑体"/>
          <w:b w:val="0"/>
          <w:bCs/>
        </w:rPr>
        <w:fldChar w:fldCharType="separate"/>
      </w:r>
      <w:r>
        <w:rPr>
          <w:rFonts w:hint="eastAsia" w:ascii="黑体" w:hAnsi="黑体" w:cs="黑体"/>
          <w:b w:val="0"/>
          <w:bCs/>
        </w:rPr>
        <w:t>第七节  改善社会救助体系，统筹其他各项事业发展</w:t>
      </w:r>
      <w:r>
        <w:rPr>
          <w:rFonts w:hint="eastAsia" w:ascii="黑体" w:hAnsi="黑体" w:cs="黑体"/>
          <w:b w:val="0"/>
          <w:bCs/>
        </w:rPr>
        <w:fldChar w:fldCharType="end"/>
      </w:r>
      <w:bookmarkEnd w:id="127"/>
    </w:p>
    <w:p>
      <w:pPr>
        <w:pStyle w:val="19"/>
        <w:spacing w:line="570" w:lineRule="exact"/>
        <w:ind w:left="0" w:leftChars="0" w:firstLine="608" w:firstLineChars="200"/>
        <w:rPr>
          <w:rFonts w:ascii="仿宋_GB2312" w:eastAsia="仿宋_GB2312"/>
          <w:spacing w:val="-8"/>
          <w:sz w:val="32"/>
          <w:szCs w:val="32"/>
        </w:rPr>
      </w:pPr>
      <w:r>
        <w:rPr>
          <w:rFonts w:hint="eastAsia" w:ascii="仿宋_GB2312" w:eastAsia="仿宋_GB2312"/>
          <w:spacing w:val="-8"/>
          <w:sz w:val="32"/>
          <w:szCs w:val="32"/>
        </w:rPr>
        <w:t>坚持男女平等基本国策，坚持儿童优先发展，提升残疾人关爱服务水平，切实保障妇女、未成年人、残疾人等群体发展权利和机会。</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加强妇女儿童保护。</w:t>
      </w:r>
      <w:r>
        <w:rPr>
          <w:rFonts w:hint="eastAsia" w:ascii="仿宋_GB2312" w:eastAsia="仿宋_GB2312"/>
          <w:spacing w:val="-8"/>
          <w:sz w:val="32"/>
          <w:szCs w:val="32"/>
        </w:rPr>
        <w:t>维护妇女儿童合法权益，保障男女两性平等获得各项权益和参与社会事务，促进妇女儿童全面发展，让尊重和关爱妇女儿童成为国家意志、公民素养和社会风尚。重视妇女就业，保障妇女平等就业权利，落实直接联系妇女群众制度，加强妇女之家建设，构筑妇女群众参与共建共治共享基层治理的平台。保障儿童公平受教育权利，完善儿童健康服务体系，加强困境儿童分类保障，优化儿童发展环境，争创儿童友好城市示范，完善儿童公共服务设施。</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保障残疾人基本权益。</w:t>
      </w:r>
      <w:r>
        <w:rPr>
          <w:rFonts w:hint="eastAsia" w:ascii="仿宋_GB2312" w:eastAsia="仿宋_GB2312"/>
          <w:spacing w:val="-8"/>
          <w:sz w:val="32"/>
          <w:szCs w:val="32"/>
        </w:rPr>
        <w:t>完善残疾人帮扶制度和就业支持体系，促进城乡残疾人就业创业，提高残疾人参与和发展能力。推动残疾人基本服务均等化，帮助残疾人过上更好更有尊严的生活。保障残疾人权利，为残疾人提供无障碍环境和便利化条件。推进适龄残疾儿童和少年教育全覆盖，提升特殊教育质量。发展助残志愿服务，加强和改善残疾人帮扶，增强基层为残疾人服务能力。加强残疾人服务设施和综合服务能力建设，激励广大残疾人增强自我发展能力，广泛参与社会生活。</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增强生育政策包容性。</w:t>
      </w:r>
      <w:r>
        <w:rPr>
          <w:rFonts w:hint="eastAsia" w:ascii="仿宋_GB2312" w:eastAsia="仿宋_GB2312"/>
          <w:spacing w:val="-8"/>
          <w:sz w:val="32"/>
          <w:szCs w:val="32"/>
        </w:rPr>
        <w:t>遵循国家人口生育政策调整方向，适应人口形势新变化和推动高质量发展新要求，实施三孩政策及配套支持措施，进一步推动落实产假、哺乳假等制度。探索推进生育成本社会化，提高优生优育服务水平，发展普惠托育服务体系，降低生育、养育、教育成本，促进人口长期均衡发展，提高人口素质。完善婴幼儿照护服务政策，积极构筑政府推动、社会参与、家庭为主、托育补充的服务供给体系。积极构建按政策生育的制度体系，强化出生缺陷综合防治，推进母婴设施建设，加强生育全程基本医疗保障服务。</w:t>
      </w:r>
    </w:p>
    <w:p/>
    <w:p>
      <w:pPr>
        <w:pStyle w:val="19"/>
        <w:spacing w:line="570" w:lineRule="exact"/>
      </w:pPr>
    </w:p>
    <w:p>
      <w:pPr>
        <w:rPr>
          <w:rFonts w:ascii="方正小标宋简体" w:hAnsi="黑体" w:eastAsia="方正小标宋简体" w:cs="宋体"/>
          <w:spacing w:val="-8"/>
          <w:sz w:val="36"/>
          <w:szCs w:val="36"/>
        </w:rPr>
      </w:pPr>
      <w:bookmarkStart w:id="128" w:name="_Toc26282"/>
      <w:bookmarkStart w:id="129" w:name="_Toc63009766"/>
      <w:bookmarkStart w:id="130" w:name="_Toc21923"/>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31" w:name="_Toc10139"/>
      <w:r>
        <w:rPr>
          <w:rFonts w:hint="eastAsia" w:ascii="方正小标宋简体" w:hAnsi="黑体" w:eastAsia="方正小标宋简体" w:cs="宋体"/>
          <w:b w:val="0"/>
          <w:spacing w:val="-8"/>
          <w:kern w:val="2"/>
          <w:sz w:val="36"/>
          <w:szCs w:val="36"/>
        </w:rPr>
        <w:t>第十二章深化改革扩大开放，融入国内国际双循环</w:t>
      </w:r>
      <w:bookmarkEnd w:id="128"/>
      <w:bookmarkEnd w:id="129"/>
      <w:bookmarkEnd w:id="131"/>
    </w:p>
    <w:p>
      <w:pPr>
        <w:spacing w:line="570" w:lineRule="exact"/>
      </w:pPr>
    </w:p>
    <w:p>
      <w:pPr>
        <w:spacing w:line="57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坚持解放思想、改革强区，以壮士断腕的精神破除重大体制机制障碍，毫不动摇坚持市场化改革方向，立足扩大内需这个国家战略基点，深入推进供给侧结构性改革，强化补短板强弱项。抢抓雄安新区开放发展、北京大兴国际机场通航等重大机遇，坚定不移推动全方位开放、包容性开放、区域协同开放，全面提升对外开放水平，构建全方位、多层次、多元化对外开放新格局。</w:t>
      </w:r>
    </w:p>
    <w:p>
      <w:pPr>
        <w:pStyle w:val="4"/>
        <w:spacing w:before="0" w:after="0" w:line="570" w:lineRule="exact"/>
        <w:jc w:val="center"/>
        <w:rPr>
          <w:rFonts w:ascii="黑体" w:hAnsi="Times New Roman"/>
          <w:b w:val="0"/>
          <w:spacing w:val="-8"/>
          <w:kern w:val="2"/>
          <w:szCs w:val="32"/>
        </w:rPr>
      </w:pPr>
      <w:bookmarkStart w:id="132" w:name="_Toc53063985"/>
      <w:bookmarkStart w:id="133" w:name="_Toc51142513"/>
      <w:bookmarkStart w:id="134" w:name="_Toc11199"/>
      <w:bookmarkStart w:id="135" w:name="_Toc16709"/>
      <w:bookmarkStart w:id="136" w:name="_Toc24810"/>
      <w:bookmarkStart w:id="137" w:name="_Toc55048448"/>
      <w:bookmarkStart w:id="138" w:name="_Toc10076"/>
      <w:bookmarkStart w:id="139" w:name="_Toc17895"/>
      <w:bookmarkStart w:id="140" w:name="_Toc11642"/>
      <w:bookmarkStart w:id="141" w:name="_Toc61078489"/>
      <w:bookmarkStart w:id="142" w:name="_Toc21318"/>
      <w:bookmarkStart w:id="143" w:name="_Toc8561"/>
      <w:bookmarkStart w:id="144" w:name="_Toc23492"/>
      <w:bookmarkStart w:id="145" w:name="_Toc16819"/>
      <w:bookmarkStart w:id="146" w:name="_Toc63009767"/>
      <w:r>
        <w:rPr>
          <w:rFonts w:hint="eastAsia" w:ascii="黑体" w:hAnsi="Times New Roman"/>
          <w:b w:val="0"/>
          <w:spacing w:val="-8"/>
          <w:kern w:val="2"/>
          <w:szCs w:val="32"/>
        </w:rPr>
        <w:t>第一节</w:t>
      </w:r>
      <w:bookmarkEnd w:id="132"/>
      <w:bookmarkEnd w:id="133"/>
      <w:r>
        <w:rPr>
          <w:rFonts w:hint="eastAsia" w:ascii="黑体" w:hAnsi="Times New Roman"/>
          <w:b w:val="0"/>
          <w:spacing w:val="-8"/>
          <w:kern w:val="2"/>
          <w:szCs w:val="32"/>
        </w:rPr>
        <w:t>深化改革，打造</w:t>
      </w:r>
      <w:bookmarkEnd w:id="134"/>
      <w:bookmarkEnd w:id="135"/>
      <w:bookmarkEnd w:id="136"/>
      <w:bookmarkEnd w:id="137"/>
      <w:bookmarkEnd w:id="138"/>
      <w:bookmarkEnd w:id="139"/>
      <w:bookmarkEnd w:id="140"/>
      <w:bookmarkEnd w:id="141"/>
      <w:bookmarkEnd w:id="142"/>
      <w:bookmarkEnd w:id="143"/>
      <w:r>
        <w:rPr>
          <w:rFonts w:hint="eastAsia" w:ascii="黑体" w:hAnsi="Times New Roman"/>
          <w:b w:val="0"/>
          <w:spacing w:val="-8"/>
          <w:kern w:val="2"/>
          <w:szCs w:val="32"/>
        </w:rPr>
        <w:t>公平有序的市场竞争环境</w:t>
      </w:r>
      <w:bookmarkEnd w:id="144"/>
      <w:bookmarkEnd w:id="145"/>
      <w:bookmarkEnd w:id="146"/>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spacing w:val="-8"/>
          <w:sz w:val="32"/>
          <w:szCs w:val="32"/>
        </w:rPr>
        <w:t>以创建市场化、法</w:t>
      </w:r>
      <w:r>
        <w:rPr>
          <w:rFonts w:hint="eastAsia" w:ascii="仿宋_GB2312" w:eastAsia="仿宋_GB2312"/>
          <w:spacing w:val="-8"/>
          <w:sz w:val="32"/>
          <w:szCs w:val="32"/>
          <w:lang w:val="en-US" w:eastAsia="zh-CN"/>
        </w:rPr>
        <w:t>治</w:t>
      </w:r>
      <w:r>
        <w:rPr>
          <w:rFonts w:hint="eastAsia" w:ascii="仿宋_GB2312" w:eastAsia="仿宋_GB2312"/>
          <w:spacing w:val="-8"/>
          <w:sz w:val="32"/>
          <w:szCs w:val="32"/>
        </w:rPr>
        <w:t>化、国际化营商环境为目标，持续优化政府服务内容和方式，全面深化体制机制改革，打造公平有序的市场竞争环境，推进市场法制化发展，着力破解我区发展面临的</w:t>
      </w:r>
      <w:r>
        <w:rPr>
          <w:rFonts w:hint="eastAsia" w:ascii="仿宋_GB2312" w:eastAsia="仿宋_GB2312"/>
          <w:color w:val="000000"/>
          <w:spacing w:val="-8"/>
          <w:sz w:val="32"/>
          <w:szCs w:val="32"/>
        </w:rPr>
        <w:t>重大难题，积极化解重大风险挑战和经济下行压力，把重大改革举措更有效地转化为实现全区高质量发展的动力。</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建设创新高效的服务型政府。</w:t>
      </w:r>
      <w:r>
        <w:rPr>
          <w:rFonts w:hint="eastAsia" w:ascii="仿宋_GB2312" w:eastAsia="仿宋_GB2312"/>
          <w:color w:val="000000"/>
          <w:spacing w:val="-8"/>
          <w:sz w:val="32"/>
          <w:szCs w:val="32"/>
        </w:rPr>
        <w:t>继续转变政府职能，努力建设服务型政府，着力为企业提供全方位、多层次、低成本的专业化服务，针对不同类型企业定制专门的服务政策包，努力降低企业制度性交易成本。持续深化“放管服”改革，优化营商环境，探索创新便民举措，大力推动“最多跑一次”“一次不用跑”等改革措施落地，简化行政审批环节，提高行政审批效率。进一步强化政务服务中心规范化建设和管理，加大行政执法监督机制，提高办事效率和服务水平；组建开发区行政审批分局；学习北京市优化营商环境</w:t>
      </w:r>
      <w:r>
        <w:rPr>
          <w:rFonts w:ascii="仿宋_GB2312" w:eastAsia="仿宋_GB2312"/>
          <w:color w:val="000000"/>
          <w:spacing w:val="-8"/>
          <w:sz w:val="32"/>
          <w:szCs w:val="32"/>
        </w:rPr>
        <w:t>4.0</w:t>
      </w:r>
      <w:r>
        <w:rPr>
          <w:rFonts w:hint="eastAsia" w:ascii="仿宋_GB2312" w:eastAsia="仿宋_GB2312"/>
          <w:color w:val="000000"/>
          <w:spacing w:val="-8"/>
          <w:sz w:val="32"/>
          <w:szCs w:val="32"/>
        </w:rPr>
        <w:t>版、深圳工商登记“秒批”等先进经验，持续优化“拿地即开工”流程，让企业尽享服务之便。提升园区管理水平，创建公平公正的市场经秩序。</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构建高效土地供给的管理体制。</w:t>
      </w:r>
      <w:r>
        <w:rPr>
          <w:rFonts w:hint="eastAsia" w:ascii="仿宋_GB2312" w:eastAsia="仿宋_GB2312"/>
          <w:color w:val="000000"/>
          <w:spacing w:val="-8"/>
          <w:sz w:val="32"/>
          <w:szCs w:val="32"/>
        </w:rPr>
        <w:t>建立以健全权利体系、用途管制、市场规则、价格体系、收益分配等为主线的城乡统一建设用地市场体系。推进农村宅基地制度改革试点，完善城乡建设用地增减挂钩机制，进一步扩大我区发展空间。深化产业用地市场化配置改革，调整完善产业用地政策，实施园区工业“标准地”改革，探索“先租后让、达标出让”供地模式，提高土地利用效率。分类分步推动原农村土地和建筑物确权，探索原农村集体经济组织经营性建设用地入市机制。</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构建高标准的市场体系。</w:t>
      </w:r>
      <w:r>
        <w:rPr>
          <w:rFonts w:hint="eastAsia" w:ascii="仿宋_GB2312" w:eastAsia="仿宋_GB2312"/>
          <w:color w:val="000000"/>
          <w:spacing w:val="-8"/>
          <w:sz w:val="32"/>
          <w:szCs w:val="32"/>
        </w:rPr>
        <w:t>坚持平等准入、公正监管、开放有序、诚信守法，实施高标准市场体系建设行动，形成高效规范、公平竞争的统一市场。健全市场准入负面清单制度和市场主体退出机制，完善产权制度。加强反垄断和反不正当竞争执法司法。深化土地、劳动、资本、技术、数据等要素市场化改革，完善交易规则和服务体系，促进商品和要素自由流动平等交换。加强社会信用体系和企业诚信体系建设，完善信用信息共享平台，健全失信行为认定、失信联合惩戒、信用修复等机制。</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深化经济领域改革。</w:t>
      </w:r>
      <w:r>
        <w:rPr>
          <w:rFonts w:hint="eastAsia" w:ascii="仿宋_GB2312" w:eastAsia="仿宋_GB2312"/>
          <w:color w:val="000000"/>
          <w:spacing w:val="-8"/>
          <w:sz w:val="32"/>
          <w:szCs w:val="32"/>
        </w:rPr>
        <w:t>依法规范生产、经营、交易等市场行为，强化生产经营者主体责任，严格风险防控，广泛运用科技手段实施监管。加强财政资源统筹，强化绩效管理。深化投融资体制改革，提高直接融资比重，大力发展普惠金融，构建金融有效支持实体经济体制机制。完善现代金融监管体系，有效防范和化解金融风险，全面落实生产经营性事业单位改革。健全落实国家财政政策的有效机制，提高经济治理能力。</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激发市场主体活力。</w:t>
      </w:r>
      <w:r>
        <w:rPr>
          <w:rFonts w:hint="eastAsia" w:ascii="仿宋_GB2312" w:eastAsia="仿宋_GB2312"/>
          <w:color w:val="000000"/>
          <w:spacing w:val="-8"/>
          <w:sz w:val="32"/>
          <w:szCs w:val="32"/>
        </w:rPr>
        <w:t>营造各类市场主体公平竞争的市场环境、政策环境、法治环境。落实好民营企业“百千万”提升工程，提升企业综合竞争力。实施好民法典等法律法规，依法平等保护民营企业和企业家权益。完善促进中小微企业和个体工商户发展的政策体系，加大税费、融资等优惠政策落实力度。构建亲清政商关系，完善领导包联机制，搭建政企沟通平台，建立健全政商交往正负面清单，促进非公有制经济健康发展和非公有制经济人士健康成长。弘扬企业家精神，支持企业家以恒心办恒业。</w:t>
      </w:r>
    </w:p>
    <w:p>
      <w:pPr>
        <w:pStyle w:val="4"/>
        <w:spacing w:before="0" w:after="0" w:line="570" w:lineRule="exact"/>
        <w:jc w:val="center"/>
        <w:rPr>
          <w:rFonts w:ascii="黑体" w:hAnsi="Times New Roman"/>
          <w:b w:val="0"/>
          <w:spacing w:val="-8"/>
          <w:kern w:val="2"/>
          <w:szCs w:val="32"/>
        </w:rPr>
      </w:pPr>
      <w:bookmarkStart w:id="147" w:name="_Toc29651"/>
      <w:bookmarkStart w:id="148" w:name="_Toc22415"/>
      <w:bookmarkStart w:id="149" w:name="_Toc63009768"/>
      <w:r>
        <w:rPr>
          <w:rFonts w:hint="eastAsia" w:ascii="黑体" w:hAnsi="Times New Roman"/>
          <w:b w:val="0"/>
          <w:spacing w:val="-8"/>
          <w:kern w:val="2"/>
          <w:szCs w:val="32"/>
        </w:rPr>
        <w:t>第二节扩大开放，形成更高层次的开放型经济</w:t>
      </w:r>
      <w:bookmarkEnd w:id="147"/>
      <w:bookmarkEnd w:id="148"/>
      <w:bookmarkEnd w:id="149"/>
    </w:p>
    <w:p>
      <w:pPr>
        <w:pStyle w:val="52"/>
        <w:spacing w:line="570" w:lineRule="exact"/>
        <w:ind w:firstLine="643"/>
        <w:rPr>
          <w:rFonts w:ascii="仿宋_GB2312" w:eastAsia="仿宋_GB2312"/>
          <w:color w:val="000000"/>
          <w:spacing w:val="-8"/>
          <w:sz w:val="32"/>
          <w:szCs w:val="32"/>
        </w:rPr>
      </w:pPr>
      <w:r>
        <w:rPr>
          <w:rFonts w:hint="eastAsia" w:ascii="仿宋_GB2312" w:eastAsia="仿宋_GB2312"/>
          <w:color w:val="000000"/>
          <w:spacing w:val="-8"/>
          <w:sz w:val="32"/>
          <w:szCs w:val="32"/>
        </w:rPr>
        <w:t>推动全方位开放、包容性开放、区域协同开放，扩大制度性开放水平，形成更高层次的开放型经济，力争在京津冀协同发展和“一带一路”建设中发挥更加重要的作用，努力构建全方位、多层次、多元化对外开放新格局。</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加大招商引资力度。</w:t>
      </w:r>
      <w:r>
        <w:rPr>
          <w:rFonts w:hint="eastAsia" w:ascii="仿宋_GB2312" w:eastAsia="仿宋_GB2312"/>
          <w:color w:val="000000"/>
          <w:spacing w:val="-8"/>
          <w:sz w:val="32"/>
          <w:szCs w:val="32"/>
        </w:rPr>
        <w:t>围绕主导产业，推进产业链、供应链招商，形成产业集聚优势。建立招商选商机制，实行全员招商，畅通各种对接渠道，完善考核办法，形成招商合力。坚持“走出去”和“引进来”相结合，积极参加廊洽会、进博会、广交会等活动，有效针对性的开展精准招商、网络招商、产业链招商，推动一批大项目、好项目落地实施，真正把满城打造成京南保西开放的热土、高端产业集聚的高地。加快与中关村、京车等知名企业的合作进程，推动聚集发展平台建设。进一步创新外商投资管理体制，全面落实外商投资准</w:t>
      </w:r>
      <w:r>
        <w:rPr>
          <w:rFonts w:hint="eastAsia" w:ascii="仿宋_GB2312" w:eastAsia="仿宋_GB2312"/>
          <w:color w:val="000000"/>
          <w:spacing w:val="-8"/>
          <w:sz w:val="32"/>
          <w:szCs w:val="32"/>
          <w:lang w:val="en-US" w:eastAsia="zh-CN"/>
        </w:rPr>
        <w:t>入</w:t>
      </w:r>
      <w:r>
        <w:rPr>
          <w:rFonts w:hint="eastAsia" w:ascii="仿宋_GB2312" w:eastAsia="仿宋_GB2312"/>
          <w:color w:val="000000"/>
          <w:spacing w:val="-8"/>
          <w:sz w:val="32"/>
          <w:szCs w:val="32"/>
        </w:rPr>
        <w:t>国民待遇加负面清单制度。建立健全投资促进体系，持续优化外商投资导向，主动承接河北自贸区溢出效应，推进外资加速向重点领域流入。</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打造高水平对外开放平台。</w:t>
      </w:r>
      <w:r>
        <w:rPr>
          <w:rFonts w:hint="eastAsia" w:ascii="仿宋_GB2312" w:eastAsia="仿宋_GB2312"/>
          <w:color w:val="000000"/>
          <w:spacing w:val="-8"/>
          <w:sz w:val="32"/>
          <w:szCs w:val="32"/>
        </w:rPr>
        <w:t>实施高水平全面开放战略，规划建设对外开放高地。坚持以对接京津、借势雄安为主攻方向，以“一区四园”为开放平台，大力实施“央企进满”“大型民企进满”“总部进满”“优秀人才进满”“新技术进满”五大开放攻坚行动，全面加强与世界</w:t>
      </w:r>
      <w:r>
        <w:rPr>
          <w:rFonts w:ascii="仿宋_GB2312" w:eastAsia="仿宋_GB2312"/>
          <w:color w:val="000000"/>
          <w:spacing w:val="-8"/>
          <w:sz w:val="32"/>
          <w:szCs w:val="32"/>
        </w:rPr>
        <w:t>500</w:t>
      </w:r>
      <w:r>
        <w:rPr>
          <w:rFonts w:hint="eastAsia" w:ascii="仿宋_GB2312" w:eastAsia="仿宋_GB2312"/>
          <w:color w:val="000000"/>
          <w:spacing w:val="-8"/>
          <w:sz w:val="32"/>
          <w:szCs w:val="32"/>
        </w:rPr>
        <w:t>强、全国</w:t>
      </w:r>
      <w:r>
        <w:rPr>
          <w:rFonts w:ascii="仿宋_GB2312" w:eastAsia="仿宋_GB2312"/>
          <w:color w:val="000000"/>
          <w:spacing w:val="-8"/>
          <w:sz w:val="32"/>
          <w:szCs w:val="32"/>
        </w:rPr>
        <w:t>500</w:t>
      </w:r>
      <w:r>
        <w:rPr>
          <w:rFonts w:hint="eastAsia" w:ascii="仿宋_GB2312" w:eastAsia="仿宋_GB2312"/>
          <w:color w:val="000000"/>
          <w:spacing w:val="-8"/>
          <w:sz w:val="32"/>
          <w:szCs w:val="32"/>
        </w:rPr>
        <w:t>强企业对接合租，联大靠强，借力发展。在开放的眼界上，目光要放长远，跳出“一亩三分地”的圈子，以更大的开放赢得更大的发展。加快完善经济开发区基础服务设施和管理体制建设，提高投资贸易便利化水平，吸引境外公司或机构建立分支机构，创新利用方式和合作形式，形成外资和技术聚集的完整流程和配套服务。加快跨境电商等新业态发展，持续推动跨境电商专业化、产业化。</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积极促进本土企业“走出去”。</w:t>
      </w:r>
      <w:r>
        <w:rPr>
          <w:rFonts w:hint="eastAsia" w:ascii="仿宋_GB2312" w:eastAsia="仿宋_GB2312"/>
          <w:color w:val="000000"/>
          <w:spacing w:val="-8"/>
          <w:sz w:val="32"/>
          <w:szCs w:val="32"/>
        </w:rPr>
        <w:t>顺应国家“一带一路”</w:t>
      </w:r>
      <w:r>
        <w:rPr>
          <w:rFonts w:hint="eastAsia" w:ascii="仿宋_GB2312" w:eastAsia="仿宋_GB2312"/>
          <w:color w:val="000000"/>
          <w:spacing w:val="-8"/>
          <w:sz w:val="32"/>
          <w:szCs w:val="32"/>
          <w:lang w:val="en-US" w:eastAsia="zh-CN"/>
        </w:rPr>
        <w:t>倡议</w:t>
      </w:r>
      <w:r>
        <w:rPr>
          <w:rFonts w:hint="eastAsia" w:ascii="仿宋_GB2312" w:eastAsia="仿宋_GB2312"/>
          <w:color w:val="000000"/>
          <w:spacing w:val="-8"/>
          <w:sz w:val="32"/>
          <w:szCs w:val="32"/>
        </w:rPr>
        <w:t>部署，充分发挥我区优势区位和产业优势，支持企业更好地利用“两种资源、两个市场”，提高“走出去”水平，深度融入全球价值链。加强对走出去企业在布局规划、领域选择、风险评估、安全预警、危机处置、信息咨询等方面的服务与指导，开辟更加多元的出口市场。支持企业大力拓展内外销渠道，不断扩大贸易规模，逐步形成以技术、标准、品牌、质量、服务为核心的国际竞争新优势。大力探索借道开放新模式，加强对接京津，逐步建立稳定高效的对外开放通道。</w:t>
      </w:r>
    </w:p>
    <w:p>
      <w:pPr>
        <w:pStyle w:val="4"/>
        <w:spacing w:before="0" w:after="0" w:line="570" w:lineRule="exact"/>
        <w:jc w:val="center"/>
        <w:rPr>
          <w:rFonts w:ascii="黑体" w:hAnsi="Times New Roman"/>
          <w:b w:val="0"/>
          <w:spacing w:val="-8"/>
          <w:kern w:val="2"/>
          <w:szCs w:val="32"/>
        </w:rPr>
      </w:pPr>
      <w:bookmarkStart w:id="150" w:name="_Toc63009769"/>
      <w:bookmarkStart w:id="151" w:name="_Toc21059"/>
      <w:bookmarkStart w:id="152" w:name="_Toc30461"/>
      <w:r>
        <w:rPr>
          <w:rFonts w:hint="eastAsia" w:ascii="黑体" w:hAnsi="Times New Roman"/>
          <w:b w:val="0"/>
          <w:spacing w:val="-8"/>
          <w:kern w:val="2"/>
          <w:szCs w:val="32"/>
        </w:rPr>
        <w:t>第三节融入国内国际双循环</w:t>
      </w:r>
      <w:bookmarkEnd w:id="150"/>
      <w:bookmarkEnd w:id="151"/>
      <w:bookmarkEnd w:id="152"/>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促进双循环畅通有序。</w:t>
      </w:r>
      <w:r>
        <w:rPr>
          <w:rFonts w:hint="eastAsia" w:ascii="仿宋_GB2312" w:eastAsia="仿宋_GB2312"/>
          <w:color w:val="000000"/>
          <w:spacing w:val="-8"/>
          <w:sz w:val="32"/>
          <w:szCs w:val="32"/>
        </w:rPr>
        <w:t>瞄准全球消费市场，立足扩大内需国家战略基点，深入推进供给侧结构性改革，强化弱项，激发扩大内需潜力，使我区融入以国内大循环为主体、国内国际双循环相互促进的新发展格局。充分发挥我区的区位优势和产业基础，推动高端装备制造、新材料、生命大健康、生活用纸、电力电气产业链供应链实现互联互通，全面提升市场覆盖范围，大力拓展内外销渠道，加快形成重点突出、层次分明、渠道多元、风险分散的销售网络，开辟更加多元的出口市场，以点带面加快推进区域一体化的市场网络形成。通过技术创新、模式变革等途径向社会提供高质量供给，以高质量产品和服务满足国内外市场需求。</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重点强化投资拉动。</w:t>
      </w:r>
      <w:r>
        <w:rPr>
          <w:rFonts w:hint="eastAsia" w:ascii="仿宋_GB2312" w:eastAsia="仿宋_GB2312"/>
          <w:color w:val="000000"/>
          <w:spacing w:val="-8"/>
          <w:sz w:val="32"/>
          <w:szCs w:val="32"/>
        </w:rPr>
        <w:t>围绕现代产业体系建设，加大技术改造、绿色改造、数字设施平台建设等重点领域投资。强化产业承载高标准配套，谋划符合我区发展的大项目、好项目，以投资结构优化促进产业结构升级。全面促进与京津产业对接，加大财政资金的助推作用，支持重大疏解产业项目落地，积极吸引社会资本参与战略性新兴产业项目投资。加强基础设施建设，扩大有效投资，充分发挥政府投资的撬动作用，加快“两新一重”投资，推进新型基础设施、新型城镇化建设、推进交通、能源、水利等重大工程建设，构建现代化基础设施体系。系统布局新型基础设施，抓好第五代移动通信、工业互联网、物联网等数字化、智能化工程建设，推进</w:t>
      </w:r>
      <w:r>
        <w:rPr>
          <w:rFonts w:ascii="仿宋_GB2312" w:eastAsia="仿宋_GB2312"/>
          <w:color w:val="000000"/>
          <w:spacing w:val="-8"/>
          <w:sz w:val="32"/>
          <w:szCs w:val="32"/>
        </w:rPr>
        <w:t>5G</w:t>
      </w:r>
      <w:r>
        <w:rPr>
          <w:rFonts w:hint="eastAsia" w:ascii="仿宋_GB2312" w:eastAsia="仿宋_GB2312"/>
          <w:color w:val="000000"/>
          <w:spacing w:val="-8"/>
          <w:sz w:val="32"/>
          <w:szCs w:val="32"/>
        </w:rPr>
        <w:t>网络向我区延伸。加快补齐市政工程、农业农村、生态环保、公共卫生、物资储备等领域短板。构建现代交通体系，完善高速公路网络建设，优化普通干线网络，拓宽农村公路瓶颈路段。构建综合能源体系，加快清洁能源设施建设，推进坚强智能安全电网建设，完善燃气管网，强化能源安全保障能力。</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着力扩大消费需求。</w:t>
      </w:r>
      <w:r>
        <w:rPr>
          <w:rFonts w:hint="eastAsia" w:ascii="仿宋_GB2312" w:eastAsia="仿宋_GB2312"/>
          <w:color w:val="000000"/>
          <w:spacing w:val="-8"/>
          <w:sz w:val="32"/>
          <w:szCs w:val="32"/>
        </w:rPr>
        <w:t>积极推动服务消费提质扩容。适应居民消费升级趋势，提升传统消费，培育新型消费，适当增加公共消费，增强消费对经济发展的基础性作用。深挖消费新动能，增加健康、养老、医疗、文化、体育、教育以及安全等领域消费的有效供给，激发全社会消费活力。加快发展消费新产品新业态新模式，推动线上线下深度融合，完善“互联网</w:t>
      </w:r>
      <w:r>
        <w:rPr>
          <w:rFonts w:ascii="仿宋_GB2312" w:eastAsia="仿宋_GB2312"/>
          <w:color w:val="000000"/>
          <w:spacing w:val="-8"/>
          <w:sz w:val="32"/>
          <w:szCs w:val="32"/>
        </w:rPr>
        <w:t>+</w:t>
      </w:r>
      <w:r>
        <w:rPr>
          <w:rFonts w:hint="eastAsia" w:ascii="仿宋_GB2312" w:eastAsia="仿宋_GB2312"/>
          <w:color w:val="000000"/>
          <w:spacing w:val="-8"/>
          <w:sz w:val="32"/>
          <w:szCs w:val="32"/>
        </w:rPr>
        <w:t>消费”体系，发展无接触交易服务，支持电商和物流企业向乡镇农村延伸，扩大电商进农村覆盖面，提升农产品进城和工业品双向流通效率。拓展定制消费、信息消费、智能消费。充分挖掘城乡消费潜力，持续完善交通、市场、物流、配送等消费基础设施，健全流通和售后服务体系，加快社区便民商圈建设，落实带薪休假制度，扩大节假日消费。</w:t>
      </w:r>
    </w:p>
    <w:p>
      <w:pPr>
        <w:pStyle w:val="52"/>
        <w:spacing w:line="570" w:lineRule="exact"/>
        <w:ind w:firstLine="643"/>
        <w:rPr>
          <w:rFonts w:ascii="仿宋_GB2312" w:eastAsia="仿宋_GB2312"/>
          <w:color w:val="000000"/>
          <w:spacing w:val="-8"/>
          <w:sz w:val="32"/>
          <w:szCs w:val="32"/>
        </w:rPr>
      </w:pPr>
    </w:p>
    <w:bookmarkEnd w:id="130"/>
    <w:p>
      <w:pPr>
        <w:rPr>
          <w:rFonts w:ascii="方正小标宋简体" w:hAnsi="黑体" w:eastAsia="方正小标宋简体" w:cs="宋体"/>
          <w:spacing w:val="-8"/>
          <w:sz w:val="36"/>
          <w:szCs w:val="36"/>
        </w:rPr>
      </w:pPr>
      <w:bookmarkStart w:id="153" w:name="_Toc63009770"/>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54" w:name="_Toc3421"/>
      <w:r>
        <w:rPr>
          <w:rFonts w:hint="eastAsia" w:ascii="方正小标宋简体" w:hAnsi="黑体" w:eastAsia="方正小标宋简体" w:cs="宋体"/>
          <w:b w:val="0"/>
          <w:spacing w:val="-8"/>
          <w:kern w:val="2"/>
          <w:sz w:val="36"/>
          <w:szCs w:val="36"/>
        </w:rPr>
        <w:t>第十三章依法推进民主法治建设，建设法治满城</w:t>
      </w:r>
      <w:bookmarkEnd w:id="153"/>
      <w:bookmarkEnd w:id="154"/>
    </w:p>
    <w:p/>
    <w:p>
      <w:pPr>
        <w:pStyle w:val="4"/>
        <w:spacing w:before="0" w:after="0" w:line="570" w:lineRule="exact"/>
        <w:jc w:val="center"/>
        <w:rPr>
          <w:rFonts w:ascii="黑体" w:hAnsi="仿宋" w:cs="仿宋"/>
          <w:b w:val="0"/>
          <w:spacing w:val="-8"/>
          <w:kern w:val="2"/>
        </w:rPr>
      </w:pPr>
      <w:bookmarkStart w:id="155" w:name="_Toc25904"/>
      <w:r>
        <w:fldChar w:fldCharType="begin"/>
      </w:r>
      <w:r>
        <w:instrText xml:space="preserve"> HYPERLINK \l "_Toc636"</w:instrText>
      </w:r>
      <w:r>
        <w:fldChar w:fldCharType="separate"/>
      </w:r>
      <w:bookmarkStart w:id="156" w:name="_Toc63009771"/>
      <w:r>
        <w:rPr>
          <w:rFonts w:hint="eastAsia" w:ascii="黑体" w:hAnsi="Times New Roman"/>
          <w:b w:val="0"/>
          <w:spacing w:val="-8"/>
          <w:kern w:val="2"/>
          <w:szCs w:val="32"/>
        </w:rPr>
        <w:t>第一节推进法治政府建设</w:t>
      </w:r>
      <w:bookmarkEnd w:id="156"/>
      <w:r>
        <w:rPr>
          <w:rFonts w:ascii="黑体" w:hAnsi="仿宋" w:cs="仿宋"/>
          <w:b w:val="0"/>
          <w:spacing w:val="-8"/>
          <w:kern w:val="2"/>
        </w:rPr>
        <w:fldChar w:fldCharType="end"/>
      </w:r>
      <w:bookmarkEnd w:id="155"/>
    </w:p>
    <w:p>
      <w:pPr>
        <w:spacing w:line="570" w:lineRule="exact"/>
        <w:ind w:firstLine="608" w:firstLineChars="200"/>
        <w:rPr>
          <w:rFonts w:ascii="仿宋_GB2312" w:eastAsia="仿宋_GB2312" w:cs="仿宋_GB2312"/>
          <w:spacing w:val="-8"/>
          <w:sz w:val="32"/>
          <w:szCs w:val="32"/>
        </w:rPr>
      </w:pPr>
      <w:r>
        <w:rPr>
          <w:rFonts w:hint="eastAsia" w:eastAsia="仿宋_GB2312"/>
          <w:spacing w:val="-8"/>
          <w:sz w:val="32"/>
          <w:szCs w:val="32"/>
        </w:rPr>
        <w:t>依法全面履行政府职能，完善行政组织和行政程序相关制度，推进政府机构、职能、权限、程序、责任法定化。规范依法决</w:t>
      </w:r>
      <w:r>
        <w:rPr>
          <w:rFonts w:hint="eastAsia" w:ascii="仿宋_GB2312" w:eastAsia="仿宋_GB2312" w:cs="仿宋_GB2312"/>
          <w:spacing w:val="-8"/>
          <w:sz w:val="32"/>
          <w:szCs w:val="32"/>
        </w:rPr>
        <w:t>策机制，建立健全各级政府及其部门行政决策程序，严格落实重大行政决策事项公众参与、专家论证、风险评估、合法性审查和集体讨论的法定程序。理顺行政执法体制，重点推进食品药品安全、工商质检、安全生产、文化旅游、城乡建设等领域内的综合执法。理顺行政强制执行体制，完善城管执法机制，健全完善行政执法争议协调机制，提高执法和服务水平。加大政府信息公开力度，明确和规范政府信息公开范围和内容</w:t>
      </w:r>
      <w:r>
        <w:rPr>
          <w:rFonts w:ascii="仿宋_GB2312" w:eastAsia="仿宋_GB2312" w:cs="仿宋_GB2312"/>
          <w:spacing w:val="-8"/>
          <w:sz w:val="32"/>
          <w:szCs w:val="32"/>
        </w:rPr>
        <w:t>,</w:t>
      </w:r>
      <w:r>
        <w:rPr>
          <w:rFonts w:hint="eastAsia" w:ascii="仿宋_GB2312" w:eastAsia="仿宋_GB2312" w:cs="仿宋_GB2312"/>
          <w:spacing w:val="-8"/>
          <w:sz w:val="32"/>
          <w:szCs w:val="32"/>
        </w:rPr>
        <w:t>重点推进财政预算、公共资源配置、重大建设项目批准和实施、社会公益事业建设等领域的政府信息公开。优化政务公开、网上行政审批和便民服务平台功能。</w:t>
      </w:r>
    </w:p>
    <w:p>
      <w:pPr>
        <w:pStyle w:val="4"/>
        <w:spacing w:before="0" w:after="0" w:line="570" w:lineRule="exact"/>
        <w:jc w:val="center"/>
        <w:rPr>
          <w:rFonts w:ascii="黑体" w:hAnsi="仿宋" w:cs="仿宋"/>
          <w:b w:val="0"/>
          <w:spacing w:val="-8"/>
          <w:kern w:val="2"/>
        </w:rPr>
      </w:pPr>
      <w:bookmarkStart w:id="157" w:name="_Toc25101"/>
      <w:r>
        <w:fldChar w:fldCharType="begin"/>
      </w:r>
      <w:r>
        <w:instrText xml:space="preserve"> HYPERLINK \l "_Toc6836"</w:instrText>
      </w:r>
      <w:r>
        <w:fldChar w:fldCharType="separate"/>
      </w:r>
      <w:bookmarkStart w:id="158" w:name="_Toc63009772"/>
      <w:r>
        <w:rPr>
          <w:rFonts w:hint="eastAsia" w:ascii="黑体" w:hAnsi="仿宋" w:cs="仿宋"/>
          <w:b w:val="0"/>
          <w:spacing w:val="-8"/>
          <w:kern w:val="2"/>
        </w:rPr>
        <w:t>第二节加强公正司法保障</w:t>
      </w:r>
      <w:bookmarkEnd w:id="158"/>
      <w:r>
        <w:rPr>
          <w:rFonts w:ascii="黑体" w:hAnsi="仿宋" w:cs="仿宋"/>
          <w:b w:val="0"/>
          <w:spacing w:val="-8"/>
          <w:kern w:val="2"/>
        </w:rPr>
        <w:fldChar w:fldCharType="end"/>
      </w:r>
      <w:bookmarkEnd w:id="157"/>
    </w:p>
    <w:p>
      <w:pPr>
        <w:pStyle w:val="7"/>
        <w:spacing w:line="570" w:lineRule="exact"/>
        <w:ind w:firstLine="592" w:firstLineChars="200"/>
        <w:jc w:val="both"/>
        <w:rPr>
          <w:rFonts w:ascii="仿宋_GB2312" w:hAnsi="Calibri" w:eastAsia="仿宋_GB2312" w:cs="仿宋_GB2312"/>
          <w:spacing w:val="-12"/>
          <w:sz w:val="32"/>
          <w:szCs w:val="32"/>
        </w:rPr>
      </w:pPr>
      <w:r>
        <w:rPr>
          <w:rFonts w:hint="eastAsia" w:ascii="仿宋_GB2312" w:hAnsi="Calibri" w:eastAsia="仿宋_GB2312" w:cs="仿宋_GB2312"/>
          <w:spacing w:val="-12"/>
          <w:sz w:val="32"/>
          <w:szCs w:val="32"/>
        </w:rPr>
        <w:t>严格执行党政机关及其领导干部支持司法机关依法独立公正行使职权的规定，支持法院、检察院依法独立公正行使职权，推进司法规范化建设，严格规范刑罚裁量权，全面贯彻证据裁判规则。完善司法管理体制和司法权力运行机制。深刻把握执法司法权运行特点，加快完善新型制约监督制度机制，明晰司法职责，规范司法行为，在更高层次上实现放权与监督的结合、公正与效率的统一。完善人民陪审员、监督员、调解员制度。在司法听证、司法调解、涉诉信访等活动中，保障人民群众有序参与司法，进一步增强司法公信力，维护司法权威。加强人权司法保障。加强对非法取证行为的源头预防，严格执行非法证据排除规则，建立健全案件纠错机制，有效防范和纠正冤假错案。加强司法服务保障。以规范化、信息化、现代化为导向，支持智慧法院建设，推进区人民法院审判法庭建设项目，引领司法审判工作实现高质量发展。</w:t>
      </w:r>
    </w:p>
    <w:p>
      <w:pPr>
        <w:pStyle w:val="4"/>
        <w:spacing w:before="0" w:after="0" w:line="570" w:lineRule="exact"/>
        <w:jc w:val="center"/>
        <w:rPr>
          <w:rFonts w:ascii="黑体" w:hAnsi="仿宋" w:cs="仿宋"/>
          <w:b w:val="0"/>
          <w:spacing w:val="-8"/>
          <w:kern w:val="2"/>
        </w:rPr>
      </w:pPr>
      <w:bookmarkStart w:id="159" w:name="_Toc7912"/>
      <w:r>
        <w:fldChar w:fldCharType="begin"/>
      </w:r>
      <w:r>
        <w:instrText xml:space="preserve"> HYPERLINK \l "_Toc30148"</w:instrText>
      </w:r>
      <w:r>
        <w:fldChar w:fldCharType="separate"/>
      </w:r>
      <w:bookmarkStart w:id="160" w:name="_Toc63009773"/>
      <w:r>
        <w:rPr>
          <w:rFonts w:hint="eastAsia" w:ascii="黑体" w:hAnsi="仿宋" w:cs="仿宋"/>
          <w:b w:val="0"/>
          <w:spacing w:val="-8"/>
          <w:kern w:val="2"/>
        </w:rPr>
        <w:t>第三节营造良好法治环境</w:t>
      </w:r>
      <w:bookmarkEnd w:id="160"/>
      <w:r>
        <w:rPr>
          <w:rFonts w:ascii="黑体" w:hAnsi="仿宋" w:cs="仿宋"/>
          <w:b w:val="0"/>
          <w:spacing w:val="-8"/>
          <w:kern w:val="2"/>
        </w:rPr>
        <w:fldChar w:fldCharType="end"/>
      </w:r>
      <w:bookmarkEnd w:id="159"/>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深入开展法治宣传教育，弘扬社会主义法治精神，提升全民自觉守法意识。深入学习宣传习近平法治思想，持续广泛开展民法典普法工作的同时注重弘扬法治精神、培育法治理念、树立法治意识；推进社会主义法治文化建设，把法治文化纳入现代化公共文化服务体系，推动法治文化与地方文化、行业文化融合发展，树立宪法法律</w:t>
      </w:r>
      <w:r>
        <w:rPr>
          <w:rFonts w:hint="eastAsia" w:ascii="仿宋_GB2312" w:eastAsia="仿宋_GB2312" w:cs="仿宋_GB2312"/>
          <w:spacing w:val="-8"/>
          <w:sz w:val="32"/>
          <w:szCs w:val="32"/>
          <w:lang w:val="en-US" w:eastAsia="zh-CN"/>
        </w:rPr>
        <w:t>至</w:t>
      </w:r>
      <w:r>
        <w:rPr>
          <w:rFonts w:hint="eastAsia" w:ascii="仿宋_GB2312" w:eastAsia="仿宋_GB2312" w:cs="仿宋_GB2312"/>
          <w:spacing w:val="-8"/>
          <w:sz w:val="32"/>
          <w:szCs w:val="32"/>
        </w:rPr>
        <w:t>上、法律面前人人平等的法治理念；推动多层次多领域依法治理，深化基层组织和部门、行业依法治理；推进法治教育与道德教育相结合，大力弘扬社会主义核心价值观。</w:t>
      </w:r>
    </w:p>
    <w:p>
      <w:pPr>
        <w:spacing w:line="570" w:lineRule="exact"/>
        <w:ind w:firstLine="608" w:firstLineChars="200"/>
        <w:rPr>
          <w:spacing w:val="-8"/>
        </w:rPr>
      </w:pPr>
      <w:r>
        <w:rPr>
          <w:rFonts w:hint="eastAsia" w:ascii="仿宋_GB2312" w:eastAsia="仿宋_GB2312" w:cs="仿宋_GB2312"/>
          <w:spacing w:val="-8"/>
          <w:sz w:val="32"/>
          <w:szCs w:val="32"/>
        </w:rPr>
        <w:t>完善国家工作人员学法用法制度。深化基层组织和部门、行业依法治理，支持各类社会主体依法实现自我约束、自我管理。全面推行村（居）法律顾问制度，加快建设覆盖城乡的公共法律服务体系。创新预防化解社会矛盾机制，完善调解、仲裁、行政裁决、行政复议、诉讼等多元化纠纷解决机制。创新法治人才培养机制，推进法治专门队伍正规化、专业化、职业化。</w:t>
      </w:r>
    </w:p>
    <w:p>
      <w:pPr>
        <w:pStyle w:val="4"/>
        <w:spacing w:before="0" w:after="0" w:line="570" w:lineRule="exact"/>
        <w:jc w:val="center"/>
        <w:rPr>
          <w:rFonts w:ascii="黑体" w:hAnsi="Times New Roman"/>
          <w:b w:val="0"/>
          <w:spacing w:val="-8"/>
          <w:kern w:val="2"/>
          <w:szCs w:val="32"/>
        </w:rPr>
      </w:pPr>
      <w:bookmarkStart w:id="161" w:name="_Toc19639"/>
      <w:r>
        <w:rPr>
          <w:rFonts w:hint="eastAsia"/>
        </w:rPr>
        <w:fldChar w:fldCharType="begin"/>
      </w:r>
      <w:r>
        <w:instrText xml:space="preserve"> HYPERLINK \l "_Toc28251"</w:instrText>
      </w:r>
      <w:r>
        <w:rPr>
          <w:rFonts w:hint="eastAsia"/>
        </w:rPr>
        <w:fldChar w:fldCharType="separate"/>
      </w:r>
      <w:bookmarkStart w:id="162" w:name="_Toc63009774"/>
      <w:r>
        <w:rPr>
          <w:rFonts w:hint="eastAsia" w:ascii="黑体" w:hAnsi="Times New Roman"/>
          <w:b w:val="0"/>
          <w:spacing w:val="-8"/>
          <w:kern w:val="2"/>
          <w:szCs w:val="32"/>
        </w:rPr>
        <w:t>第四节加强民主制度建设</w:t>
      </w:r>
      <w:bookmarkEnd w:id="162"/>
      <w:r>
        <w:rPr>
          <w:rFonts w:hint="eastAsia" w:ascii="黑体" w:hAnsi="Times New Roman"/>
          <w:b w:val="0"/>
          <w:spacing w:val="-8"/>
          <w:kern w:val="2"/>
          <w:szCs w:val="32"/>
        </w:rPr>
        <w:fldChar w:fldCharType="end"/>
      </w:r>
      <w:bookmarkEnd w:id="161"/>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更加注重健全民主制度、丰富民主形式，积极推进民主选举、民主决策、民主管理和民主监督。坚持发挥党总揽全局、协调各方的领导核心作用，改进和完善党的领导方式和执政方式，不断提高科学执政、民主执政、依法执政水平。充分发挥人民代表大会制度的根本政治制度作用和人民政协协商民主渠道作用，不断推进社会主义政治制度自我完善和发展。建立民意表达、批评建议、协商对话等利益诉求机制，发挥工会、共青团、妇联等人民团体的桥梁纽带作用，拓宽不同利益群体的意愿表达途径。依法实行民主选举、民主决策、民主管理、民主监督，保障人民群众的知情权、参与权、表达权、监督权。</w:t>
      </w:r>
    </w:p>
    <w:p>
      <w:pPr>
        <w:pStyle w:val="4"/>
        <w:spacing w:before="0" w:after="0" w:line="570" w:lineRule="exact"/>
        <w:jc w:val="center"/>
        <w:rPr>
          <w:rFonts w:ascii="黑体" w:hAnsi="Times New Roman"/>
          <w:b w:val="0"/>
          <w:spacing w:val="-8"/>
          <w:kern w:val="2"/>
          <w:szCs w:val="32"/>
        </w:rPr>
      </w:pPr>
      <w:bookmarkStart w:id="163" w:name="_Toc23063"/>
      <w:r>
        <w:fldChar w:fldCharType="begin"/>
      </w:r>
      <w:r>
        <w:instrText xml:space="preserve"> HYPERLINK \l "_Toc18546"</w:instrText>
      </w:r>
      <w:r>
        <w:fldChar w:fldCharType="separate"/>
      </w:r>
      <w:bookmarkStart w:id="164" w:name="_Toc63009775"/>
      <w:r>
        <w:rPr>
          <w:rFonts w:hint="eastAsia" w:ascii="黑体" w:hAnsi="Times New Roman"/>
          <w:b w:val="0"/>
          <w:spacing w:val="-8"/>
          <w:kern w:val="2"/>
          <w:szCs w:val="32"/>
        </w:rPr>
        <w:t>第五节构建社会治理体系</w:t>
      </w:r>
      <w:bookmarkEnd w:id="164"/>
      <w:r>
        <w:rPr>
          <w:rFonts w:ascii="黑体" w:hAnsi="Times New Roman"/>
          <w:b w:val="0"/>
          <w:spacing w:val="-8"/>
          <w:kern w:val="2"/>
          <w:szCs w:val="32"/>
        </w:rPr>
        <w:fldChar w:fldCharType="end"/>
      </w:r>
      <w:bookmarkEnd w:id="163"/>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坚持系统治理，加强党的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有效预防和化解社会矛盾。坚持源头治理，标本兼治、重在治本，以网格化管理、社会化服务为方向，健全基层综合服务管理平台，及时反映和协调人民群众各方面各层次利益诉求。</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加快深化社会组织登记制度改革，降低社会组织设立门槛，加快行业协会、农村专业经济协会、社区服务型社会组织、公益性社会组织和科教文卫类社会组织的发展步伐。推进行业协会商会与行政机关脱钩，真正确立社会组织的法人地位，提升依法自治水平和服务社会能力。创新和完善社会组织综合监管体系，按照“统一登记、各司其职、协调配合、分级负责、依法监管”的要求，从注重入口管理转移到注重过程监管，坚持分类指导、有序发展，加快形成政社分开、权责明确、依法自治的现代社会组织体制。优化社会组织发展环境，探索建立以政府采购、定向委托等不同方式向社会组织购买服务的机制，为社会组织的发展提供资源支持，营造形成法制健全、政策完善、待遇公平的社会组织发展环境。加强社会组织自身建设，提高社会组织自身服务社会、服务公众的能力，拓展承担公共服务职能，加强社会组织服务工作的规范性</w:t>
      </w:r>
      <w:r>
        <w:rPr>
          <w:rFonts w:ascii="仿宋_GB2312" w:eastAsia="仿宋_GB2312" w:cs="仿宋_GB2312"/>
          <w:spacing w:val="-8"/>
          <w:sz w:val="32"/>
          <w:szCs w:val="32"/>
        </w:rPr>
        <w:t xml:space="preserve">, </w:t>
      </w:r>
      <w:r>
        <w:rPr>
          <w:rFonts w:hint="eastAsia" w:ascii="仿宋_GB2312" w:eastAsia="仿宋_GB2312" w:cs="仿宋_GB2312"/>
          <w:spacing w:val="-8"/>
          <w:sz w:val="32"/>
          <w:szCs w:val="32"/>
        </w:rPr>
        <w:t>切实能够承担并胜任社会管理和社会公共事务，切实成为加强政府与民间社会沟通的桥梁和纽带。</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开展全民国防教育，完善国防动员体制机制，加强国民经济动员、人民武装、人民防空和交通战备，抓好武装警察、民兵预备队伍建设，依法保护国防设施，提高保障和综合防护能力。</w:t>
      </w:r>
      <w:bookmarkStart w:id="165" w:name="_Toc332201416"/>
      <w:bookmarkStart w:id="166" w:name="_Toc329166144"/>
      <w:bookmarkStart w:id="167" w:name="_Toc436683262"/>
      <w:bookmarkStart w:id="168" w:name="_Toc430880873"/>
    </w:p>
    <w:p>
      <w:pPr>
        <w:pStyle w:val="19"/>
        <w:spacing w:line="570" w:lineRule="exact"/>
      </w:pPr>
    </w:p>
    <w:p/>
    <w:p>
      <w:pPr>
        <w:pStyle w:val="2"/>
        <w:ind w:firstLine="420"/>
      </w:pPr>
    </w:p>
    <w:p>
      <w:pPr>
        <w:pStyle w:val="2"/>
        <w:ind w:firstLine="420"/>
      </w:pPr>
    </w:p>
    <w:p>
      <w:pPr>
        <w:pStyle w:val="2"/>
        <w:ind w:firstLine="420"/>
      </w:pPr>
    </w:p>
    <w:p>
      <w:pPr>
        <w:pStyle w:val="2"/>
        <w:ind w:firstLine="420"/>
      </w:pPr>
    </w:p>
    <w:p>
      <w:pPr>
        <w:pStyle w:val="2"/>
        <w:ind w:firstLine="420"/>
      </w:pPr>
    </w:p>
    <w:p>
      <w:pPr>
        <w:rPr>
          <w:rFonts w:ascii="方正小标宋简体" w:hAnsi="黑体" w:eastAsia="方正小标宋简体" w:cs="宋体"/>
          <w:spacing w:val="-8"/>
          <w:sz w:val="36"/>
          <w:szCs w:val="36"/>
        </w:rPr>
      </w:pPr>
      <w:bookmarkStart w:id="169" w:name="_Toc63009776"/>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70" w:name="_Toc25019"/>
      <w:r>
        <w:rPr>
          <w:rFonts w:hint="eastAsia" w:ascii="方正小标宋简体" w:hAnsi="黑体" w:eastAsia="方正小标宋简体" w:cs="宋体"/>
          <w:b w:val="0"/>
          <w:spacing w:val="-8"/>
          <w:kern w:val="2"/>
          <w:sz w:val="36"/>
          <w:szCs w:val="36"/>
        </w:rPr>
        <w:t>第十</w:t>
      </w:r>
      <w:bookmarkEnd w:id="165"/>
      <w:bookmarkEnd w:id="166"/>
      <w:r>
        <w:rPr>
          <w:rFonts w:hint="eastAsia" w:ascii="方正小标宋简体" w:hAnsi="黑体" w:eastAsia="方正小标宋简体" w:cs="宋体"/>
          <w:b w:val="0"/>
          <w:spacing w:val="-8"/>
          <w:kern w:val="2"/>
          <w:sz w:val="36"/>
          <w:szCs w:val="36"/>
        </w:rPr>
        <w:t>四章健全配套体系，保障规划实施</w:t>
      </w:r>
      <w:bookmarkEnd w:id="167"/>
      <w:bookmarkEnd w:id="168"/>
      <w:bookmarkEnd w:id="169"/>
      <w:bookmarkEnd w:id="170"/>
    </w:p>
    <w:p>
      <w:pPr>
        <w:spacing w:line="570" w:lineRule="exact"/>
      </w:pPr>
    </w:p>
    <w:p>
      <w:pPr>
        <w:pStyle w:val="4"/>
        <w:spacing w:before="0" w:after="0" w:line="570" w:lineRule="exact"/>
        <w:jc w:val="center"/>
        <w:rPr>
          <w:rFonts w:ascii="黑体" w:hAnsi="Times New Roman"/>
          <w:b w:val="0"/>
          <w:spacing w:val="-8"/>
          <w:kern w:val="2"/>
          <w:szCs w:val="32"/>
        </w:rPr>
      </w:pPr>
      <w:bookmarkStart w:id="171" w:name="_Toc30111"/>
      <w:bookmarkStart w:id="172" w:name="_Toc63009777"/>
      <w:bookmarkStart w:id="173" w:name="_Toc7929"/>
      <w:bookmarkStart w:id="174" w:name="_Toc57148648"/>
      <w:bookmarkStart w:id="175" w:name="_Toc430880876"/>
      <w:bookmarkStart w:id="176" w:name="_Toc436683264"/>
      <w:r>
        <w:rPr>
          <w:rFonts w:hint="eastAsia" w:ascii="黑体" w:hAnsi="Times New Roman"/>
          <w:b w:val="0"/>
          <w:spacing w:val="-8"/>
          <w:kern w:val="2"/>
          <w:szCs w:val="32"/>
        </w:rPr>
        <w:t>第一节全面加强党的领导</w:t>
      </w:r>
      <w:bookmarkEnd w:id="171"/>
      <w:bookmarkEnd w:id="172"/>
      <w:bookmarkEnd w:id="173"/>
      <w:bookmarkEnd w:id="174"/>
    </w:p>
    <w:p>
      <w:pPr>
        <w:spacing w:line="570" w:lineRule="exact"/>
        <w:ind w:firstLine="592" w:firstLineChars="200"/>
        <w:rPr>
          <w:rFonts w:ascii="Calibri" w:hAnsi="Calibri" w:eastAsia="仿宋_GB2312"/>
          <w:spacing w:val="-12"/>
          <w:sz w:val="32"/>
          <w:szCs w:val="22"/>
        </w:rPr>
      </w:pPr>
      <w:r>
        <w:rPr>
          <w:rFonts w:hint="eastAsia" w:ascii="Calibri" w:hAnsi="Calibri" w:eastAsia="仿宋_GB2312"/>
          <w:spacing w:val="-12"/>
          <w:sz w:val="32"/>
          <w:szCs w:val="22"/>
        </w:rPr>
        <w:t>坚持党统揽全局、协调各方，加强党对规划工作的领导核心作用，提高领导能力和水平，为实施“十四五”规划提供坚强保证。</w:t>
      </w:r>
    </w:p>
    <w:p>
      <w:pPr>
        <w:spacing w:line="570" w:lineRule="exact"/>
        <w:ind w:firstLine="611" w:firstLineChars="200"/>
        <w:rPr>
          <w:rFonts w:ascii="仿宋_GB2312" w:hAnsi="仿宋" w:eastAsia="仿宋_GB2312"/>
          <w:color w:val="000000"/>
          <w:spacing w:val="-8"/>
          <w:sz w:val="32"/>
          <w:szCs w:val="32"/>
        </w:rPr>
      </w:pPr>
      <w:r>
        <w:rPr>
          <w:rFonts w:hint="eastAsia" w:ascii="仿宋_GB2312" w:hAnsi="仿宋" w:eastAsia="仿宋_GB2312" w:cs="仿宋"/>
          <w:b/>
          <w:bCs/>
          <w:spacing w:val="-8"/>
          <w:sz w:val="32"/>
          <w:szCs w:val="22"/>
        </w:rPr>
        <w:t>加强党的全面领导。</w:t>
      </w:r>
      <w:r>
        <w:rPr>
          <w:rFonts w:hint="eastAsia" w:ascii="仿宋_GB2312" w:hAnsi="Calibri" w:eastAsia="仿宋_GB2312"/>
          <w:spacing w:val="-8"/>
          <w:sz w:val="32"/>
          <w:szCs w:val="22"/>
          <w:lang w:eastAsia="zh-CN"/>
        </w:rPr>
        <w:t>坚持党要管党、全面从严治党</w:t>
      </w:r>
      <w:bookmarkStart w:id="189" w:name="_GoBack"/>
      <w:bookmarkEnd w:id="189"/>
      <w:r>
        <w:rPr>
          <w:rFonts w:hint="eastAsia" w:ascii="仿宋_GB2312" w:hAnsi="Calibri" w:eastAsia="仿宋_GB2312"/>
          <w:spacing w:val="-8"/>
          <w:sz w:val="32"/>
          <w:szCs w:val="22"/>
        </w:rPr>
        <w:t>，以改革创新精神全面推进党的建设，提高区委领导统筹实施“十四五”规划的能力。完善区委领导、人大批准、政府编制实施的发展规划工作机制，建立规划实施的重大进展情况及时向区委报告制度，区人大依法审查批准和监督实施，区政府按照规划任务分工安排有关部门抓好落实。</w:t>
      </w:r>
    </w:p>
    <w:p>
      <w:pPr>
        <w:spacing w:line="570" w:lineRule="exact"/>
        <w:ind w:firstLine="595" w:firstLineChars="200"/>
        <w:rPr>
          <w:rFonts w:ascii="仿宋_GB2312" w:hAnsi="仿宋" w:eastAsia="仿宋_GB2312"/>
          <w:color w:val="000000"/>
          <w:spacing w:val="-12"/>
          <w:sz w:val="32"/>
          <w:szCs w:val="32"/>
        </w:rPr>
      </w:pPr>
      <w:r>
        <w:rPr>
          <w:rFonts w:hint="eastAsia" w:ascii="仿宋_GB2312" w:hAnsi="仿宋" w:eastAsia="仿宋_GB2312" w:cs="仿宋"/>
          <w:b/>
          <w:bCs/>
          <w:spacing w:val="-12"/>
          <w:sz w:val="32"/>
          <w:szCs w:val="22"/>
        </w:rPr>
        <w:t>激发干部干事热情。</w:t>
      </w:r>
      <w:r>
        <w:rPr>
          <w:rFonts w:hint="eastAsia" w:ascii="仿宋_GB2312" w:hAnsi="Calibri" w:eastAsia="仿宋_GB2312"/>
          <w:spacing w:val="-12"/>
          <w:sz w:val="32"/>
          <w:szCs w:val="22"/>
        </w:rPr>
        <w:t>深入学习贯彻习近平总书记关于“十四五”规划的重要讲话和指示批示精神，认真落实省委市委重大战略部署，破除长期束缚各级领导干部干事敢为的体制机制束缚，建立领导干部容错纠错机制，营造有利于各级领导干部敢于争先、奋发有为、审慎包容的发展环境，进一步解放思想、更新观念、转变作风、积极有为，把“十四五”规划重大战略部署落实到位。</w:t>
      </w:r>
    </w:p>
    <w:p>
      <w:pPr>
        <w:spacing w:line="570" w:lineRule="exact"/>
        <w:ind w:firstLine="611" w:firstLineChars="200"/>
        <w:rPr>
          <w:rFonts w:ascii="Calibri" w:hAnsi="Calibri" w:eastAsia="仿宋_GB2312"/>
          <w:spacing w:val="-8"/>
          <w:sz w:val="32"/>
          <w:szCs w:val="22"/>
        </w:rPr>
      </w:pPr>
      <w:r>
        <w:rPr>
          <w:rFonts w:hint="eastAsia" w:ascii="仿宋_GB2312" w:hAnsi="仿宋" w:eastAsia="仿宋_GB2312" w:cs="仿宋"/>
          <w:b/>
          <w:bCs/>
          <w:spacing w:val="-8"/>
          <w:sz w:val="32"/>
          <w:szCs w:val="22"/>
        </w:rPr>
        <w:t>营造风清气正的政治生态。</w:t>
      </w:r>
      <w:r>
        <w:rPr>
          <w:rFonts w:hint="eastAsia" w:ascii="仿宋_GB2312" w:hAnsi="Calibri" w:eastAsia="仿宋_GB2312"/>
          <w:spacing w:val="-8"/>
          <w:sz w:val="32"/>
          <w:szCs w:val="22"/>
        </w:rPr>
        <w:t>深入开展党员干部教育活动，</w:t>
      </w:r>
      <w:r>
        <w:rPr>
          <w:rFonts w:hint="eastAsia" w:ascii="仿宋_GB2312" w:hAnsi="Calibri" w:eastAsia="仿宋_GB2312"/>
          <w:spacing w:val="-8"/>
          <w:sz w:val="32"/>
          <w:szCs w:val="22"/>
          <w:lang w:eastAsia="zh-CN"/>
        </w:rPr>
        <w:t>增强“四个意识”、坚定“四个自信”、做到“两个维护”</w:t>
      </w:r>
      <w:r>
        <w:rPr>
          <w:rFonts w:hint="eastAsia" w:ascii="仿宋_GB2312" w:hAnsi="Calibri" w:eastAsia="仿宋_GB2312"/>
          <w:spacing w:val="-8"/>
          <w:sz w:val="32"/>
          <w:szCs w:val="22"/>
        </w:rPr>
        <w:t>，不断改进工作作风。持续保持整风严纪和反腐败斗争高压态势，形成不敢腐、不想腐的震慑作用，努力实现干部清廉、政府清正、政治清明，为“十四五”发展营造良好的政治生态。在营商环境上要下更大功夫，深入开展巡视、巡察等工作，着力解决懒政怠政、不作为不敢为等工作作风顽疾，使营商环境成为我区“十</w:t>
      </w:r>
      <w:r>
        <w:rPr>
          <w:rFonts w:hint="eastAsia" w:ascii="Calibri" w:hAnsi="Calibri" w:eastAsia="仿宋_GB2312"/>
          <w:spacing w:val="-8"/>
          <w:sz w:val="32"/>
          <w:szCs w:val="22"/>
        </w:rPr>
        <w:t>四五”高质量发展的软实力。</w:t>
      </w:r>
    </w:p>
    <w:p>
      <w:pPr>
        <w:pStyle w:val="4"/>
        <w:spacing w:before="0" w:after="0" w:line="570" w:lineRule="exact"/>
        <w:jc w:val="center"/>
        <w:rPr>
          <w:rFonts w:ascii="黑体" w:hAnsi="Times New Roman"/>
          <w:b w:val="0"/>
          <w:spacing w:val="-8"/>
          <w:kern w:val="2"/>
          <w:szCs w:val="32"/>
        </w:rPr>
      </w:pPr>
      <w:bookmarkStart w:id="177" w:name="_Toc113"/>
      <w:bookmarkStart w:id="178" w:name="_Toc63009778"/>
      <w:bookmarkStart w:id="179" w:name="_Toc11478"/>
      <w:r>
        <w:rPr>
          <w:rFonts w:hint="eastAsia" w:ascii="黑体" w:hAnsi="Times New Roman"/>
          <w:b w:val="0"/>
          <w:spacing w:val="-8"/>
          <w:kern w:val="2"/>
          <w:szCs w:val="32"/>
        </w:rPr>
        <w:t>第二节健全规划落实机制</w:t>
      </w:r>
      <w:bookmarkEnd w:id="177"/>
      <w:bookmarkEnd w:id="178"/>
      <w:bookmarkEnd w:id="179"/>
    </w:p>
    <w:p>
      <w:pPr>
        <w:spacing w:line="570" w:lineRule="exact"/>
        <w:ind w:firstLine="611" w:firstLineChars="200"/>
        <w:rPr>
          <w:rFonts w:ascii="仿宋_GB2312" w:hAnsi="Calibri" w:eastAsia="仿宋_GB2312" w:cs="仿宋_GB2312"/>
          <w:spacing w:val="-8"/>
          <w:sz w:val="32"/>
          <w:szCs w:val="32"/>
        </w:rPr>
      </w:pPr>
      <w:r>
        <w:rPr>
          <w:rFonts w:hint="eastAsia" w:ascii="仿宋_GB2312" w:hAnsi="仿宋" w:eastAsia="仿宋_GB2312" w:cs="仿宋"/>
          <w:b/>
          <w:bCs/>
          <w:spacing w:val="-8"/>
          <w:sz w:val="32"/>
          <w:szCs w:val="32"/>
        </w:rPr>
        <w:t>做好顶层设计。</w:t>
      </w:r>
      <w:r>
        <w:rPr>
          <w:rFonts w:hint="eastAsia" w:ascii="仿宋_GB2312" w:hAnsi="Calibri" w:eastAsia="仿宋_GB2312" w:cs="仿宋_GB2312"/>
          <w:spacing w:val="-8"/>
          <w:sz w:val="32"/>
          <w:szCs w:val="32"/>
        </w:rPr>
        <w:t>坚持以资源环境承载能力为刚性约束条件，健全工作协调和政策协同机制，统筹生产、生活、生态三大空间，通过“一张图”整合国民经济和社会发展规划、主体功能区规划、国土空间规划以及各类专项规划。杜绝规划打架、项目重合与衔接缺失问题，有序开展各项区域城乡发展工作，统筹资源配置、项目实施与政策落实。</w:t>
      </w:r>
    </w:p>
    <w:p>
      <w:pPr>
        <w:spacing w:line="540" w:lineRule="exact"/>
        <w:ind w:firstLine="611" w:firstLineChars="200"/>
        <w:rPr>
          <w:rFonts w:ascii="仿宋_GB2312" w:hAnsi="Calibri" w:eastAsia="仿宋_GB2312" w:cs="仿宋_GB2312"/>
          <w:spacing w:val="-8"/>
          <w:sz w:val="32"/>
          <w:szCs w:val="32"/>
        </w:rPr>
      </w:pPr>
      <w:r>
        <w:rPr>
          <w:rFonts w:hint="eastAsia" w:ascii="仿宋_GB2312" w:hAnsi="仿宋" w:eastAsia="仿宋_GB2312" w:cs="仿宋"/>
          <w:b/>
          <w:bCs/>
          <w:spacing w:val="-8"/>
          <w:sz w:val="32"/>
          <w:szCs w:val="32"/>
        </w:rPr>
        <w:t>加强各类规划衔接协调。</w:t>
      </w:r>
      <w:r>
        <w:rPr>
          <w:rFonts w:hint="eastAsia" w:ascii="仿宋_GB2312" w:hAnsi="Calibri" w:eastAsia="仿宋_GB2312" w:cs="仿宋_GB2312"/>
          <w:spacing w:val="-8"/>
          <w:sz w:val="32"/>
          <w:szCs w:val="32"/>
        </w:rPr>
        <w:t>按照中央和省市关于统一规划体系建设的有关要求，更好发挥“十四五”经济社会发展规划对国土空间规划、专项规划的统领作用，理顺不同规划之间的关系，加强衔接协调，打破区域分割和部门分割，推动专项规划、国土空间规划与全区经济和社会发展“十四五”规划同步编制、充分衔接，未经衔接原则上不得报批实施。</w:t>
      </w:r>
    </w:p>
    <w:p>
      <w:pPr>
        <w:spacing w:line="540" w:lineRule="exact"/>
        <w:ind w:firstLine="611" w:firstLineChars="200"/>
        <w:rPr>
          <w:rFonts w:ascii="仿宋_GB2312" w:hAnsi="Calibri" w:eastAsia="仿宋_GB2312" w:cs="仿宋_GB2312"/>
          <w:spacing w:val="-8"/>
          <w:sz w:val="32"/>
          <w:szCs w:val="32"/>
        </w:rPr>
      </w:pPr>
      <w:r>
        <w:rPr>
          <w:rFonts w:hint="eastAsia" w:ascii="仿宋_GB2312" w:hAnsi="仿宋" w:eastAsia="仿宋_GB2312" w:cs="仿宋"/>
          <w:b/>
          <w:bCs/>
          <w:spacing w:val="-8"/>
          <w:sz w:val="32"/>
          <w:szCs w:val="32"/>
        </w:rPr>
        <w:t>强化规划实施管理。</w:t>
      </w:r>
      <w:r>
        <w:rPr>
          <w:rFonts w:hint="eastAsia" w:ascii="仿宋_GB2312" w:hAnsi="Calibri" w:eastAsia="仿宋_GB2312" w:cs="仿宋_GB2312"/>
          <w:spacing w:val="-8"/>
          <w:sz w:val="32"/>
          <w:szCs w:val="32"/>
        </w:rPr>
        <w:t>按照谁组织编制谁协调实施的原则，加强各乡（镇）和区直部门主体责任，加强规划刚性约束，完善监测评估制度，加强监测评估能力建设，加强制造业与服务业融合发展、基础平台建设、生态环境改善、民生质量提升等方面统计工作，强化《纲要》实施情况跟踪分析。维护规划的权威性，确保一张蓝图干到底。完善规划编制、实施、评估、修订调整的链条，加强年度跟踪分析，中期评估和终期总结，完善公众参与机制，强化规划实施考核评价，将规划实施目标与部门工作绩效挂钩，列入政府督查考核范畴。健全规划实施的制度保障，对约束性指标和主要预期性指标完成情况进行重点评估和监测预警，接受区人民代表大会及其常务委员会的监督检查。</w:t>
      </w:r>
    </w:p>
    <w:p>
      <w:pPr>
        <w:pStyle w:val="4"/>
        <w:spacing w:before="0" w:after="0" w:line="540" w:lineRule="exact"/>
        <w:jc w:val="center"/>
        <w:rPr>
          <w:rFonts w:ascii="黑体" w:hAnsi="Times New Roman"/>
          <w:b w:val="0"/>
          <w:spacing w:val="-8"/>
          <w:kern w:val="2"/>
          <w:szCs w:val="32"/>
        </w:rPr>
      </w:pPr>
      <w:bookmarkStart w:id="180" w:name="_Toc3936"/>
      <w:bookmarkStart w:id="181" w:name="_Toc1201"/>
      <w:bookmarkStart w:id="182" w:name="_Toc63009779"/>
      <w:bookmarkStart w:id="183" w:name="_Toc30830"/>
      <w:r>
        <w:rPr>
          <w:rFonts w:hint="eastAsia" w:ascii="黑体" w:hAnsi="Times New Roman"/>
          <w:b w:val="0"/>
          <w:spacing w:val="-8"/>
          <w:kern w:val="2"/>
          <w:szCs w:val="32"/>
        </w:rPr>
        <w:t>第三节加强重大项目支撑</w:t>
      </w:r>
      <w:bookmarkEnd w:id="180"/>
      <w:bookmarkEnd w:id="181"/>
      <w:bookmarkEnd w:id="182"/>
      <w:bookmarkEnd w:id="183"/>
    </w:p>
    <w:p>
      <w:pPr>
        <w:spacing w:line="540" w:lineRule="exact"/>
        <w:ind w:firstLine="608" w:firstLineChars="200"/>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坚持以规划确定项目、以项目落实规划</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发挥重大项目对转变经济发展方式的带动作用</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加强重大项目的规划、筛选和储备，推进重大项目建设。</w:t>
      </w:r>
    </w:p>
    <w:p>
      <w:pPr>
        <w:spacing w:line="220" w:lineRule="atLeast"/>
        <w:ind w:firstLine="583" w:firstLineChars="196"/>
      </w:pPr>
      <w:r>
        <w:rPr>
          <w:rFonts w:hint="eastAsia" w:ascii="仿宋_GB2312" w:hAnsi="仿宋" w:eastAsia="仿宋_GB2312" w:cs="仿宋"/>
          <w:b/>
          <w:bCs/>
          <w:spacing w:val="-12"/>
          <w:sz w:val="32"/>
          <w:szCs w:val="32"/>
        </w:rPr>
        <w:t>加强要素资源保障。</w:t>
      </w:r>
      <w:r>
        <w:rPr>
          <w:rFonts w:hint="eastAsia" w:ascii="仿宋_GB2312" w:hAnsi="Calibri" w:eastAsia="仿宋_GB2312"/>
          <w:spacing w:val="-12"/>
          <w:sz w:val="32"/>
          <w:szCs w:val="22"/>
        </w:rPr>
        <w:t>强化资金、人才、用地、能源、环境容量等要素对重大工程推进的保障作用。优化公共财政预算和支出结构，优先安排涉及民生、公共服务、基础设施、产业载体等领域的投入，集中有限财力保证政府投资重大项目的资金需求，积极引导社会资本参与重点项目投资。</w:t>
      </w:r>
      <w:r>
        <w:rPr>
          <w:rFonts w:hint="eastAsia" w:ascii="仿宋_GB2312" w:hAnsi="Calibri" w:eastAsia="仿宋_GB2312" w:cs="仿宋_GB2312"/>
          <w:spacing w:val="-12"/>
          <w:sz w:val="32"/>
          <w:szCs w:val="32"/>
        </w:rPr>
        <w:t>创新重大项目的资金保障机制，拓宽城市建设融资渠道，放开市场准入，吸引各类市场主体参与我区开发建设。</w:t>
      </w:r>
      <w:r>
        <w:rPr>
          <w:rFonts w:hint="eastAsia" w:ascii="仿宋_GB2312" w:hAnsi="Calibri" w:eastAsia="仿宋_GB2312"/>
          <w:spacing w:val="-12"/>
          <w:sz w:val="32"/>
          <w:szCs w:val="22"/>
        </w:rPr>
        <w:t>坚持挖掘存量和用好增量发展空间，</w:t>
      </w:r>
      <w:r>
        <w:rPr>
          <w:rFonts w:hint="eastAsia" w:ascii="仿宋_GB2312" w:hAnsi="Calibri" w:eastAsia="仿宋_GB2312" w:cs="仿宋_GB2312"/>
          <w:spacing w:val="-12"/>
          <w:sz w:val="32"/>
          <w:szCs w:val="32"/>
        </w:rPr>
        <w:t>制定合理的土地供需计划，</w:t>
      </w:r>
      <w:r>
        <w:rPr>
          <w:rFonts w:hint="eastAsia" w:ascii="仿宋_GB2312" w:hAnsi="Calibri" w:eastAsia="仿宋_GB2312"/>
          <w:spacing w:val="-12"/>
          <w:sz w:val="32"/>
          <w:szCs w:val="22"/>
        </w:rPr>
        <w:t>优先保证民生改善、重点产业项目、重大基础设施等方面的</w:t>
      </w:r>
      <w:bookmarkEnd w:id="175"/>
      <w:bookmarkEnd w:id="176"/>
      <w:r>
        <w:rPr>
          <w:rFonts w:hint="eastAsia" w:ascii="仿宋_GB2312" w:hAnsi="Calibri" w:eastAsia="仿宋_GB2312"/>
          <w:spacing w:val="-12"/>
          <w:sz w:val="32"/>
        </w:rPr>
        <w:t>土地需求，</w:t>
      </w:r>
      <w:r>
        <w:rPr>
          <w:rFonts w:hint="eastAsia" w:ascii="仿宋_GB2312" w:hAnsi="Calibri" w:eastAsia="仿宋_GB2312" w:cs="仿宋_GB2312"/>
          <w:spacing w:val="-12"/>
          <w:sz w:val="32"/>
          <w:szCs w:val="32"/>
        </w:rPr>
        <w:t>也要预留发展用地，力争在用地安排上做到科学安排、统筹兼顾。</w:t>
      </w:r>
      <w:r>
        <w:rPr>
          <w:rFonts w:hint="eastAsia" w:ascii="仿宋_GB2312" w:hAnsi="Calibri" w:eastAsia="仿宋_GB2312"/>
          <w:spacing w:val="-12"/>
          <w:sz w:val="32"/>
        </w:rPr>
        <w:t>根据重点项目需要，加强人才引进、培养，完善能源、水利等配套基础设施。</w:t>
      </w:r>
    </w:p>
    <w:p>
      <w:pPr>
        <w:spacing w:line="560" w:lineRule="exact"/>
        <w:ind w:firstLine="611" w:firstLineChars="200"/>
        <w:rPr>
          <w:rFonts w:ascii="仿宋_GB2312" w:hAnsi="Calibri" w:eastAsia="仿宋_GB2312"/>
          <w:spacing w:val="-8"/>
          <w:sz w:val="32"/>
        </w:rPr>
      </w:pPr>
      <w:r>
        <w:rPr>
          <w:rFonts w:hint="eastAsia" w:ascii="仿宋_GB2312" w:hAnsi="仿宋" w:eastAsia="仿宋_GB2312" w:cs="仿宋"/>
          <w:b/>
          <w:bCs/>
          <w:spacing w:val="-8"/>
          <w:sz w:val="32"/>
          <w:szCs w:val="32"/>
        </w:rPr>
        <w:t>提高项目管理水平。</w:t>
      </w:r>
      <w:r>
        <w:rPr>
          <w:rFonts w:hint="eastAsia" w:ascii="仿宋_GB2312" w:hAnsi="Calibri" w:eastAsia="仿宋_GB2312"/>
          <w:spacing w:val="-8"/>
          <w:sz w:val="32"/>
        </w:rPr>
        <w:t>落实重大项目分级管理和目标责任制度，加强项目动态管理。建立区重大项目常态化督导机制，加强对重大项目统筹协调，按照“一事一议”原则扎实推进项目落地。提升项目建设的全过程、精细化、标准化管理水平，严格项目建设程序，规范招投标管理，强化安全质量监管。</w:t>
      </w:r>
    </w:p>
    <w:p>
      <w:pPr>
        <w:keepNext/>
        <w:keepLines/>
        <w:spacing w:line="560" w:lineRule="exact"/>
        <w:jc w:val="center"/>
        <w:outlineLvl w:val="1"/>
        <w:rPr>
          <w:rFonts w:ascii="黑体" w:eastAsia="黑体"/>
          <w:spacing w:val="-8"/>
          <w:sz w:val="32"/>
          <w:szCs w:val="32"/>
        </w:rPr>
      </w:pPr>
      <w:bookmarkStart w:id="184" w:name="_Toc2083"/>
      <w:bookmarkStart w:id="185" w:name="_Toc63007561"/>
      <w:bookmarkStart w:id="186" w:name="_Toc3005"/>
      <w:bookmarkStart w:id="187" w:name="_Toc24879"/>
      <w:bookmarkStart w:id="188" w:name="_Toc934"/>
      <w:r>
        <w:rPr>
          <w:rFonts w:hint="eastAsia" w:ascii="黑体" w:eastAsia="黑体"/>
          <w:spacing w:val="-8"/>
          <w:sz w:val="32"/>
          <w:szCs w:val="32"/>
        </w:rPr>
        <w:t>第四节完善政策资源保障</w:t>
      </w:r>
      <w:bookmarkEnd w:id="184"/>
      <w:bookmarkEnd w:id="185"/>
      <w:bookmarkEnd w:id="186"/>
      <w:bookmarkEnd w:id="187"/>
    </w:p>
    <w:p>
      <w:pPr>
        <w:spacing w:line="560" w:lineRule="exact"/>
        <w:ind w:firstLine="608" w:firstLineChars="200"/>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围绕规划确定的任务，抓住关系改革发展的重大问题，根据规划实施情况，及时制定、完善相关政策，强化政策保障。加强与上级“十四五”规划的衔接，抓住具有典型示范意义的关键领域，探索先行先试经验，争取政策支持，建立健全企业进入和退出的机制。根据规划目标和任务，区政府要适时制定、出台相应的产业、资金、土地等方面的配套政策措施和实施意见，有效引导资源配置方向，合理配置政府公共资源，优化资源配置结构，提高资源配置效率，在确保市场配置资源作用的同时，充分发挥区政府对资源配置的导向和带动作用。</w:t>
      </w:r>
    </w:p>
    <w:bookmarkEnd w:id="188"/>
    <w:p>
      <w:pPr>
        <w:spacing w:line="560" w:lineRule="exact"/>
        <w:ind w:firstLine="608" w:firstLineChars="200"/>
      </w:pPr>
      <w:r>
        <w:rPr>
          <w:rFonts w:hint="eastAsia" w:ascii="仿宋_GB2312" w:eastAsia="仿宋_GB2312" w:cs="仿宋_GB2312"/>
          <w:spacing w:val="-8"/>
          <w:sz w:val="32"/>
          <w:szCs w:val="32"/>
        </w:rPr>
        <w:t>做好“十四五”时期的工作，对于加快建设我区国民经济和社会发展和巩固全面建成小康社会的成果具有十分重要的意义，全区人民要在区委、区政府的坚强领导下，深入贯彻国家、省、市的发展方针，奋发作为，攻坚克难，为顺利实施我区国民经济和社会发展第十四个五年规划而努力奋斗。</w:t>
      </w:r>
    </w:p>
    <w:p>
      <w:pPr>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550" w:lineRule="exact"/>
        <w:jc w:val="right"/>
        <w:outlineLvl w:val="0"/>
        <w:rPr>
          <w:rFonts w:ascii="仿宋_GB2312" w:eastAsia="仿宋_GB2312"/>
          <w:spacing w:val="-8"/>
          <w:sz w:val="28"/>
          <w:szCs w:val="28"/>
        </w:rPr>
      </w:pPr>
    </w:p>
    <w:sectPr>
      <w:footerReference r:id="rId11" w:type="default"/>
      <w:pgSz w:w="11906" w:h="16838"/>
      <w:pgMar w:top="1701" w:right="1701" w:bottom="1701" w:left="1701" w:header="851" w:footer="1701"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Fonts w:ascii="宋体"/>
        <w:sz w:val="28"/>
        <w:szCs w:val="28"/>
      </w:rPr>
    </w:pPr>
    <w:r>
      <w:rPr>
        <w:rStyle w:val="26"/>
        <w:rFonts w:ascii="宋体" w:hAnsi="宋体"/>
        <w:sz w:val="28"/>
        <w:szCs w:val="28"/>
      </w:rPr>
      <w:fldChar w:fldCharType="begin"/>
    </w:r>
    <w:r>
      <w:rPr>
        <w:rStyle w:val="26"/>
        <w:rFonts w:ascii="宋体" w:hAnsi="宋体"/>
        <w:sz w:val="28"/>
        <w:szCs w:val="28"/>
      </w:rPr>
      <w:instrText xml:space="preserve">PAGE  </w:instrText>
    </w:r>
    <w:r>
      <w:rPr>
        <w:rStyle w:val="26"/>
        <w:rFonts w:ascii="宋体" w:hAnsi="宋体"/>
        <w:sz w:val="28"/>
        <w:szCs w:val="28"/>
      </w:rPr>
      <w:fldChar w:fldCharType="separate"/>
    </w:r>
    <w:r>
      <w:rPr>
        <w:rStyle w:val="26"/>
        <w:rFonts w:ascii="宋体" w:hAnsi="宋体"/>
        <w:sz w:val="28"/>
        <w:szCs w:val="28"/>
      </w:rPr>
      <w:t>- 88 -</w:t>
    </w:r>
    <w:r>
      <w:rPr>
        <w:rStyle w:val="26"/>
        <w:rFonts w:ascii="宋体" w:hAnsi="宋体"/>
        <w:sz w:val="28"/>
        <w:szCs w:val="28"/>
      </w:rPr>
      <w:fldChar w:fldCharType="end"/>
    </w:r>
  </w:p>
  <w:p>
    <w:pPr>
      <w:pStyle w:val="16"/>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Fonts w:ascii="宋体" w:hAnsi="宋体"/>
        <w:sz w:val="28"/>
        <w:szCs w:val="28"/>
      </w:rPr>
    </w:pP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III</w:t>
    </w:r>
    <w:r>
      <w:rPr>
        <w:rFonts w:ascii="宋体" w:hAnsi="宋体"/>
        <w:sz w:val="28"/>
        <w:szCs w:val="28"/>
      </w:rPr>
      <w:fldChar w:fldCharType="end"/>
    </w:r>
  </w:p>
  <w:p>
    <w:pPr>
      <w:pStyle w:val="16"/>
      <w:tabs>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Fonts w:ascii="宋体"/>
        <w:sz w:val="28"/>
        <w:szCs w:val="28"/>
      </w:rPr>
    </w:pPr>
    <w:r>
      <w:rPr>
        <w:rStyle w:val="26"/>
        <w:rFonts w:ascii="宋体" w:hAnsi="宋体"/>
        <w:sz w:val="28"/>
        <w:szCs w:val="28"/>
      </w:rPr>
      <w:fldChar w:fldCharType="begin"/>
    </w:r>
    <w:r>
      <w:rPr>
        <w:rStyle w:val="26"/>
        <w:rFonts w:ascii="宋体" w:hAnsi="宋体"/>
        <w:sz w:val="28"/>
        <w:szCs w:val="28"/>
      </w:rPr>
      <w:instrText xml:space="preserve">PAGE  </w:instrText>
    </w:r>
    <w:r>
      <w:rPr>
        <w:rStyle w:val="26"/>
        <w:rFonts w:ascii="宋体" w:hAnsi="宋体"/>
        <w:sz w:val="28"/>
        <w:szCs w:val="28"/>
      </w:rPr>
      <w:fldChar w:fldCharType="separate"/>
    </w:r>
    <w:r>
      <w:rPr>
        <w:rStyle w:val="26"/>
        <w:rFonts w:ascii="宋体" w:hAnsi="宋体"/>
        <w:sz w:val="28"/>
        <w:szCs w:val="28"/>
      </w:rPr>
      <w:t>- 96 -</w:t>
    </w:r>
    <w:r>
      <w:rPr>
        <w:rStyle w:val="26"/>
        <w:rFonts w:ascii="宋体" w:hAnsi="宋体"/>
        <w:sz w:val="28"/>
        <w:szCs w:val="28"/>
      </w:rPr>
      <w:fldChar w:fldCharType="end"/>
    </w:r>
  </w:p>
  <w:p>
    <w:pPr>
      <w:pStyle w:val="16"/>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Fonts w:ascii="宋体"/>
                              <w:sz w:val="28"/>
                            </w:rPr>
                          </w:pP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rckNxtABAACqAwAADgAAAAAAAAABACAAAAAeAQAAZHJz&#10;L2Uyb0RvYy54bWxQSwUGAAAAAAYABgBZAQAAYAUAAAAA&#10;">
              <v:fill on="f" focussize="0,0"/>
              <v:stroke on="f"/>
              <v:imagedata o:title=""/>
              <o:lock v:ext="edit" aspectratio="f"/>
              <v:textbox inset="0mm,0mm,0mm,0mm" style="mso-fit-shape-to-text:t;">
                <w:txbxContent>
                  <w:p>
                    <w:pPr>
                      <w:pStyle w:val="16"/>
                      <w:rPr>
                        <w:rFonts w:ascii="宋体"/>
                        <w:sz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4F3482"/>
    <w:multiLevelType w:val="multilevel"/>
    <w:tmpl w:val="2F4F3482"/>
    <w:lvl w:ilvl="0" w:tentative="0">
      <w:start w:val="1"/>
      <w:numFmt w:val="japaneseCounting"/>
      <w:lvlText w:val="第%1节"/>
      <w:lvlJc w:val="left"/>
      <w:pPr>
        <w:ind w:left="1095" w:hanging="109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172A27"/>
    <w:rsid w:val="000010D5"/>
    <w:rsid w:val="00001B94"/>
    <w:rsid w:val="00005C78"/>
    <w:rsid w:val="00030FDE"/>
    <w:rsid w:val="00036FC7"/>
    <w:rsid w:val="00042AF7"/>
    <w:rsid w:val="00047408"/>
    <w:rsid w:val="0005171C"/>
    <w:rsid w:val="00054C15"/>
    <w:rsid w:val="000564BB"/>
    <w:rsid w:val="00074598"/>
    <w:rsid w:val="000757A5"/>
    <w:rsid w:val="00082EA0"/>
    <w:rsid w:val="000857A6"/>
    <w:rsid w:val="00086E54"/>
    <w:rsid w:val="00090E33"/>
    <w:rsid w:val="00093EE6"/>
    <w:rsid w:val="000B7937"/>
    <w:rsid w:val="000B7B74"/>
    <w:rsid w:val="000C1670"/>
    <w:rsid w:val="000C5D41"/>
    <w:rsid w:val="000D3958"/>
    <w:rsid w:val="000E7009"/>
    <w:rsid w:val="000F3298"/>
    <w:rsid w:val="001049D7"/>
    <w:rsid w:val="00110676"/>
    <w:rsid w:val="00112002"/>
    <w:rsid w:val="001135E7"/>
    <w:rsid w:val="00115158"/>
    <w:rsid w:val="00115B20"/>
    <w:rsid w:val="00126F87"/>
    <w:rsid w:val="001302E6"/>
    <w:rsid w:val="00134CC3"/>
    <w:rsid w:val="001353F4"/>
    <w:rsid w:val="00151217"/>
    <w:rsid w:val="00152C01"/>
    <w:rsid w:val="00163301"/>
    <w:rsid w:val="0017007B"/>
    <w:rsid w:val="00172A27"/>
    <w:rsid w:val="00186FD3"/>
    <w:rsid w:val="001A55AD"/>
    <w:rsid w:val="001A7B30"/>
    <w:rsid w:val="001D534E"/>
    <w:rsid w:val="001D6920"/>
    <w:rsid w:val="001E3D6F"/>
    <w:rsid w:val="001F3617"/>
    <w:rsid w:val="00212416"/>
    <w:rsid w:val="00216597"/>
    <w:rsid w:val="002176C1"/>
    <w:rsid w:val="002241BB"/>
    <w:rsid w:val="002255AF"/>
    <w:rsid w:val="0022736F"/>
    <w:rsid w:val="00230015"/>
    <w:rsid w:val="002603C4"/>
    <w:rsid w:val="0026385D"/>
    <w:rsid w:val="00271291"/>
    <w:rsid w:val="0027633B"/>
    <w:rsid w:val="00280261"/>
    <w:rsid w:val="00280405"/>
    <w:rsid w:val="0028527F"/>
    <w:rsid w:val="002878D3"/>
    <w:rsid w:val="002A10F9"/>
    <w:rsid w:val="002C7F2A"/>
    <w:rsid w:val="002D4378"/>
    <w:rsid w:val="002D466F"/>
    <w:rsid w:val="002E0CD7"/>
    <w:rsid w:val="002E614F"/>
    <w:rsid w:val="002E66E9"/>
    <w:rsid w:val="002E7D3F"/>
    <w:rsid w:val="002F18BA"/>
    <w:rsid w:val="002F674F"/>
    <w:rsid w:val="002F7FB1"/>
    <w:rsid w:val="00304C27"/>
    <w:rsid w:val="0031294D"/>
    <w:rsid w:val="00313D66"/>
    <w:rsid w:val="00317C69"/>
    <w:rsid w:val="003234B8"/>
    <w:rsid w:val="003304E6"/>
    <w:rsid w:val="00333A5E"/>
    <w:rsid w:val="00333CFA"/>
    <w:rsid w:val="00335693"/>
    <w:rsid w:val="00343AFC"/>
    <w:rsid w:val="0034551A"/>
    <w:rsid w:val="00352862"/>
    <w:rsid w:val="00354E38"/>
    <w:rsid w:val="00357958"/>
    <w:rsid w:val="00365A78"/>
    <w:rsid w:val="00370E74"/>
    <w:rsid w:val="0037365C"/>
    <w:rsid w:val="00375BFE"/>
    <w:rsid w:val="00380D79"/>
    <w:rsid w:val="00385850"/>
    <w:rsid w:val="00386944"/>
    <w:rsid w:val="00392576"/>
    <w:rsid w:val="003931DE"/>
    <w:rsid w:val="00396C34"/>
    <w:rsid w:val="003A400E"/>
    <w:rsid w:val="003B270C"/>
    <w:rsid w:val="003B3375"/>
    <w:rsid w:val="003C11AD"/>
    <w:rsid w:val="003C1FFC"/>
    <w:rsid w:val="003C2EA6"/>
    <w:rsid w:val="003C6DE2"/>
    <w:rsid w:val="003D6A2D"/>
    <w:rsid w:val="003D7DEC"/>
    <w:rsid w:val="003E7755"/>
    <w:rsid w:val="003F6F6A"/>
    <w:rsid w:val="00400A44"/>
    <w:rsid w:val="00400F23"/>
    <w:rsid w:val="00405714"/>
    <w:rsid w:val="00412F3E"/>
    <w:rsid w:val="00414EA1"/>
    <w:rsid w:val="00416F5D"/>
    <w:rsid w:val="00427BCE"/>
    <w:rsid w:val="00436D42"/>
    <w:rsid w:val="00443BD5"/>
    <w:rsid w:val="00445E93"/>
    <w:rsid w:val="00456268"/>
    <w:rsid w:val="004564D2"/>
    <w:rsid w:val="0046144D"/>
    <w:rsid w:val="00461917"/>
    <w:rsid w:val="004638BF"/>
    <w:rsid w:val="004644BF"/>
    <w:rsid w:val="00473AD1"/>
    <w:rsid w:val="00481BCE"/>
    <w:rsid w:val="00491801"/>
    <w:rsid w:val="00493DFC"/>
    <w:rsid w:val="00495F75"/>
    <w:rsid w:val="004B497C"/>
    <w:rsid w:val="004C5136"/>
    <w:rsid w:val="004C58B4"/>
    <w:rsid w:val="004C7319"/>
    <w:rsid w:val="004D0E29"/>
    <w:rsid w:val="004D5283"/>
    <w:rsid w:val="004D6055"/>
    <w:rsid w:val="004E4461"/>
    <w:rsid w:val="004E679D"/>
    <w:rsid w:val="004F16B1"/>
    <w:rsid w:val="00503D96"/>
    <w:rsid w:val="005227C5"/>
    <w:rsid w:val="00533657"/>
    <w:rsid w:val="0055581F"/>
    <w:rsid w:val="005655C0"/>
    <w:rsid w:val="005677CA"/>
    <w:rsid w:val="005721CB"/>
    <w:rsid w:val="005728EF"/>
    <w:rsid w:val="00586DE5"/>
    <w:rsid w:val="00595EF6"/>
    <w:rsid w:val="005A1ABA"/>
    <w:rsid w:val="005A746A"/>
    <w:rsid w:val="005B1ED6"/>
    <w:rsid w:val="005B62A8"/>
    <w:rsid w:val="005C2595"/>
    <w:rsid w:val="005C2701"/>
    <w:rsid w:val="005C5854"/>
    <w:rsid w:val="005D0B7B"/>
    <w:rsid w:val="005E1294"/>
    <w:rsid w:val="005E211F"/>
    <w:rsid w:val="005E6BEF"/>
    <w:rsid w:val="006158E5"/>
    <w:rsid w:val="006270D6"/>
    <w:rsid w:val="00630F57"/>
    <w:rsid w:val="0063183C"/>
    <w:rsid w:val="00634E89"/>
    <w:rsid w:val="00636139"/>
    <w:rsid w:val="00643C8E"/>
    <w:rsid w:val="0064409F"/>
    <w:rsid w:val="00652999"/>
    <w:rsid w:val="00656B66"/>
    <w:rsid w:val="006671D0"/>
    <w:rsid w:val="00670D10"/>
    <w:rsid w:val="006A2D72"/>
    <w:rsid w:val="006A5BBC"/>
    <w:rsid w:val="006B2575"/>
    <w:rsid w:val="006C17DD"/>
    <w:rsid w:val="006C3835"/>
    <w:rsid w:val="006C5981"/>
    <w:rsid w:val="006C6660"/>
    <w:rsid w:val="006D37F4"/>
    <w:rsid w:val="006F072D"/>
    <w:rsid w:val="006F1EAF"/>
    <w:rsid w:val="006F7E9B"/>
    <w:rsid w:val="00704E7D"/>
    <w:rsid w:val="007103B2"/>
    <w:rsid w:val="00712FE7"/>
    <w:rsid w:val="00713DA9"/>
    <w:rsid w:val="0071450D"/>
    <w:rsid w:val="0072176C"/>
    <w:rsid w:val="00724BAA"/>
    <w:rsid w:val="007316F6"/>
    <w:rsid w:val="007350F4"/>
    <w:rsid w:val="007507A8"/>
    <w:rsid w:val="00766D02"/>
    <w:rsid w:val="00785871"/>
    <w:rsid w:val="0078611B"/>
    <w:rsid w:val="00787046"/>
    <w:rsid w:val="00795D31"/>
    <w:rsid w:val="00796449"/>
    <w:rsid w:val="007A2105"/>
    <w:rsid w:val="007A3509"/>
    <w:rsid w:val="007A4A77"/>
    <w:rsid w:val="007B2EE4"/>
    <w:rsid w:val="007B3A3B"/>
    <w:rsid w:val="007C0054"/>
    <w:rsid w:val="007C4174"/>
    <w:rsid w:val="007D14D1"/>
    <w:rsid w:val="007D7CCC"/>
    <w:rsid w:val="007E015B"/>
    <w:rsid w:val="007E01A6"/>
    <w:rsid w:val="007F0EA0"/>
    <w:rsid w:val="007F7117"/>
    <w:rsid w:val="00800408"/>
    <w:rsid w:val="0080368F"/>
    <w:rsid w:val="00805283"/>
    <w:rsid w:val="008054F0"/>
    <w:rsid w:val="00805D28"/>
    <w:rsid w:val="008067AE"/>
    <w:rsid w:val="008254A8"/>
    <w:rsid w:val="008371C5"/>
    <w:rsid w:val="008376A0"/>
    <w:rsid w:val="008436B7"/>
    <w:rsid w:val="008451EC"/>
    <w:rsid w:val="00851E34"/>
    <w:rsid w:val="008523ED"/>
    <w:rsid w:val="00854846"/>
    <w:rsid w:val="00854F15"/>
    <w:rsid w:val="00855258"/>
    <w:rsid w:val="008556D1"/>
    <w:rsid w:val="00863AA9"/>
    <w:rsid w:val="00875419"/>
    <w:rsid w:val="00876F2B"/>
    <w:rsid w:val="00880689"/>
    <w:rsid w:val="00884F5A"/>
    <w:rsid w:val="00890343"/>
    <w:rsid w:val="008A2EC5"/>
    <w:rsid w:val="008C4019"/>
    <w:rsid w:val="008C662B"/>
    <w:rsid w:val="008D0551"/>
    <w:rsid w:val="008D3367"/>
    <w:rsid w:val="008D542D"/>
    <w:rsid w:val="008E2471"/>
    <w:rsid w:val="008F09CF"/>
    <w:rsid w:val="008F3823"/>
    <w:rsid w:val="00912D1E"/>
    <w:rsid w:val="009147CF"/>
    <w:rsid w:val="00941C31"/>
    <w:rsid w:val="00942E9D"/>
    <w:rsid w:val="00950F93"/>
    <w:rsid w:val="00952C60"/>
    <w:rsid w:val="0096284C"/>
    <w:rsid w:val="0096315B"/>
    <w:rsid w:val="00973664"/>
    <w:rsid w:val="00991AB5"/>
    <w:rsid w:val="00992D43"/>
    <w:rsid w:val="009A3039"/>
    <w:rsid w:val="009B1D7C"/>
    <w:rsid w:val="009B2C62"/>
    <w:rsid w:val="009B349C"/>
    <w:rsid w:val="009C4C13"/>
    <w:rsid w:val="009C53BD"/>
    <w:rsid w:val="009D540D"/>
    <w:rsid w:val="009D617D"/>
    <w:rsid w:val="009E38BB"/>
    <w:rsid w:val="009E4A2D"/>
    <w:rsid w:val="00A007A7"/>
    <w:rsid w:val="00A019E1"/>
    <w:rsid w:val="00A161C3"/>
    <w:rsid w:val="00A31C23"/>
    <w:rsid w:val="00A35112"/>
    <w:rsid w:val="00A37556"/>
    <w:rsid w:val="00A46AB9"/>
    <w:rsid w:val="00A47269"/>
    <w:rsid w:val="00A52E38"/>
    <w:rsid w:val="00A5317A"/>
    <w:rsid w:val="00A54D27"/>
    <w:rsid w:val="00A60F64"/>
    <w:rsid w:val="00A643DD"/>
    <w:rsid w:val="00A75A97"/>
    <w:rsid w:val="00A94FD1"/>
    <w:rsid w:val="00A97B7E"/>
    <w:rsid w:val="00AA06AB"/>
    <w:rsid w:val="00AA1BEB"/>
    <w:rsid w:val="00AA5EAF"/>
    <w:rsid w:val="00AC2984"/>
    <w:rsid w:val="00AC5645"/>
    <w:rsid w:val="00AC6BD9"/>
    <w:rsid w:val="00AE3C82"/>
    <w:rsid w:val="00AE70F2"/>
    <w:rsid w:val="00AE7590"/>
    <w:rsid w:val="00AF362A"/>
    <w:rsid w:val="00AF5716"/>
    <w:rsid w:val="00AF6602"/>
    <w:rsid w:val="00AF6DCF"/>
    <w:rsid w:val="00B0011B"/>
    <w:rsid w:val="00B1064C"/>
    <w:rsid w:val="00B1297A"/>
    <w:rsid w:val="00B1758A"/>
    <w:rsid w:val="00B2327E"/>
    <w:rsid w:val="00B271E3"/>
    <w:rsid w:val="00B316D6"/>
    <w:rsid w:val="00B37E60"/>
    <w:rsid w:val="00B41436"/>
    <w:rsid w:val="00B43B8D"/>
    <w:rsid w:val="00B45807"/>
    <w:rsid w:val="00B466E1"/>
    <w:rsid w:val="00B72AEA"/>
    <w:rsid w:val="00B76C00"/>
    <w:rsid w:val="00B860E7"/>
    <w:rsid w:val="00B91485"/>
    <w:rsid w:val="00B94974"/>
    <w:rsid w:val="00B96903"/>
    <w:rsid w:val="00BB5952"/>
    <w:rsid w:val="00BB76BA"/>
    <w:rsid w:val="00BF0DC1"/>
    <w:rsid w:val="00BF7DFA"/>
    <w:rsid w:val="00C02823"/>
    <w:rsid w:val="00C17984"/>
    <w:rsid w:val="00C515F9"/>
    <w:rsid w:val="00C51B28"/>
    <w:rsid w:val="00C5563E"/>
    <w:rsid w:val="00C631E1"/>
    <w:rsid w:val="00C67FB7"/>
    <w:rsid w:val="00C731D3"/>
    <w:rsid w:val="00C73D29"/>
    <w:rsid w:val="00C754D3"/>
    <w:rsid w:val="00C76300"/>
    <w:rsid w:val="00C765C2"/>
    <w:rsid w:val="00C77EBA"/>
    <w:rsid w:val="00C80C85"/>
    <w:rsid w:val="00CA714D"/>
    <w:rsid w:val="00CB143A"/>
    <w:rsid w:val="00CB1FB8"/>
    <w:rsid w:val="00CB33E9"/>
    <w:rsid w:val="00CD4794"/>
    <w:rsid w:val="00CE2161"/>
    <w:rsid w:val="00CE278C"/>
    <w:rsid w:val="00CE7ADB"/>
    <w:rsid w:val="00D03F1B"/>
    <w:rsid w:val="00D07987"/>
    <w:rsid w:val="00D07E56"/>
    <w:rsid w:val="00D10AE8"/>
    <w:rsid w:val="00D12025"/>
    <w:rsid w:val="00D2760B"/>
    <w:rsid w:val="00D277CE"/>
    <w:rsid w:val="00D60F90"/>
    <w:rsid w:val="00D62EB0"/>
    <w:rsid w:val="00D71B17"/>
    <w:rsid w:val="00D758E7"/>
    <w:rsid w:val="00D81BF9"/>
    <w:rsid w:val="00D82602"/>
    <w:rsid w:val="00D86F85"/>
    <w:rsid w:val="00DA289B"/>
    <w:rsid w:val="00DA28EE"/>
    <w:rsid w:val="00DA543D"/>
    <w:rsid w:val="00DA7B12"/>
    <w:rsid w:val="00DC0980"/>
    <w:rsid w:val="00DC10F0"/>
    <w:rsid w:val="00DC38A0"/>
    <w:rsid w:val="00DC463C"/>
    <w:rsid w:val="00DC54EE"/>
    <w:rsid w:val="00DC648E"/>
    <w:rsid w:val="00DD20E6"/>
    <w:rsid w:val="00DD2EC3"/>
    <w:rsid w:val="00DD3144"/>
    <w:rsid w:val="00DD5E22"/>
    <w:rsid w:val="00DD7799"/>
    <w:rsid w:val="00DE273B"/>
    <w:rsid w:val="00DE3089"/>
    <w:rsid w:val="00DE53BC"/>
    <w:rsid w:val="00DE58BA"/>
    <w:rsid w:val="00DF2A33"/>
    <w:rsid w:val="00DF43CD"/>
    <w:rsid w:val="00E00B6E"/>
    <w:rsid w:val="00E061CE"/>
    <w:rsid w:val="00E20968"/>
    <w:rsid w:val="00E2370C"/>
    <w:rsid w:val="00E238F7"/>
    <w:rsid w:val="00E346F8"/>
    <w:rsid w:val="00E35167"/>
    <w:rsid w:val="00E36AA0"/>
    <w:rsid w:val="00E4050A"/>
    <w:rsid w:val="00E44D56"/>
    <w:rsid w:val="00E60ABC"/>
    <w:rsid w:val="00E61E8C"/>
    <w:rsid w:val="00E625F3"/>
    <w:rsid w:val="00E63128"/>
    <w:rsid w:val="00E6428C"/>
    <w:rsid w:val="00E705C4"/>
    <w:rsid w:val="00E769D6"/>
    <w:rsid w:val="00E845FE"/>
    <w:rsid w:val="00E90439"/>
    <w:rsid w:val="00E91EE0"/>
    <w:rsid w:val="00EA1388"/>
    <w:rsid w:val="00EA4539"/>
    <w:rsid w:val="00EB696C"/>
    <w:rsid w:val="00EC03E3"/>
    <w:rsid w:val="00EC2E70"/>
    <w:rsid w:val="00ED1459"/>
    <w:rsid w:val="00EF3F86"/>
    <w:rsid w:val="00EF4F2A"/>
    <w:rsid w:val="00EF6AD0"/>
    <w:rsid w:val="00EF7888"/>
    <w:rsid w:val="00EF7F0A"/>
    <w:rsid w:val="00F04D6F"/>
    <w:rsid w:val="00F1094A"/>
    <w:rsid w:val="00F10D15"/>
    <w:rsid w:val="00F21184"/>
    <w:rsid w:val="00F21E02"/>
    <w:rsid w:val="00F268FF"/>
    <w:rsid w:val="00F365BB"/>
    <w:rsid w:val="00F45BF6"/>
    <w:rsid w:val="00F4767E"/>
    <w:rsid w:val="00F51BC8"/>
    <w:rsid w:val="00F52CF3"/>
    <w:rsid w:val="00F55F0D"/>
    <w:rsid w:val="00F62A61"/>
    <w:rsid w:val="00F66642"/>
    <w:rsid w:val="00F71E53"/>
    <w:rsid w:val="00F91F14"/>
    <w:rsid w:val="00FA0D14"/>
    <w:rsid w:val="00FB3B29"/>
    <w:rsid w:val="00FB7B0C"/>
    <w:rsid w:val="00FC30A3"/>
    <w:rsid w:val="00FD0FE5"/>
    <w:rsid w:val="00FD678A"/>
    <w:rsid w:val="00FD7DF4"/>
    <w:rsid w:val="00FF42F7"/>
    <w:rsid w:val="011761B1"/>
    <w:rsid w:val="011F6732"/>
    <w:rsid w:val="012525C2"/>
    <w:rsid w:val="014C41BD"/>
    <w:rsid w:val="015E75A7"/>
    <w:rsid w:val="01690D9A"/>
    <w:rsid w:val="01696DE0"/>
    <w:rsid w:val="01760697"/>
    <w:rsid w:val="017D0CCA"/>
    <w:rsid w:val="01826F50"/>
    <w:rsid w:val="018359A4"/>
    <w:rsid w:val="019039EA"/>
    <w:rsid w:val="019F3652"/>
    <w:rsid w:val="01B17120"/>
    <w:rsid w:val="01C60762"/>
    <w:rsid w:val="01CA5776"/>
    <w:rsid w:val="01D532E7"/>
    <w:rsid w:val="01DB6805"/>
    <w:rsid w:val="01E60D34"/>
    <w:rsid w:val="01EF3B54"/>
    <w:rsid w:val="02156539"/>
    <w:rsid w:val="023C295D"/>
    <w:rsid w:val="02861479"/>
    <w:rsid w:val="028C3DBA"/>
    <w:rsid w:val="02BC3C2D"/>
    <w:rsid w:val="02FE3D12"/>
    <w:rsid w:val="03075BC0"/>
    <w:rsid w:val="030A6B51"/>
    <w:rsid w:val="030F15AF"/>
    <w:rsid w:val="0327494A"/>
    <w:rsid w:val="032959EB"/>
    <w:rsid w:val="034C2677"/>
    <w:rsid w:val="03525A19"/>
    <w:rsid w:val="03691338"/>
    <w:rsid w:val="0369428F"/>
    <w:rsid w:val="0374746F"/>
    <w:rsid w:val="037B5A7F"/>
    <w:rsid w:val="038D7B0E"/>
    <w:rsid w:val="038F4F85"/>
    <w:rsid w:val="03903B92"/>
    <w:rsid w:val="039A641D"/>
    <w:rsid w:val="03A2540F"/>
    <w:rsid w:val="03A865D6"/>
    <w:rsid w:val="03C12D21"/>
    <w:rsid w:val="03D12EBE"/>
    <w:rsid w:val="03DF15A4"/>
    <w:rsid w:val="03E347D7"/>
    <w:rsid w:val="03E4302E"/>
    <w:rsid w:val="03E90C03"/>
    <w:rsid w:val="04012AFA"/>
    <w:rsid w:val="040D7D4F"/>
    <w:rsid w:val="041C01EA"/>
    <w:rsid w:val="045860B5"/>
    <w:rsid w:val="04B516B3"/>
    <w:rsid w:val="04BD05FE"/>
    <w:rsid w:val="04C71C83"/>
    <w:rsid w:val="04CF7725"/>
    <w:rsid w:val="04D74177"/>
    <w:rsid w:val="04DD2AE8"/>
    <w:rsid w:val="04E61744"/>
    <w:rsid w:val="04EB1B58"/>
    <w:rsid w:val="0512592D"/>
    <w:rsid w:val="05497013"/>
    <w:rsid w:val="057C6BDD"/>
    <w:rsid w:val="05950D75"/>
    <w:rsid w:val="05983573"/>
    <w:rsid w:val="05A76719"/>
    <w:rsid w:val="05AE3812"/>
    <w:rsid w:val="05AE4E9C"/>
    <w:rsid w:val="05C32B58"/>
    <w:rsid w:val="05DE27A3"/>
    <w:rsid w:val="060478D5"/>
    <w:rsid w:val="060A37C8"/>
    <w:rsid w:val="061F5EC8"/>
    <w:rsid w:val="0648537C"/>
    <w:rsid w:val="064D6E8A"/>
    <w:rsid w:val="066E44C7"/>
    <w:rsid w:val="06B349AD"/>
    <w:rsid w:val="06C72F07"/>
    <w:rsid w:val="06CC59F0"/>
    <w:rsid w:val="06CF5F1B"/>
    <w:rsid w:val="06E762ED"/>
    <w:rsid w:val="071D053F"/>
    <w:rsid w:val="071D1040"/>
    <w:rsid w:val="07243C55"/>
    <w:rsid w:val="07287EBF"/>
    <w:rsid w:val="072F1435"/>
    <w:rsid w:val="07514DBE"/>
    <w:rsid w:val="07610E54"/>
    <w:rsid w:val="0772210C"/>
    <w:rsid w:val="077C59FC"/>
    <w:rsid w:val="077D432A"/>
    <w:rsid w:val="07831E0A"/>
    <w:rsid w:val="078E0F7D"/>
    <w:rsid w:val="079D28C4"/>
    <w:rsid w:val="079F343D"/>
    <w:rsid w:val="07A72EF9"/>
    <w:rsid w:val="07CB5C56"/>
    <w:rsid w:val="08162A9D"/>
    <w:rsid w:val="081C0EDA"/>
    <w:rsid w:val="0856181E"/>
    <w:rsid w:val="085A772B"/>
    <w:rsid w:val="08664CDE"/>
    <w:rsid w:val="08675377"/>
    <w:rsid w:val="086A167D"/>
    <w:rsid w:val="087F0375"/>
    <w:rsid w:val="087F788E"/>
    <w:rsid w:val="0883188F"/>
    <w:rsid w:val="08887B2E"/>
    <w:rsid w:val="089A7A83"/>
    <w:rsid w:val="089E56F3"/>
    <w:rsid w:val="08A940E3"/>
    <w:rsid w:val="08B71AB6"/>
    <w:rsid w:val="08D04484"/>
    <w:rsid w:val="08D4544E"/>
    <w:rsid w:val="08E5405F"/>
    <w:rsid w:val="08EC6AE4"/>
    <w:rsid w:val="092654CC"/>
    <w:rsid w:val="09331CD3"/>
    <w:rsid w:val="09350E7A"/>
    <w:rsid w:val="09460E9F"/>
    <w:rsid w:val="0958481C"/>
    <w:rsid w:val="09715AAA"/>
    <w:rsid w:val="099A6844"/>
    <w:rsid w:val="09A05155"/>
    <w:rsid w:val="09A9236B"/>
    <w:rsid w:val="09B701FE"/>
    <w:rsid w:val="09BF6981"/>
    <w:rsid w:val="09CC48C8"/>
    <w:rsid w:val="09FC5D6C"/>
    <w:rsid w:val="0A0A7E18"/>
    <w:rsid w:val="0A360F48"/>
    <w:rsid w:val="0A4A1AA6"/>
    <w:rsid w:val="0A5D5A25"/>
    <w:rsid w:val="0A68501C"/>
    <w:rsid w:val="0A6B0661"/>
    <w:rsid w:val="0A6B4B10"/>
    <w:rsid w:val="0A7525E8"/>
    <w:rsid w:val="0A951874"/>
    <w:rsid w:val="0A955DE9"/>
    <w:rsid w:val="0B066FFA"/>
    <w:rsid w:val="0B150FAC"/>
    <w:rsid w:val="0B350B44"/>
    <w:rsid w:val="0B3F2EE0"/>
    <w:rsid w:val="0B4848DA"/>
    <w:rsid w:val="0B853013"/>
    <w:rsid w:val="0B944323"/>
    <w:rsid w:val="0BB54FF0"/>
    <w:rsid w:val="0BB63D68"/>
    <w:rsid w:val="0BBB0701"/>
    <w:rsid w:val="0BD1071A"/>
    <w:rsid w:val="0BD801A7"/>
    <w:rsid w:val="0BFE7A9A"/>
    <w:rsid w:val="0C057732"/>
    <w:rsid w:val="0C0E26E9"/>
    <w:rsid w:val="0C15686D"/>
    <w:rsid w:val="0C1B3A7E"/>
    <w:rsid w:val="0C2A274F"/>
    <w:rsid w:val="0C2C7C30"/>
    <w:rsid w:val="0C6067AC"/>
    <w:rsid w:val="0C6E5302"/>
    <w:rsid w:val="0CA015BD"/>
    <w:rsid w:val="0CA33A18"/>
    <w:rsid w:val="0CDE43D3"/>
    <w:rsid w:val="0CE91F3B"/>
    <w:rsid w:val="0CF4470C"/>
    <w:rsid w:val="0D0072CA"/>
    <w:rsid w:val="0D151533"/>
    <w:rsid w:val="0D216D62"/>
    <w:rsid w:val="0D2B1B83"/>
    <w:rsid w:val="0D30141C"/>
    <w:rsid w:val="0D527D13"/>
    <w:rsid w:val="0D5D08A2"/>
    <w:rsid w:val="0D5D1ACB"/>
    <w:rsid w:val="0D632DAD"/>
    <w:rsid w:val="0D715EA7"/>
    <w:rsid w:val="0D97160D"/>
    <w:rsid w:val="0DB5276B"/>
    <w:rsid w:val="0DB54AE9"/>
    <w:rsid w:val="0DB61235"/>
    <w:rsid w:val="0DBF2352"/>
    <w:rsid w:val="0DFC1C15"/>
    <w:rsid w:val="0E1B5CC2"/>
    <w:rsid w:val="0E1C5EB7"/>
    <w:rsid w:val="0E22369E"/>
    <w:rsid w:val="0E3444F4"/>
    <w:rsid w:val="0E3671C0"/>
    <w:rsid w:val="0E4D35FB"/>
    <w:rsid w:val="0E516F68"/>
    <w:rsid w:val="0E6C2B8F"/>
    <w:rsid w:val="0E8E7589"/>
    <w:rsid w:val="0E943B53"/>
    <w:rsid w:val="0E966FB4"/>
    <w:rsid w:val="0EA8025D"/>
    <w:rsid w:val="0EAB50D4"/>
    <w:rsid w:val="0EDB0AF0"/>
    <w:rsid w:val="0EE32CE7"/>
    <w:rsid w:val="0F0D7F70"/>
    <w:rsid w:val="0F2220FC"/>
    <w:rsid w:val="0F2F0550"/>
    <w:rsid w:val="0F3279EF"/>
    <w:rsid w:val="0F494359"/>
    <w:rsid w:val="0F52538A"/>
    <w:rsid w:val="0F611892"/>
    <w:rsid w:val="0F773B84"/>
    <w:rsid w:val="0F811570"/>
    <w:rsid w:val="0FA1002D"/>
    <w:rsid w:val="0FAC1F7C"/>
    <w:rsid w:val="0FB972AD"/>
    <w:rsid w:val="0FBB34B4"/>
    <w:rsid w:val="0FC353AD"/>
    <w:rsid w:val="0FD0146C"/>
    <w:rsid w:val="0FD16FC7"/>
    <w:rsid w:val="0FDD0D00"/>
    <w:rsid w:val="0FE9716D"/>
    <w:rsid w:val="0FEC2EEC"/>
    <w:rsid w:val="0FF63EB2"/>
    <w:rsid w:val="0FFD6ABC"/>
    <w:rsid w:val="10006015"/>
    <w:rsid w:val="10130DC8"/>
    <w:rsid w:val="10225B7C"/>
    <w:rsid w:val="102C58DD"/>
    <w:rsid w:val="103B0BCD"/>
    <w:rsid w:val="10407F16"/>
    <w:rsid w:val="10691F45"/>
    <w:rsid w:val="106C7B87"/>
    <w:rsid w:val="106D4E1E"/>
    <w:rsid w:val="107526D1"/>
    <w:rsid w:val="10802D19"/>
    <w:rsid w:val="109E3745"/>
    <w:rsid w:val="10A93326"/>
    <w:rsid w:val="10AE3ED8"/>
    <w:rsid w:val="10B30920"/>
    <w:rsid w:val="10BD056B"/>
    <w:rsid w:val="10DA184D"/>
    <w:rsid w:val="10E40DE6"/>
    <w:rsid w:val="10ED6258"/>
    <w:rsid w:val="10F66FE3"/>
    <w:rsid w:val="11083B9C"/>
    <w:rsid w:val="11190D21"/>
    <w:rsid w:val="11193B6E"/>
    <w:rsid w:val="111B12F0"/>
    <w:rsid w:val="11387304"/>
    <w:rsid w:val="113A2F6B"/>
    <w:rsid w:val="113C01EF"/>
    <w:rsid w:val="113C1046"/>
    <w:rsid w:val="114A25BE"/>
    <w:rsid w:val="114D62DB"/>
    <w:rsid w:val="11584069"/>
    <w:rsid w:val="115F5E37"/>
    <w:rsid w:val="117161B7"/>
    <w:rsid w:val="11747676"/>
    <w:rsid w:val="11777F54"/>
    <w:rsid w:val="11A419C4"/>
    <w:rsid w:val="11C1207E"/>
    <w:rsid w:val="11CE0D5E"/>
    <w:rsid w:val="11E57BC8"/>
    <w:rsid w:val="11F07445"/>
    <w:rsid w:val="11F571CB"/>
    <w:rsid w:val="12313C5D"/>
    <w:rsid w:val="124E2D4D"/>
    <w:rsid w:val="12581466"/>
    <w:rsid w:val="12772E71"/>
    <w:rsid w:val="12A357F3"/>
    <w:rsid w:val="12B14718"/>
    <w:rsid w:val="12D76579"/>
    <w:rsid w:val="12E15F7F"/>
    <w:rsid w:val="12FD142C"/>
    <w:rsid w:val="131D38B8"/>
    <w:rsid w:val="134A7B52"/>
    <w:rsid w:val="13562D44"/>
    <w:rsid w:val="13624536"/>
    <w:rsid w:val="13725855"/>
    <w:rsid w:val="137C4E96"/>
    <w:rsid w:val="138609E5"/>
    <w:rsid w:val="138B496C"/>
    <w:rsid w:val="13B00B27"/>
    <w:rsid w:val="13B15EE6"/>
    <w:rsid w:val="13C41C8C"/>
    <w:rsid w:val="13CE4B57"/>
    <w:rsid w:val="13D221AE"/>
    <w:rsid w:val="13E72B9D"/>
    <w:rsid w:val="13F35E4D"/>
    <w:rsid w:val="13FF10A2"/>
    <w:rsid w:val="14206A2F"/>
    <w:rsid w:val="143B65B4"/>
    <w:rsid w:val="14665020"/>
    <w:rsid w:val="148D5907"/>
    <w:rsid w:val="14D06E11"/>
    <w:rsid w:val="14E759DA"/>
    <w:rsid w:val="150A19C1"/>
    <w:rsid w:val="150F0F6B"/>
    <w:rsid w:val="15166D44"/>
    <w:rsid w:val="15252C92"/>
    <w:rsid w:val="152F522B"/>
    <w:rsid w:val="15345A32"/>
    <w:rsid w:val="154117B4"/>
    <w:rsid w:val="159021B6"/>
    <w:rsid w:val="15947B96"/>
    <w:rsid w:val="15A86EAA"/>
    <w:rsid w:val="15BB4E56"/>
    <w:rsid w:val="15CE4B1F"/>
    <w:rsid w:val="15D01AD6"/>
    <w:rsid w:val="15D9215F"/>
    <w:rsid w:val="15DB5681"/>
    <w:rsid w:val="15F436C1"/>
    <w:rsid w:val="15FA079E"/>
    <w:rsid w:val="16007DDF"/>
    <w:rsid w:val="160C017E"/>
    <w:rsid w:val="162A42AF"/>
    <w:rsid w:val="164C7D3E"/>
    <w:rsid w:val="166816C7"/>
    <w:rsid w:val="16730D81"/>
    <w:rsid w:val="16847479"/>
    <w:rsid w:val="16AD391D"/>
    <w:rsid w:val="16B330A6"/>
    <w:rsid w:val="16D8776B"/>
    <w:rsid w:val="16DD6A24"/>
    <w:rsid w:val="16E80FE7"/>
    <w:rsid w:val="16E918FD"/>
    <w:rsid w:val="16FC7D17"/>
    <w:rsid w:val="170A2D9E"/>
    <w:rsid w:val="170E79B6"/>
    <w:rsid w:val="171C5AD2"/>
    <w:rsid w:val="173C710C"/>
    <w:rsid w:val="173E434A"/>
    <w:rsid w:val="17440873"/>
    <w:rsid w:val="17533B1A"/>
    <w:rsid w:val="17590602"/>
    <w:rsid w:val="177022C2"/>
    <w:rsid w:val="177D3D15"/>
    <w:rsid w:val="1793673C"/>
    <w:rsid w:val="17940ED1"/>
    <w:rsid w:val="17BA37BC"/>
    <w:rsid w:val="17BD1B8B"/>
    <w:rsid w:val="17DC46F9"/>
    <w:rsid w:val="17EB62FE"/>
    <w:rsid w:val="17EC2A04"/>
    <w:rsid w:val="17F0121B"/>
    <w:rsid w:val="17F61F9A"/>
    <w:rsid w:val="18034DC5"/>
    <w:rsid w:val="180878F5"/>
    <w:rsid w:val="180B2C5D"/>
    <w:rsid w:val="18132E32"/>
    <w:rsid w:val="18406027"/>
    <w:rsid w:val="18493631"/>
    <w:rsid w:val="185A4387"/>
    <w:rsid w:val="18605F22"/>
    <w:rsid w:val="1865596C"/>
    <w:rsid w:val="186D1F72"/>
    <w:rsid w:val="186E3E27"/>
    <w:rsid w:val="186F4B77"/>
    <w:rsid w:val="189C712B"/>
    <w:rsid w:val="18A320AD"/>
    <w:rsid w:val="18A8063E"/>
    <w:rsid w:val="18B24F54"/>
    <w:rsid w:val="18B65571"/>
    <w:rsid w:val="18BB2957"/>
    <w:rsid w:val="18C24329"/>
    <w:rsid w:val="18C6515D"/>
    <w:rsid w:val="18C81643"/>
    <w:rsid w:val="18D04662"/>
    <w:rsid w:val="18E36881"/>
    <w:rsid w:val="19076966"/>
    <w:rsid w:val="19167280"/>
    <w:rsid w:val="19312772"/>
    <w:rsid w:val="19390B39"/>
    <w:rsid w:val="1955423F"/>
    <w:rsid w:val="195B019A"/>
    <w:rsid w:val="196A5313"/>
    <w:rsid w:val="199D3A18"/>
    <w:rsid w:val="19A738E1"/>
    <w:rsid w:val="19C6456E"/>
    <w:rsid w:val="19FF30C9"/>
    <w:rsid w:val="1A30330B"/>
    <w:rsid w:val="1A3711B5"/>
    <w:rsid w:val="1A461E22"/>
    <w:rsid w:val="1A610B53"/>
    <w:rsid w:val="1A6D6ED5"/>
    <w:rsid w:val="1A7F6504"/>
    <w:rsid w:val="1A8230AF"/>
    <w:rsid w:val="1AD36073"/>
    <w:rsid w:val="1ADA2B20"/>
    <w:rsid w:val="1AF70F1D"/>
    <w:rsid w:val="1AFD0B70"/>
    <w:rsid w:val="1B00659C"/>
    <w:rsid w:val="1B275531"/>
    <w:rsid w:val="1B3C6A2B"/>
    <w:rsid w:val="1B431E23"/>
    <w:rsid w:val="1B483BC8"/>
    <w:rsid w:val="1B51680F"/>
    <w:rsid w:val="1B843805"/>
    <w:rsid w:val="1B896656"/>
    <w:rsid w:val="1B8D2837"/>
    <w:rsid w:val="1B9C700A"/>
    <w:rsid w:val="1BAA6C08"/>
    <w:rsid w:val="1BB636B1"/>
    <w:rsid w:val="1BCF5FCE"/>
    <w:rsid w:val="1BD026A8"/>
    <w:rsid w:val="1BE63DE0"/>
    <w:rsid w:val="1BEF4DA0"/>
    <w:rsid w:val="1C0A30C1"/>
    <w:rsid w:val="1C0F0CA8"/>
    <w:rsid w:val="1C172014"/>
    <w:rsid w:val="1C1821B6"/>
    <w:rsid w:val="1C282DF2"/>
    <w:rsid w:val="1C2C2034"/>
    <w:rsid w:val="1C311197"/>
    <w:rsid w:val="1C4B4A96"/>
    <w:rsid w:val="1C74221A"/>
    <w:rsid w:val="1CAC011A"/>
    <w:rsid w:val="1CAF21C2"/>
    <w:rsid w:val="1CB40C92"/>
    <w:rsid w:val="1CBB32F6"/>
    <w:rsid w:val="1CEA36D0"/>
    <w:rsid w:val="1D032052"/>
    <w:rsid w:val="1D075EBD"/>
    <w:rsid w:val="1D2727B3"/>
    <w:rsid w:val="1D39409D"/>
    <w:rsid w:val="1D4A199C"/>
    <w:rsid w:val="1D536A8E"/>
    <w:rsid w:val="1D684804"/>
    <w:rsid w:val="1D7C48D8"/>
    <w:rsid w:val="1D99789D"/>
    <w:rsid w:val="1DAF641A"/>
    <w:rsid w:val="1DC2656D"/>
    <w:rsid w:val="1DC55195"/>
    <w:rsid w:val="1DD56091"/>
    <w:rsid w:val="1DDA36B0"/>
    <w:rsid w:val="1E0F17FA"/>
    <w:rsid w:val="1E2E122E"/>
    <w:rsid w:val="1E2E6166"/>
    <w:rsid w:val="1E4C742D"/>
    <w:rsid w:val="1E5F0DA0"/>
    <w:rsid w:val="1E6059CF"/>
    <w:rsid w:val="1E890C13"/>
    <w:rsid w:val="1EB03A59"/>
    <w:rsid w:val="1EB428A0"/>
    <w:rsid w:val="1ED33507"/>
    <w:rsid w:val="1ED70CAC"/>
    <w:rsid w:val="1EE0680C"/>
    <w:rsid w:val="1EF00D38"/>
    <w:rsid w:val="1F2257A6"/>
    <w:rsid w:val="1F41433A"/>
    <w:rsid w:val="1F4F49F6"/>
    <w:rsid w:val="1F527979"/>
    <w:rsid w:val="1F5525C0"/>
    <w:rsid w:val="1F6A4D8C"/>
    <w:rsid w:val="1F73517C"/>
    <w:rsid w:val="1F831AC9"/>
    <w:rsid w:val="1FA55A34"/>
    <w:rsid w:val="1FCD1349"/>
    <w:rsid w:val="1FCF5C6C"/>
    <w:rsid w:val="1FF008F9"/>
    <w:rsid w:val="20055CE1"/>
    <w:rsid w:val="200943D5"/>
    <w:rsid w:val="201A07F6"/>
    <w:rsid w:val="201F659E"/>
    <w:rsid w:val="202D5029"/>
    <w:rsid w:val="203B2F0B"/>
    <w:rsid w:val="203E04EA"/>
    <w:rsid w:val="20474DD1"/>
    <w:rsid w:val="204C06D0"/>
    <w:rsid w:val="20537CCA"/>
    <w:rsid w:val="2061408D"/>
    <w:rsid w:val="20A012F3"/>
    <w:rsid w:val="20A40C70"/>
    <w:rsid w:val="20AD5B71"/>
    <w:rsid w:val="20B80688"/>
    <w:rsid w:val="20BB6081"/>
    <w:rsid w:val="20BF0EDF"/>
    <w:rsid w:val="20C2108C"/>
    <w:rsid w:val="20C56A7F"/>
    <w:rsid w:val="21030ED7"/>
    <w:rsid w:val="210A18E0"/>
    <w:rsid w:val="21272984"/>
    <w:rsid w:val="21275758"/>
    <w:rsid w:val="212C588D"/>
    <w:rsid w:val="21352FF3"/>
    <w:rsid w:val="214E6068"/>
    <w:rsid w:val="215872BC"/>
    <w:rsid w:val="21696BDD"/>
    <w:rsid w:val="21726032"/>
    <w:rsid w:val="219D1DE6"/>
    <w:rsid w:val="21A16684"/>
    <w:rsid w:val="21C576FF"/>
    <w:rsid w:val="21D56372"/>
    <w:rsid w:val="21DD5346"/>
    <w:rsid w:val="21E07186"/>
    <w:rsid w:val="21EA518C"/>
    <w:rsid w:val="21F22E4E"/>
    <w:rsid w:val="220E3127"/>
    <w:rsid w:val="222355E1"/>
    <w:rsid w:val="222647C2"/>
    <w:rsid w:val="222B5016"/>
    <w:rsid w:val="2237706F"/>
    <w:rsid w:val="2248151F"/>
    <w:rsid w:val="22505245"/>
    <w:rsid w:val="22507D64"/>
    <w:rsid w:val="225114CA"/>
    <w:rsid w:val="225F1554"/>
    <w:rsid w:val="22620C20"/>
    <w:rsid w:val="22714F7C"/>
    <w:rsid w:val="2271699F"/>
    <w:rsid w:val="22AB26C9"/>
    <w:rsid w:val="22BC5024"/>
    <w:rsid w:val="22C07A8A"/>
    <w:rsid w:val="22C14B61"/>
    <w:rsid w:val="22DD16A3"/>
    <w:rsid w:val="22E92483"/>
    <w:rsid w:val="22FD302A"/>
    <w:rsid w:val="23046135"/>
    <w:rsid w:val="23065791"/>
    <w:rsid w:val="23265137"/>
    <w:rsid w:val="233E514E"/>
    <w:rsid w:val="234A707D"/>
    <w:rsid w:val="23590DCE"/>
    <w:rsid w:val="235E6972"/>
    <w:rsid w:val="235F5D53"/>
    <w:rsid w:val="235F7A74"/>
    <w:rsid w:val="2376215A"/>
    <w:rsid w:val="239C1CE4"/>
    <w:rsid w:val="23C2762D"/>
    <w:rsid w:val="23C35688"/>
    <w:rsid w:val="23D5045A"/>
    <w:rsid w:val="23D676C6"/>
    <w:rsid w:val="23E01003"/>
    <w:rsid w:val="23ED1166"/>
    <w:rsid w:val="23FA6B55"/>
    <w:rsid w:val="24043414"/>
    <w:rsid w:val="24371A09"/>
    <w:rsid w:val="2461152C"/>
    <w:rsid w:val="24631F80"/>
    <w:rsid w:val="24D7206B"/>
    <w:rsid w:val="24EC11C0"/>
    <w:rsid w:val="24FB6283"/>
    <w:rsid w:val="25152D35"/>
    <w:rsid w:val="252B64FD"/>
    <w:rsid w:val="252F03B5"/>
    <w:rsid w:val="25392C9D"/>
    <w:rsid w:val="25450C53"/>
    <w:rsid w:val="254C6D51"/>
    <w:rsid w:val="25526189"/>
    <w:rsid w:val="255C6E19"/>
    <w:rsid w:val="25681AED"/>
    <w:rsid w:val="256D4645"/>
    <w:rsid w:val="2572523B"/>
    <w:rsid w:val="257E204A"/>
    <w:rsid w:val="259F6F31"/>
    <w:rsid w:val="25A11593"/>
    <w:rsid w:val="25A21B43"/>
    <w:rsid w:val="25BE68B0"/>
    <w:rsid w:val="25D8740E"/>
    <w:rsid w:val="25FF6EE5"/>
    <w:rsid w:val="26081985"/>
    <w:rsid w:val="26121513"/>
    <w:rsid w:val="26167678"/>
    <w:rsid w:val="2617346B"/>
    <w:rsid w:val="2620464F"/>
    <w:rsid w:val="26362462"/>
    <w:rsid w:val="264B6C7A"/>
    <w:rsid w:val="26730CB7"/>
    <w:rsid w:val="269018D5"/>
    <w:rsid w:val="26A93601"/>
    <w:rsid w:val="26B543F2"/>
    <w:rsid w:val="26CD3C80"/>
    <w:rsid w:val="26CE13DE"/>
    <w:rsid w:val="270F508A"/>
    <w:rsid w:val="2716659A"/>
    <w:rsid w:val="2725335E"/>
    <w:rsid w:val="274D09D9"/>
    <w:rsid w:val="27602742"/>
    <w:rsid w:val="276F1E3E"/>
    <w:rsid w:val="277A3378"/>
    <w:rsid w:val="279540A1"/>
    <w:rsid w:val="27B4735C"/>
    <w:rsid w:val="27BD0183"/>
    <w:rsid w:val="27CE7F98"/>
    <w:rsid w:val="27D435D0"/>
    <w:rsid w:val="27EC6FD8"/>
    <w:rsid w:val="27FD6321"/>
    <w:rsid w:val="28000A2B"/>
    <w:rsid w:val="280B76B1"/>
    <w:rsid w:val="280F7463"/>
    <w:rsid w:val="283806C6"/>
    <w:rsid w:val="2853545D"/>
    <w:rsid w:val="2865076E"/>
    <w:rsid w:val="286C7DF8"/>
    <w:rsid w:val="287630E2"/>
    <w:rsid w:val="287B71EB"/>
    <w:rsid w:val="287C74A9"/>
    <w:rsid w:val="28821D8A"/>
    <w:rsid w:val="28853ED2"/>
    <w:rsid w:val="28962EB9"/>
    <w:rsid w:val="2899784A"/>
    <w:rsid w:val="28AB5AFB"/>
    <w:rsid w:val="28BF73D9"/>
    <w:rsid w:val="28CA1A7E"/>
    <w:rsid w:val="28E46963"/>
    <w:rsid w:val="28E96DE8"/>
    <w:rsid w:val="29100CC9"/>
    <w:rsid w:val="293168D0"/>
    <w:rsid w:val="29320A6C"/>
    <w:rsid w:val="294C6E03"/>
    <w:rsid w:val="29582520"/>
    <w:rsid w:val="295D396E"/>
    <w:rsid w:val="295F179E"/>
    <w:rsid w:val="29611DC4"/>
    <w:rsid w:val="29647670"/>
    <w:rsid w:val="296622B9"/>
    <w:rsid w:val="298458B6"/>
    <w:rsid w:val="299C6123"/>
    <w:rsid w:val="29AF5CFF"/>
    <w:rsid w:val="29BC50D8"/>
    <w:rsid w:val="29BE49C6"/>
    <w:rsid w:val="29C36A44"/>
    <w:rsid w:val="29F204C0"/>
    <w:rsid w:val="29F80F81"/>
    <w:rsid w:val="29F97000"/>
    <w:rsid w:val="29FA4F60"/>
    <w:rsid w:val="2A025D4D"/>
    <w:rsid w:val="2A083469"/>
    <w:rsid w:val="2A18498A"/>
    <w:rsid w:val="2A1F2A21"/>
    <w:rsid w:val="2A2C4901"/>
    <w:rsid w:val="2A6C6E7B"/>
    <w:rsid w:val="2A744759"/>
    <w:rsid w:val="2A784223"/>
    <w:rsid w:val="2A9B2643"/>
    <w:rsid w:val="2A9E3345"/>
    <w:rsid w:val="2AAB29CC"/>
    <w:rsid w:val="2AD50A31"/>
    <w:rsid w:val="2AE218FA"/>
    <w:rsid w:val="2AED35E9"/>
    <w:rsid w:val="2B2325B3"/>
    <w:rsid w:val="2B4077B7"/>
    <w:rsid w:val="2B471D0E"/>
    <w:rsid w:val="2B4D7FC5"/>
    <w:rsid w:val="2B6013B1"/>
    <w:rsid w:val="2B60397F"/>
    <w:rsid w:val="2B674AF4"/>
    <w:rsid w:val="2B955A98"/>
    <w:rsid w:val="2BB14166"/>
    <w:rsid w:val="2BD20E10"/>
    <w:rsid w:val="2BD52FAC"/>
    <w:rsid w:val="2BD80C72"/>
    <w:rsid w:val="2BDC0F8C"/>
    <w:rsid w:val="2BFC6C0B"/>
    <w:rsid w:val="2BFF22AF"/>
    <w:rsid w:val="2C165A27"/>
    <w:rsid w:val="2C256037"/>
    <w:rsid w:val="2C263392"/>
    <w:rsid w:val="2C371F40"/>
    <w:rsid w:val="2C435DC2"/>
    <w:rsid w:val="2C4E3BA1"/>
    <w:rsid w:val="2CA80C44"/>
    <w:rsid w:val="2CAC0089"/>
    <w:rsid w:val="2CAE727D"/>
    <w:rsid w:val="2CB62E59"/>
    <w:rsid w:val="2CCC4E02"/>
    <w:rsid w:val="2CDE26F8"/>
    <w:rsid w:val="2CFB2A86"/>
    <w:rsid w:val="2CFD12A1"/>
    <w:rsid w:val="2D113F47"/>
    <w:rsid w:val="2D6D457F"/>
    <w:rsid w:val="2D9401D3"/>
    <w:rsid w:val="2DAE0FBF"/>
    <w:rsid w:val="2DCB4D70"/>
    <w:rsid w:val="2DEA6FB8"/>
    <w:rsid w:val="2DFB1EDE"/>
    <w:rsid w:val="2E1B56B5"/>
    <w:rsid w:val="2E201ABC"/>
    <w:rsid w:val="2E354800"/>
    <w:rsid w:val="2E3E5E53"/>
    <w:rsid w:val="2E3F5A40"/>
    <w:rsid w:val="2E624750"/>
    <w:rsid w:val="2E736E49"/>
    <w:rsid w:val="2E920C9C"/>
    <w:rsid w:val="2E980D9D"/>
    <w:rsid w:val="2EBC41FA"/>
    <w:rsid w:val="2EC2401F"/>
    <w:rsid w:val="2EC356F2"/>
    <w:rsid w:val="2ED07981"/>
    <w:rsid w:val="2ED957B9"/>
    <w:rsid w:val="2EF447BC"/>
    <w:rsid w:val="2EFF56E6"/>
    <w:rsid w:val="2F271C26"/>
    <w:rsid w:val="2F311667"/>
    <w:rsid w:val="2F3671F7"/>
    <w:rsid w:val="2F465C67"/>
    <w:rsid w:val="2F50231E"/>
    <w:rsid w:val="2F5B2CEB"/>
    <w:rsid w:val="2F605506"/>
    <w:rsid w:val="2F6D15A9"/>
    <w:rsid w:val="2F706058"/>
    <w:rsid w:val="2F786C71"/>
    <w:rsid w:val="2F7E40DF"/>
    <w:rsid w:val="2FD7351E"/>
    <w:rsid w:val="2FDE34B3"/>
    <w:rsid w:val="2FEE13F3"/>
    <w:rsid w:val="300C5832"/>
    <w:rsid w:val="30201420"/>
    <w:rsid w:val="30297139"/>
    <w:rsid w:val="302A2D3D"/>
    <w:rsid w:val="30403D04"/>
    <w:rsid w:val="3042737E"/>
    <w:rsid w:val="305039C1"/>
    <w:rsid w:val="30551F62"/>
    <w:rsid w:val="305B401D"/>
    <w:rsid w:val="307F3244"/>
    <w:rsid w:val="30B82FB1"/>
    <w:rsid w:val="30DD12AD"/>
    <w:rsid w:val="30F54FB2"/>
    <w:rsid w:val="3100392F"/>
    <w:rsid w:val="3106261F"/>
    <w:rsid w:val="31185DB8"/>
    <w:rsid w:val="311E6237"/>
    <w:rsid w:val="311E68BD"/>
    <w:rsid w:val="313434AE"/>
    <w:rsid w:val="314B6749"/>
    <w:rsid w:val="314E62F8"/>
    <w:rsid w:val="315422B9"/>
    <w:rsid w:val="315D3BBE"/>
    <w:rsid w:val="31B83CCC"/>
    <w:rsid w:val="31C82B54"/>
    <w:rsid w:val="31EC592C"/>
    <w:rsid w:val="31FF48AD"/>
    <w:rsid w:val="32094764"/>
    <w:rsid w:val="322120E3"/>
    <w:rsid w:val="322F6556"/>
    <w:rsid w:val="322F7875"/>
    <w:rsid w:val="323919B4"/>
    <w:rsid w:val="323D5857"/>
    <w:rsid w:val="325C3047"/>
    <w:rsid w:val="32745F4F"/>
    <w:rsid w:val="327536AC"/>
    <w:rsid w:val="3293214C"/>
    <w:rsid w:val="32984AD2"/>
    <w:rsid w:val="32B93A08"/>
    <w:rsid w:val="32C04DF0"/>
    <w:rsid w:val="32C20D91"/>
    <w:rsid w:val="32DD2092"/>
    <w:rsid w:val="32E3609F"/>
    <w:rsid w:val="32F63A23"/>
    <w:rsid w:val="331442AA"/>
    <w:rsid w:val="33422448"/>
    <w:rsid w:val="33561B74"/>
    <w:rsid w:val="335B3118"/>
    <w:rsid w:val="335E4C1E"/>
    <w:rsid w:val="336B2B31"/>
    <w:rsid w:val="33712AD2"/>
    <w:rsid w:val="33765DAB"/>
    <w:rsid w:val="3378072E"/>
    <w:rsid w:val="337B6CCC"/>
    <w:rsid w:val="338B06B1"/>
    <w:rsid w:val="33A97C51"/>
    <w:rsid w:val="33C67E3B"/>
    <w:rsid w:val="33DF7CE9"/>
    <w:rsid w:val="33E8174E"/>
    <w:rsid w:val="33FF2E3E"/>
    <w:rsid w:val="33FF7D25"/>
    <w:rsid w:val="34311699"/>
    <w:rsid w:val="34332AD7"/>
    <w:rsid w:val="343829F0"/>
    <w:rsid w:val="3446466A"/>
    <w:rsid w:val="345924BF"/>
    <w:rsid w:val="34737F2D"/>
    <w:rsid w:val="34821A93"/>
    <w:rsid w:val="348D4640"/>
    <w:rsid w:val="34AC7BA7"/>
    <w:rsid w:val="34B217F8"/>
    <w:rsid w:val="34BC029A"/>
    <w:rsid w:val="34BC7FA4"/>
    <w:rsid w:val="34BF7D32"/>
    <w:rsid w:val="34E07FD0"/>
    <w:rsid w:val="351D4868"/>
    <w:rsid w:val="352A070F"/>
    <w:rsid w:val="352C4660"/>
    <w:rsid w:val="35332495"/>
    <w:rsid w:val="354D599B"/>
    <w:rsid w:val="354F2EC8"/>
    <w:rsid w:val="355A0EA2"/>
    <w:rsid w:val="356A757A"/>
    <w:rsid w:val="356F16E3"/>
    <w:rsid w:val="357C6C80"/>
    <w:rsid w:val="357E2C13"/>
    <w:rsid w:val="35967E51"/>
    <w:rsid w:val="35A11F0C"/>
    <w:rsid w:val="35A234DF"/>
    <w:rsid w:val="35A44473"/>
    <w:rsid w:val="35B00EBA"/>
    <w:rsid w:val="35C77504"/>
    <w:rsid w:val="35D50D79"/>
    <w:rsid w:val="360D2B0F"/>
    <w:rsid w:val="36137FEE"/>
    <w:rsid w:val="362A29D7"/>
    <w:rsid w:val="362E6EBB"/>
    <w:rsid w:val="363C7608"/>
    <w:rsid w:val="36551938"/>
    <w:rsid w:val="365E681C"/>
    <w:rsid w:val="36740868"/>
    <w:rsid w:val="36A024A0"/>
    <w:rsid w:val="36A219D2"/>
    <w:rsid w:val="36AC4C3E"/>
    <w:rsid w:val="36AF0873"/>
    <w:rsid w:val="36C00DA2"/>
    <w:rsid w:val="36C029BF"/>
    <w:rsid w:val="36D44946"/>
    <w:rsid w:val="36E07041"/>
    <w:rsid w:val="37307341"/>
    <w:rsid w:val="37417152"/>
    <w:rsid w:val="37486BAA"/>
    <w:rsid w:val="376B5DE2"/>
    <w:rsid w:val="376B7BAC"/>
    <w:rsid w:val="37A06B69"/>
    <w:rsid w:val="37B140DB"/>
    <w:rsid w:val="37C34E4A"/>
    <w:rsid w:val="37C67A59"/>
    <w:rsid w:val="37D34055"/>
    <w:rsid w:val="37F949F8"/>
    <w:rsid w:val="380104DB"/>
    <w:rsid w:val="380357AD"/>
    <w:rsid w:val="38057B56"/>
    <w:rsid w:val="380F2AD9"/>
    <w:rsid w:val="38216491"/>
    <w:rsid w:val="382869AA"/>
    <w:rsid w:val="382B36D3"/>
    <w:rsid w:val="383F7BF2"/>
    <w:rsid w:val="3849505B"/>
    <w:rsid w:val="385D771A"/>
    <w:rsid w:val="386B1AA2"/>
    <w:rsid w:val="3872191A"/>
    <w:rsid w:val="387A6FF1"/>
    <w:rsid w:val="3884052E"/>
    <w:rsid w:val="38847357"/>
    <w:rsid w:val="38AB7867"/>
    <w:rsid w:val="38C77B51"/>
    <w:rsid w:val="38C9279C"/>
    <w:rsid w:val="38CE1B19"/>
    <w:rsid w:val="38CF1238"/>
    <w:rsid w:val="38DC71CD"/>
    <w:rsid w:val="38E264D5"/>
    <w:rsid w:val="391F576D"/>
    <w:rsid w:val="39266EC7"/>
    <w:rsid w:val="3927029B"/>
    <w:rsid w:val="393D6284"/>
    <w:rsid w:val="39682AF5"/>
    <w:rsid w:val="397D2C96"/>
    <w:rsid w:val="39871C4B"/>
    <w:rsid w:val="398C44DA"/>
    <w:rsid w:val="39B32DEC"/>
    <w:rsid w:val="39B3733A"/>
    <w:rsid w:val="39BA6CDA"/>
    <w:rsid w:val="39C26219"/>
    <w:rsid w:val="39E05351"/>
    <w:rsid w:val="3A097C7A"/>
    <w:rsid w:val="3A0C3ABA"/>
    <w:rsid w:val="3A292132"/>
    <w:rsid w:val="3A2D2706"/>
    <w:rsid w:val="3A3335FA"/>
    <w:rsid w:val="3A35368D"/>
    <w:rsid w:val="3A380186"/>
    <w:rsid w:val="3A58689D"/>
    <w:rsid w:val="3A7E0B84"/>
    <w:rsid w:val="3A8A1185"/>
    <w:rsid w:val="3A8F2D55"/>
    <w:rsid w:val="3A97246A"/>
    <w:rsid w:val="3AA837F5"/>
    <w:rsid w:val="3ABF482A"/>
    <w:rsid w:val="3AC965F4"/>
    <w:rsid w:val="3AE14920"/>
    <w:rsid w:val="3AFA269C"/>
    <w:rsid w:val="3AFF0903"/>
    <w:rsid w:val="3B3C1C67"/>
    <w:rsid w:val="3B475E6E"/>
    <w:rsid w:val="3B6779E4"/>
    <w:rsid w:val="3B6D11FE"/>
    <w:rsid w:val="3B8C2095"/>
    <w:rsid w:val="3BA635FE"/>
    <w:rsid w:val="3BAD0623"/>
    <w:rsid w:val="3BE102FA"/>
    <w:rsid w:val="3BE9621B"/>
    <w:rsid w:val="3BFB3CDF"/>
    <w:rsid w:val="3C117376"/>
    <w:rsid w:val="3C365C74"/>
    <w:rsid w:val="3C564F8C"/>
    <w:rsid w:val="3C570353"/>
    <w:rsid w:val="3C696DCC"/>
    <w:rsid w:val="3C94280C"/>
    <w:rsid w:val="3C9F7E3A"/>
    <w:rsid w:val="3CB27B68"/>
    <w:rsid w:val="3CC457DA"/>
    <w:rsid w:val="3CC86BE5"/>
    <w:rsid w:val="3CD50E7D"/>
    <w:rsid w:val="3CD50F11"/>
    <w:rsid w:val="3CE67620"/>
    <w:rsid w:val="3CF3761A"/>
    <w:rsid w:val="3CFE6E9C"/>
    <w:rsid w:val="3D133BD4"/>
    <w:rsid w:val="3D18091D"/>
    <w:rsid w:val="3D1859FD"/>
    <w:rsid w:val="3D1A02D3"/>
    <w:rsid w:val="3D1C039A"/>
    <w:rsid w:val="3D1C3D4C"/>
    <w:rsid w:val="3D2B7DFD"/>
    <w:rsid w:val="3D435409"/>
    <w:rsid w:val="3D63624A"/>
    <w:rsid w:val="3D63662F"/>
    <w:rsid w:val="3D683890"/>
    <w:rsid w:val="3D6C7C5E"/>
    <w:rsid w:val="3D7448C2"/>
    <w:rsid w:val="3D7B605A"/>
    <w:rsid w:val="3D816CDA"/>
    <w:rsid w:val="3D835248"/>
    <w:rsid w:val="3D9030AD"/>
    <w:rsid w:val="3D9E46E8"/>
    <w:rsid w:val="3DA11E37"/>
    <w:rsid w:val="3DAD2CA6"/>
    <w:rsid w:val="3DB0045E"/>
    <w:rsid w:val="3DB50B7B"/>
    <w:rsid w:val="3DC60362"/>
    <w:rsid w:val="3DC70132"/>
    <w:rsid w:val="3DD60535"/>
    <w:rsid w:val="3DD75DB5"/>
    <w:rsid w:val="3DDE585A"/>
    <w:rsid w:val="3DE3678E"/>
    <w:rsid w:val="3DF22060"/>
    <w:rsid w:val="3E1D3512"/>
    <w:rsid w:val="3E2E46CC"/>
    <w:rsid w:val="3E2F6BEC"/>
    <w:rsid w:val="3E370745"/>
    <w:rsid w:val="3E390ADE"/>
    <w:rsid w:val="3E3D602E"/>
    <w:rsid w:val="3E495AE8"/>
    <w:rsid w:val="3E5D1BA5"/>
    <w:rsid w:val="3E5D3FAA"/>
    <w:rsid w:val="3E617EE8"/>
    <w:rsid w:val="3E641877"/>
    <w:rsid w:val="3E7E1BDE"/>
    <w:rsid w:val="3E8B3D1F"/>
    <w:rsid w:val="3E9D3B74"/>
    <w:rsid w:val="3EA23996"/>
    <w:rsid w:val="3EA57180"/>
    <w:rsid w:val="3EBC3198"/>
    <w:rsid w:val="3EC06BC1"/>
    <w:rsid w:val="3ECA61DC"/>
    <w:rsid w:val="3ECF145E"/>
    <w:rsid w:val="3ED26652"/>
    <w:rsid w:val="3EDD7B60"/>
    <w:rsid w:val="3EF618AF"/>
    <w:rsid w:val="3EFB5A8C"/>
    <w:rsid w:val="3F04492B"/>
    <w:rsid w:val="3F1171A6"/>
    <w:rsid w:val="3F1B1481"/>
    <w:rsid w:val="3F222E77"/>
    <w:rsid w:val="3F2452AC"/>
    <w:rsid w:val="3F354538"/>
    <w:rsid w:val="3F4661D7"/>
    <w:rsid w:val="3F636DEF"/>
    <w:rsid w:val="3F760E78"/>
    <w:rsid w:val="3F765118"/>
    <w:rsid w:val="3F772BDF"/>
    <w:rsid w:val="3F7B6815"/>
    <w:rsid w:val="3FA061CB"/>
    <w:rsid w:val="3FC35AD5"/>
    <w:rsid w:val="3FD05605"/>
    <w:rsid w:val="3FE31C6C"/>
    <w:rsid w:val="400A5247"/>
    <w:rsid w:val="401C055D"/>
    <w:rsid w:val="40216719"/>
    <w:rsid w:val="405021EE"/>
    <w:rsid w:val="40543F0C"/>
    <w:rsid w:val="40B24A47"/>
    <w:rsid w:val="40D06AAF"/>
    <w:rsid w:val="40DE0279"/>
    <w:rsid w:val="40E06C2E"/>
    <w:rsid w:val="40E95A53"/>
    <w:rsid w:val="4101758F"/>
    <w:rsid w:val="410615FE"/>
    <w:rsid w:val="41082F31"/>
    <w:rsid w:val="411F46F9"/>
    <w:rsid w:val="41205A7E"/>
    <w:rsid w:val="413A53D0"/>
    <w:rsid w:val="41517173"/>
    <w:rsid w:val="415E5B5B"/>
    <w:rsid w:val="41702BA3"/>
    <w:rsid w:val="417F0A8E"/>
    <w:rsid w:val="418C48E6"/>
    <w:rsid w:val="4191583D"/>
    <w:rsid w:val="41A20FFA"/>
    <w:rsid w:val="41AD4E69"/>
    <w:rsid w:val="41D51E4B"/>
    <w:rsid w:val="41DB2FA6"/>
    <w:rsid w:val="41DB4AFC"/>
    <w:rsid w:val="41E86AA4"/>
    <w:rsid w:val="42141C6E"/>
    <w:rsid w:val="42237C4A"/>
    <w:rsid w:val="424A0D09"/>
    <w:rsid w:val="42512BDA"/>
    <w:rsid w:val="42565E3B"/>
    <w:rsid w:val="426D6476"/>
    <w:rsid w:val="428D0996"/>
    <w:rsid w:val="428F4FED"/>
    <w:rsid w:val="42990DF2"/>
    <w:rsid w:val="429B164F"/>
    <w:rsid w:val="42A40705"/>
    <w:rsid w:val="42A85B64"/>
    <w:rsid w:val="42DD51A6"/>
    <w:rsid w:val="42E556D0"/>
    <w:rsid w:val="42EA352C"/>
    <w:rsid w:val="42F20C12"/>
    <w:rsid w:val="43080305"/>
    <w:rsid w:val="43214F47"/>
    <w:rsid w:val="43847BD7"/>
    <w:rsid w:val="438E5A05"/>
    <w:rsid w:val="43A01A7B"/>
    <w:rsid w:val="43AC14BC"/>
    <w:rsid w:val="43B234F8"/>
    <w:rsid w:val="43CE2803"/>
    <w:rsid w:val="43D90136"/>
    <w:rsid w:val="43DC6063"/>
    <w:rsid w:val="440C45D7"/>
    <w:rsid w:val="44214D5B"/>
    <w:rsid w:val="444F0120"/>
    <w:rsid w:val="445F018B"/>
    <w:rsid w:val="4475238B"/>
    <w:rsid w:val="447E2491"/>
    <w:rsid w:val="448A3520"/>
    <w:rsid w:val="449E331E"/>
    <w:rsid w:val="44C21861"/>
    <w:rsid w:val="44C70DB8"/>
    <w:rsid w:val="44CB1209"/>
    <w:rsid w:val="44D21CDB"/>
    <w:rsid w:val="44D96C5A"/>
    <w:rsid w:val="44FF7D79"/>
    <w:rsid w:val="450A30B4"/>
    <w:rsid w:val="45200897"/>
    <w:rsid w:val="452746E2"/>
    <w:rsid w:val="456C5C7A"/>
    <w:rsid w:val="45845316"/>
    <w:rsid w:val="45912062"/>
    <w:rsid w:val="45AA320A"/>
    <w:rsid w:val="45AB5476"/>
    <w:rsid w:val="45C57D6E"/>
    <w:rsid w:val="45EB0BF7"/>
    <w:rsid w:val="45F60F5A"/>
    <w:rsid w:val="461E6C44"/>
    <w:rsid w:val="462A0FC7"/>
    <w:rsid w:val="462D0D39"/>
    <w:rsid w:val="46392406"/>
    <w:rsid w:val="46427916"/>
    <w:rsid w:val="464A5906"/>
    <w:rsid w:val="465860B4"/>
    <w:rsid w:val="467F5F06"/>
    <w:rsid w:val="468E7E99"/>
    <w:rsid w:val="46933A61"/>
    <w:rsid w:val="46B46F7B"/>
    <w:rsid w:val="46BA434B"/>
    <w:rsid w:val="46E74341"/>
    <w:rsid w:val="46F422F8"/>
    <w:rsid w:val="46FA3826"/>
    <w:rsid w:val="46FD7F15"/>
    <w:rsid w:val="47001282"/>
    <w:rsid w:val="47214552"/>
    <w:rsid w:val="476C0785"/>
    <w:rsid w:val="47700192"/>
    <w:rsid w:val="47701ABC"/>
    <w:rsid w:val="477F1569"/>
    <w:rsid w:val="47A40ABB"/>
    <w:rsid w:val="47A54BE8"/>
    <w:rsid w:val="47A957D4"/>
    <w:rsid w:val="47AA1F43"/>
    <w:rsid w:val="47AB6DB3"/>
    <w:rsid w:val="47B641E5"/>
    <w:rsid w:val="47BA35BB"/>
    <w:rsid w:val="47BD22C9"/>
    <w:rsid w:val="47C34252"/>
    <w:rsid w:val="47C801ED"/>
    <w:rsid w:val="47E63AAF"/>
    <w:rsid w:val="47F41E50"/>
    <w:rsid w:val="483F071B"/>
    <w:rsid w:val="4860662E"/>
    <w:rsid w:val="486E05F0"/>
    <w:rsid w:val="48AF1092"/>
    <w:rsid w:val="48E62148"/>
    <w:rsid w:val="48F63341"/>
    <w:rsid w:val="490A0DD8"/>
    <w:rsid w:val="491D539D"/>
    <w:rsid w:val="492A56DF"/>
    <w:rsid w:val="49633718"/>
    <w:rsid w:val="49823BBE"/>
    <w:rsid w:val="4990289B"/>
    <w:rsid w:val="49A436E3"/>
    <w:rsid w:val="49A96EB2"/>
    <w:rsid w:val="49BB7338"/>
    <w:rsid w:val="49BF0FC9"/>
    <w:rsid w:val="49E7385E"/>
    <w:rsid w:val="49F23DDE"/>
    <w:rsid w:val="4A041623"/>
    <w:rsid w:val="4A074D2C"/>
    <w:rsid w:val="4A16727F"/>
    <w:rsid w:val="4A1B3F8C"/>
    <w:rsid w:val="4A211F33"/>
    <w:rsid w:val="4A44766E"/>
    <w:rsid w:val="4A4B3D75"/>
    <w:rsid w:val="4A571D8A"/>
    <w:rsid w:val="4A5939BD"/>
    <w:rsid w:val="4A784DFD"/>
    <w:rsid w:val="4A9413A3"/>
    <w:rsid w:val="4A9629C2"/>
    <w:rsid w:val="4AA76429"/>
    <w:rsid w:val="4AAC4025"/>
    <w:rsid w:val="4AB50942"/>
    <w:rsid w:val="4AD64FFE"/>
    <w:rsid w:val="4AE455CE"/>
    <w:rsid w:val="4AE77306"/>
    <w:rsid w:val="4AF04777"/>
    <w:rsid w:val="4AFD7A61"/>
    <w:rsid w:val="4B03019D"/>
    <w:rsid w:val="4B031BE3"/>
    <w:rsid w:val="4B154C5C"/>
    <w:rsid w:val="4B185666"/>
    <w:rsid w:val="4B5155A8"/>
    <w:rsid w:val="4B56468C"/>
    <w:rsid w:val="4B6318C9"/>
    <w:rsid w:val="4B780E56"/>
    <w:rsid w:val="4B7D30E8"/>
    <w:rsid w:val="4B8F126E"/>
    <w:rsid w:val="4B98352A"/>
    <w:rsid w:val="4B9B1707"/>
    <w:rsid w:val="4B9D3791"/>
    <w:rsid w:val="4BEC20A6"/>
    <w:rsid w:val="4C002F50"/>
    <w:rsid w:val="4C0D5123"/>
    <w:rsid w:val="4C0F635F"/>
    <w:rsid w:val="4C161D80"/>
    <w:rsid w:val="4C2052A7"/>
    <w:rsid w:val="4C287DA6"/>
    <w:rsid w:val="4C2D6496"/>
    <w:rsid w:val="4C3778AC"/>
    <w:rsid w:val="4C3E65F6"/>
    <w:rsid w:val="4C4006A4"/>
    <w:rsid w:val="4C67144B"/>
    <w:rsid w:val="4C6C7A86"/>
    <w:rsid w:val="4C851B88"/>
    <w:rsid w:val="4C8E3BF3"/>
    <w:rsid w:val="4CA4223C"/>
    <w:rsid w:val="4CAA0BBF"/>
    <w:rsid w:val="4CAA5A72"/>
    <w:rsid w:val="4CB5212D"/>
    <w:rsid w:val="4CBD225A"/>
    <w:rsid w:val="4CE17A48"/>
    <w:rsid w:val="4CEF432E"/>
    <w:rsid w:val="4D002256"/>
    <w:rsid w:val="4D1736BC"/>
    <w:rsid w:val="4D4C187C"/>
    <w:rsid w:val="4D571F1D"/>
    <w:rsid w:val="4D6378FE"/>
    <w:rsid w:val="4D752182"/>
    <w:rsid w:val="4D7A23A9"/>
    <w:rsid w:val="4D80530A"/>
    <w:rsid w:val="4D813179"/>
    <w:rsid w:val="4D914BCD"/>
    <w:rsid w:val="4D9552EE"/>
    <w:rsid w:val="4DA81345"/>
    <w:rsid w:val="4DC85714"/>
    <w:rsid w:val="4DEB3911"/>
    <w:rsid w:val="4DEB596A"/>
    <w:rsid w:val="4E0919E7"/>
    <w:rsid w:val="4E14451D"/>
    <w:rsid w:val="4E1A375F"/>
    <w:rsid w:val="4E5074DC"/>
    <w:rsid w:val="4E63587F"/>
    <w:rsid w:val="4E6603CF"/>
    <w:rsid w:val="4E676A7B"/>
    <w:rsid w:val="4E7C401A"/>
    <w:rsid w:val="4E875513"/>
    <w:rsid w:val="4E997359"/>
    <w:rsid w:val="4E997885"/>
    <w:rsid w:val="4EA5545F"/>
    <w:rsid w:val="4EAD7E48"/>
    <w:rsid w:val="4EC524BB"/>
    <w:rsid w:val="4ECC6307"/>
    <w:rsid w:val="4ECF6F68"/>
    <w:rsid w:val="4EEA191A"/>
    <w:rsid w:val="4EF879D2"/>
    <w:rsid w:val="4F177B42"/>
    <w:rsid w:val="4F270496"/>
    <w:rsid w:val="4F2875B1"/>
    <w:rsid w:val="4F5C2823"/>
    <w:rsid w:val="4F6A0A2B"/>
    <w:rsid w:val="4F913310"/>
    <w:rsid w:val="4F930EA5"/>
    <w:rsid w:val="4F960427"/>
    <w:rsid w:val="4FAF278D"/>
    <w:rsid w:val="4FB95D99"/>
    <w:rsid w:val="4FC01907"/>
    <w:rsid w:val="4FCF5617"/>
    <w:rsid w:val="4FD51CE8"/>
    <w:rsid w:val="4FD65B2E"/>
    <w:rsid w:val="4FF70DF0"/>
    <w:rsid w:val="500901E7"/>
    <w:rsid w:val="50204CFB"/>
    <w:rsid w:val="50300AE2"/>
    <w:rsid w:val="505B31A0"/>
    <w:rsid w:val="50646A3C"/>
    <w:rsid w:val="5070128F"/>
    <w:rsid w:val="50921508"/>
    <w:rsid w:val="50D532A4"/>
    <w:rsid w:val="50DC04D0"/>
    <w:rsid w:val="50E715DF"/>
    <w:rsid w:val="50EE465F"/>
    <w:rsid w:val="51045280"/>
    <w:rsid w:val="51110D45"/>
    <w:rsid w:val="51167393"/>
    <w:rsid w:val="51246EB6"/>
    <w:rsid w:val="51382A32"/>
    <w:rsid w:val="513C1A7E"/>
    <w:rsid w:val="514B2293"/>
    <w:rsid w:val="514B6730"/>
    <w:rsid w:val="514D2C57"/>
    <w:rsid w:val="51560386"/>
    <w:rsid w:val="51676EBB"/>
    <w:rsid w:val="51701223"/>
    <w:rsid w:val="5170586E"/>
    <w:rsid w:val="51720798"/>
    <w:rsid w:val="517A7266"/>
    <w:rsid w:val="51862672"/>
    <w:rsid w:val="51956AEE"/>
    <w:rsid w:val="51B45EBC"/>
    <w:rsid w:val="51BD5BC9"/>
    <w:rsid w:val="51E14C21"/>
    <w:rsid w:val="51EF2DEE"/>
    <w:rsid w:val="51F94341"/>
    <w:rsid w:val="52193C80"/>
    <w:rsid w:val="5224153B"/>
    <w:rsid w:val="523F2E92"/>
    <w:rsid w:val="524821EF"/>
    <w:rsid w:val="524F0A9C"/>
    <w:rsid w:val="52510700"/>
    <w:rsid w:val="526B6F13"/>
    <w:rsid w:val="529A595A"/>
    <w:rsid w:val="529B1ABA"/>
    <w:rsid w:val="529E1110"/>
    <w:rsid w:val="52CD691E"/>
    <w:rsid w:val="52DA6F0E"/>
    <w:rsid w:val="52E84256"/>
    <w:rsid w:val="535F0913"/>
    <w:rsid w:val="5360120F"/>
    <w:rsid w:val="53674DEE"/>
    <w:rsid w:val="537D2E94"/>
    <w:rsid w:val="53880E69"/>
    <w:rsid w:val="539D444C"/>
    <w:rsid w:val="53C73312"/>
    <w:rsid w:val="53DA4133"/>
    <w:rsid w:val="53E707F2"/>
    <w:rsid w:val="542F4D94"/>
    <w:rsid w:val="5436756A"/>
    <w:rsid w:val="54395540"/>
    <w:rsid w:val="545B282A"/>
    <w:rsid w:val="545D78EC"/>
    <w:rsid w:val="547247F1"/>
    <w:rsid w:val="54821EB3"/>
    <w:rsid w:val="54B80594"/>
    <w:rsid w:val="54FA073A"/>
    <w:rsid w:val="550C280F"/>
    <w:rsid w:val="551F28C4"/>
    <w:rsid w:val="552D5201"/>
    <w:rsid w:val="55303963"/>
    <w:rsid w:val="55312C24"/>
    <w:rsid w:val="55356468"/>
    <w:rsid w:val="553F29E3"/>
    <w:rsid w:val="553F3CFE"/>
    <w:rsid w:val="554F638E"/>
    <w:rsid w:val="55530689"/>
    <w:rsid w:val="5558382A"/>
    <w:rsid w:val="55640564"/>
    <w:rsid w:val="557C4029"/>
    <w:rsid w:val="55C2674C"/>
    <w:rsid w:val="55C46E4D"/>
    <w:rsid w:val="55C87480"/>
    <w:rsid w:val="55E149FB"/>
    <w:rsid w:val="55E859C0"/>
    <w:rsid w:val="55F601C9"/>
    <w:rsid w:val="560C307C"/>
    <w:rsid w:val="56587F43"/>
    <w:rsid w:val="567C52E6"/>
    <w:rsid w:val="568D3AF9"/>
    <w:rsid w:val="5699593E"/>
    <w:rsid w:val="569F2F33"/>
    <w:rsid w:val="56A34AB6"/>
    <w:rsid w:val="56AB77C0"/>
    <w:rsid w:val="56B25B07"/>
    <w:rsid w:val="56CF21D7"/>
    <w:rsid w:val="56DF59C3"/>
    <w:rsid w:val="56EA059B"/>
    <w:rsid w:val="56EA5C4C"/>
    <w:rsid w:val="56F971C1"/>
    <w:rsid w:val="573079EA"/>
    <w:rsid w:val="57331239"/>
    <w:rsid w:val="57570B16"/>
    <w:rsid w:val="575A6712"/>
    <w:rsid w:val="5782476A"/>
    <w:rsid w:val="57872DDB"/>
    <w:rsid w:val="57895A28"/>
    <w:rsid w:val="57B369FD"/>
    <w:rsid w:val="57C07338"/>
    <w:rsid w:val="57CA5CCC"/>
    <w:rsid w:val="57F15779"/>
    <w:rsid w:val="57FB57D9"/>
    <w:rsid w:val="582116C6"/>
    <w:rsid w:val="582A6B2F"/>
    <w:rsid w:val="58566DBB"/>
    <w:rsid w:val="585934F7"/>
    <w:rsid w:val="58663198"/>
    <w:rsid w:val="587507AD"/>
    <w:rsid w:val="58792DC0"/>
    <w:rsid w:val="58863A8B"/>
    <w:rsid w:val="588E0F72"/>
    <w:rsid w:val="58920BF6"/>
    <w:rsid w:val="58B00EB8"/>
    <w:rsid w:val="58C56507"/>
    <w:rsid w:val="58C97AE5"/>
    <w:rsid w:val="58CA2598"/>
    <w:rsid w:val="58DC0AF7"/>
    <w:rsid w:val="58FA2ADD"/>
    <w:rsid w:val="58FF21A0"/>
    <w:rsid w:val="59093ECD"/>
    <w:rsid w:val="590F1AA0"/>
    <w:rsid w:val="591E48A0"/>
    <w:rsid w:val="593323C9"/>
    <w:rsid w:val="593E29E4"/>
    <w:rsid w:val="594D172C"/>
    <w:rsid w:val="59617080"/>
    <w:rsid w:val="59667A7E"/>
    <w:rsid w:val="59690E37"/>
    <w:rsid w:val="596D60BF"/>
    <w:rsid w:val="596F2ED8"/>
    <w:rsid w:val="597C4748"/>
    <w:rsid w:val="599133AE"/>
    <w:rsid w:val="59925DE0"/>
    <w:rsid w:val="59A96FD9"/>
    <w:rsid w:val="59CD743A"/>
    <w:rsid w:val="59D52B0E"/>
    <w:rsid w:val="59E27A5E"/>
    <w:rsid w:val="59FA26B7"/>
    <w:rsid w:val="5A1A1A66"/>
    <w:rsid w:val="5A256C9B"/>
    <w:rsid w:val="5A2807DA"/>
    <w:rsid w:val="5A333618"/>
    <w:rsid w:val="5A473060"/>
    <w:rsid w:val="5A633C3D"/>
    <w:rsid w:val="5A671CDE"/>
    <w:rsid w:val="5A8B75BC"/>
    <w:rsid w:val="5AA438A6"/>
    <w:rsid w:val="5AB8407C"/>
    <w:rsid w:val="5AD9345C"/>
    <w:rsid w:val="5AF269E9"/>
    <w:rsid w:val="5AF92DEC"/>
    <w:rsid w:val="5B2525FF"/>
    <w:rsid w:val="5B2E0A62"/>
    <w:rsid w:val="5B301E6A"/>
    <w:rsid w:val="5B38550E"/>
    <w:rsid w:val="5B485E07"/>
    <w:rsid w:val="5B962575"/>
    <w:rsid w:val="5B9D0B0B"/>
    <w:rsid w:val="5BA6231F"/>
    <w:rsid w:val="5BA66173"/>
    <w:rsid w:val="5BC40F3D"/>
    <w:rsid w:val="5BDE7031"/>
    <w:rsid w:val="5C2D284E"/>
    <w:rsid w:val="5C404E58"/>
    <w:rsid w:val="5C55540D"/>
    <w:rsid w:val="5C741F63"/>
    <w:rsid w:val="5C77149C"/>
    <w:rsid w:val="5CA364C9"/>
    <w:rsid w:val="5CA56185"/>
    <w:rsid w:val="5CA801FB"/>
    <w:rsid w:val="5CB53FEE"/>
    <w:rsid w:val="5CBE2753"/>
    <w:rsid w:val="5CC04067"/>
    <w:rsid w:val="5CC47B10"/>
    <w:rsid w:val="5CDF4528"/>
    <w:rsid w:val="5CE72A6A"/>
    <w:rsid w:val="5CEB3326"/>
    <w:rsid w:val="5D0E0B5B"/>
    <w:rsid w:val="5D28122B"/>
    <w:rsid w:val="5D287360"/>
    <w:rsid w:val="5D38282C"/>
    <w:rsid w:val="5D430575"/>
    <w:rsid w:val="5D6F74DC"/>
    <w:rsid w:val="5D870E82"/>
    <w:rsid w:val="5D894E95"/>
    <w:rsid w:val="5D9A6A9D"/>
    <w:rsid w:val="5DAD0480"/>
    <w:rsid w:val="5DB64670"/>
    <w:rsid w:val="5DB83D48"/>
    <w:rsid w:val="5DC14F74"/>
    <w:rsid w:val="5DFD43DA"/>
    <w:rsid w:val="5E1513D7"/>
    <w:rsid w:val="5E262ED3"/>
    <w:rsid w:val="5E3E0F8E"/>
    <w:rsid w:val="5E4B33D7"/>
    <w:rsid w:val="5E640484"/>
    <w:rsid w:val="5E64313A"/>
    <w:rsid w:val="5E7269BF"/>
    <w:rsid w:val="5E7D3797"/>
    <w:rsid w:val="5E8E5782"/>
    <w:rsid w:val="5E915EB1"/>
    <w:rsid w:val="5EBB672C"/>
    <w:rsid w:val="5EBE2E76"/>
    <w:rsid w:val="5EC0615D"/>
    <w:rsid w:val="5EF67DCA"/>
    <w:rsid w:val="5EFF0C1E"/>
    <w:rsid w:val="5F12760E"/>
    <w:rsid w:val="5F13536F"/>
    <w:rsid w:val="5F1B2C79"/>
    <w:rsid w:val="5F386397"/>
    <w:rsid w:val="5F416C48"/>
    <w:rsid w:val="5F5A448C"/>
    <w:rsid w:val="5F6C34B0"/>
    <w:rsid w:val="5FA87A24"/>
    <w:rsid w:val="5FBF236A"/>
    <w:rsid w:val="5FCC63C9"/>
    <w:rsid w:val="5FDD73DE"/>
    <w:rsid w:val="60017A59"/>
    <w:rsid w:val="601355A2"/>
    <w:rsid w:val="602A57D2"/>
    <w:rsid w:val="603F745A"/>
    <w:rsid w:val="60517354"/>
    <w:rsid w:val="60611DB2"/>
    <w:rsid w:val="6061531F"/>
    <w:rsid w:val="607450E3"/>
    <w:rsid w:val="609878BB"/>
    <w:rsid w:val="60996D4E"/>
    <w:rsid w:val="60A635E2"/>
    <w:rsid w:val="60A709A7"/>
    <w:rsid w:val="60BF6EC0"/>
    <w:rsid w:val="60D644E8"/>
    <w:rsid w:val="60D85108"/>
    <w:rsid w:val="60DA4BB9"/>
    <w:rsid w:val="6118561D"/>
    <w:rsid w:val="61232F71"/>
    <w:rsid w:val="61536895"/>
    <w:rsid w:val="615B0045"/>
    <w:rsid w:val="615B223D"/>
    <w:rsid w:val="616C7377"/>
    <w:rsid w:val="61703245"/>
    <w:rsid w:val="61770381"/>
    <w:rsid w:val="617F5845"/>
    <w:rsid w:val="6192398B"/>
    <w:rsid w:val="61963226"/>
    <w:rsid w:val="61BE3909"/>
    <w:rsid w:val="61C11E20"/>
    <w:rsid w:val="61D0162F"/>
    <w:rsid w:val="61D76FED"/>
    <w:rsid w:val="61DF7FC3"/>
    <w:rsid w:val="61E41217"/>
    <w:rsid w:val="61E464E2"/>
    <w:rsid w:val="61E607BC"/>
    <w:rsid w:val="620F5AE7"/>
    <w:rsid w:val="62124A38"/>
    <w:rsid w:val="62124DF0"/>
    <w:rsid w:val="62131454"/>
    <w:rsid w:val="622319F4"/>
    <w:rsid w:val="622514C6"/>
    <w:rsid w:val="62254718"/>
    <w:rsid w:val="622D3A4F"/>
    <w:rsid w:val="623D3C9C"/>
    <w:rsid w:val="624B5AF8"/>
    <w:rsid w:val="62582D50"/>
    <w:rsid w:val="625F7078"/>
    <w:rsid w:val="62637765"/>
    <w:rsid w:val="62640C47"/>
    <w:rsid w:val="62787645"/>
    <w:rsid w:val="627922C6"/>
    <w:rsid w:val="627B4C96"/>
    <w:rsid w:val="62855D63"/>
    <w:rsid w:val="628F4E11"/>
    <w:rsid w:val="6299453E"/>
    <w:rsid w:val="62BC596A"/>
    <w:rsid w:val="62CE2C58"/>
    <w:rsid w:val="62D0599C"/>
    <w:rsid w:val="62D11024"/>
    <w:rsid w:val="62FA056C"/>
    <w:rsid w:val="630619A8"/>
    <w:rsid w:val="631C5BB8"/>
    <w:rsid w:val="632153CC"/>
    <w:rsid w:val="63275D94"/>
    <w:rsid w:val="633722B8"/>
    <w:rsid w:val="63575020"/>
    <w:rsid w:val="635C28ED"/>
    <w:rsid w:val="638076D0"/>
    <w:rsid w:val="638C474F"/>
    <w:rsid w:val="638C690C"/>
    <w:rsid w:val="6398428D"/>
    <w:rsid w:val="63C94165"/>
    <w:rsid w:val="63DA328F"/>
    <w:rsid w:val="63DF6BAF"/>
    <w:rsid w:val="63EF0CDD"/>
    <w:rsid w:val="640312B0"/>
    <w:rsid w:val="642E321B"/>
    <w:rsid w:val="64543CE8"/>
    <w:rsid w:val="64862782"/>
    <w:rsid w:val="649D698B"/>
    <w:rsid w:val="649E6F48"/>
    <w:rsid w:val="64A414CC"/>
    <w:rsid w:val="64A801D6"/>
    <w:rsid w:val="64B46C1F"/>
    <w:rsid w:val="64B744BA"/>
    <w:rsid w:val="64C71DD4"/>
    <w:rsid w:val="64CD2DAF"/>
    <w:rsid w:val="64F63D7A"/>
    <w:rsid w:val="65073EBA"/>
    <w:rsid w:val="65105ED2"/>
    <w:rsid w:val="651C3B35"/>
    <w:rsid w:val="651D3619"/>
    <w:rsid w:val="652B0764"/>
    <w:rsid w:val="653B0A8F"/>
    <w:rsid w:val="654C5912"/>
    <w:rsid w:val="65635515"/>
    <w:rsid w:val="656A517C"/>
    <w:rsid w:val="6573055F"/>
    <w:rsid w:val="65925139"/>
    <w:rsid w:val="65B6544C"/>
    <w:rsid w:val="65B655BD"/>
    <w:rsid w:val="65C6168A"/>
    <w:rsid w:val="65D61087"/>
    <w:rsid w:val="65D61224"/>
    <w:rsid w:val="65EA0EC9"/>
    <w:rsid w:val="65EA1389"/>
    <w:rsid w:val="65F81014"/>
    <w:rsid w:val="65FA3837"/>
    <w:rsid w:val="661D6877"/>
    <w:rsid w:val="661E33A1"/>
    <w:rsid w:val="662A759E"/>
    <w:rsid w:val="6639263F"/>
    <w:rsid w:val="665B1416"/>
    <w:rsid w:val="66681A74"/>
    <w:rsid w:val="666C7DB8"/>
    <w:rsid w:val="667635B3"/>
    <w:rsid w:val="6678632E"/>
    <w:rsid w:val="66835488"/>
    <w:rsid w:val="668A09DC"/>
    <w:rsid w:val="668F53C6"/>
    <w:rsid w:val="66922F5D"/>
    <w:rsid w:val="66951501"/>
    <w:rsid w:val="66953452"/>
    <w:rsid w:val="66A919AE"/>
    <w:rsid w:val="66BA2568"/>
    <w:rsid w:val="66BB53F1"/>
    <w:rsid w:val="66BE17E8"/>
    <w:rsid w:val="66D71D3F"/>
    <w:rsid w:val="66DE18F4"/>
    <w:rsid w:val="66E2224E"/>
    <w:rsid w:val="66E46FE6"/>
    <w:rsid w:val="66E66DBC"/>
    <w:rsid w:val="66ED1B5E"/>
    <w:rsid w:val="66F8145B"/>
    <w:rsid w:val="66FD4013"/>
    <w:rsid w:val="66FF7690"/>
    <w:rsid w:val="6701446D"/>
    <w:rsid w:val="67146BBE"/>
    <w:rsid w:val="671B20C3"/>
    <w:rsid w:val="671F77CE"/>
    <w:rsid w:val="6738738D"/>
    <w:rsid w:val="673A233C"/>
    <w:rsid w:val="67704235"/>
    <w:rsid w:val="677E1D07"/>
    <w:rsid w:val="677E22A6"/>
    <w:rsid w:val="677F4266"/>
    <w:rsid w:val="67982517"/>
    <w:rsid w:val="679948ED"/>
    <w:rsid w:val="67A63BA4"/>
    <w:rsid w:val="67C57007"/>
    <w:rsid w:val="67C87424"/>
    <w:rsid w:val="67CD1228"/>
    <w:rsid w:val="67D36D17"/>
    <w:rsid w:val="67E42B75"/>
    <w:rsid w:val="67E471CD"/>
    <w:rsid w:val="68023865"/>
    <w:rsid w:val="68224A84"/>
    <w:rsid w:val="682C60ED"/>
    <w:rsid w:val="6844535B"/>
    <w:rsid w:val="68585985"/>
    <w:rsid w:val="68612E35"/>
    <w:rsid w:val="68627552"/>
    <w:rsid w:val="68817975"/>
    <w:rsid w:val="688A2BAA"/>
    <w:rsid w:val="68A419C8"/>
    <w:rsid w:val="68AE67A4"/>
    <w:rsid w:val="68C14BFD"/>
    <w:rsid w:val="68CE5A9D"/>
    <w:rsid w:val="68D81B15"/>
    <w:rsid w:val="68EC5942"/>
    <w:rsid w:val="68F14A3E"/>
    <w:rsid w:val="68FC3F4D"/>
    <w:rsid w:val="69101277"/>
    <w:rsid w:val="69125CE3"/>
    <w:rsid w:val="69241EA8"/>
    <w:rsid w:val="692C2B78"/>
    <w:rsid w:val="69523120"/>
    <w:rsid w:val="695A741B"/>
    <w:rsid w:val="696C0823"/>
    <w:rsid w:val="696E1D93"/>
    <w:rsid w:val="697239BD"/>
    <w:rsid w:val="69924E9B"/>
    <w:rsid w:val="69C63E30"/>
    <w:rsid w:val="69D740C3"/>
    <w:rsid w:val="69DB74E2"/>
    <w:rsid w:val="69DC6A1A"/>
    <w:rsid w:val="69E249D9"/>
    <w:rsid w:val="69F318A2"/>
    <w:rsid w:val="6A183417"/>
    <w:rsid w:val="6A3E0B58"/>
    <w:rsid w:val="6A4E0998"/>
    <w:rsid w:val="6A6727AD"/>
    <w:rsid w:val="6A6D190E"/>
    <w:rsid w:val="6A71560D"/>
    <w:rsid w:val="6A792EB3"/>
    <w:rsid w:val="6A7E25D2"/>
    <w:rsid w:val="6A856E5A"/>
    <w:rsid w:val="6A8C12A9"/>
    <w:rsid w:val="6A9B2434"/>
    <w:rsid w:val="6A9F4DC8"/>
    <w:rsid w:val="6AA6131A"/>
    <w:rsid w:val="6AB405BB"/>
    <w:rsid w:val="6AE97EC8"/>
    <w:rsid w:val="6AF71398"/>
    <w:rsid w:val="6B4A6268"/>
    <w:rsid w:val="6B816D66"/>
    <w:rsid w:val="6B8B0295"/>
    <w:rsid w:val="6B9C3F2C"/>
    <w:rsid w:val="6BBA6164"/>
    <w:rsid w:val="6BBB3087"/>
    <w:rsid w:val="6BC67848"/>
    <w:rsid w:val="6BD44BB3"/>
    <w:rsid w:val="6BDA119C"/>
    <w:rsid w:val="6BFB0D95"/>
    <w:rsid w:val="6C340601"/>
    <w:rsid w:val="6C43363D"/>
    <w:rsid w:val="6C5075B9"/>
    <w:rsid w:val="6C5C4CC9"/>
    <w:rsid w:val="6C797098"/>
    <w:rsid w:val="6C8B495E"/>
    <w:rsid w:val="6C9D1A75"/>
    <w:rsid w:val="6CB42276"/>
    <w:rsid w:val="6CF9016E"/>
    <w:rsid w:val="6D1746E7"/>
    <w:rsid w:val="6D333688"/>
    <w:rsid w:val="6D472C27"/>
    <w:rsid w:val="6D475F39"/>
    <w:rsid w:val="6D4D44BE"/>
    <w:rsid w:val="6D6F5D6F"/>
    <w:rsid w:val="6D7355AB"/>
    <w:rsid w:val="6D886724"/>
    <w:rsid w:val="6D8F0E1B"/>
    <w:rsid w:val="6D995966"/>
    <w:rsid w:val="6DBD27A4"/>
    <w:rsid w:val="6DC67235"/>
    <w:rsid w:val="6DD653A2"/>
    <w:rsid w:val="6DDB6BF8"/>
    <w:rsid w:val="6DE164FA"/>
    <w:rsid w:val="6E094A7E"/>
    <w:rsid w:val="6E1D3840"/>
    <w:rsid w:val="6E3A4901"/>
    <w:rsid w:val="6E4377E9"/>
    <w:rsid w:val="6E4627D0"/>
    <w:rsid w:val="6E4749FA"/>
    <w:rsid w:val="6E620A1E"/>
    <w:rsid w:val="6E6D1474"/>
    <w:rsid w:val="6E6D78F1"/>
    <w:rsid w:val="6E770199"/>
    <w:rsid w:val="6E81511E"/>
    <w:rsid w:val="6E945101"/>
    <w:rsid w:val="6EBA30BA"/>
    <w:rsid w:val="6ECC6814"/>
    <w:rsid w:val="6EFA2647"/>
    <w:rsid w:val="6EFF4CEE"/>
    <w:rsid w:val="6F0C129E"/>
    <w:rsid w:val="6F1308FA"/>
    <w:rsid w:val="6F160F8F"/>
    <w:rsid w:val="6F20186C"/>
    <w:rsid w:val="6F207C46"/>
    <w:rsid w:val="6F321FFF"/>
    <w:rsid w:val="6F356D8F"/>
    <w:rsid w:val="6F3E3D5B"/>
    <w:rsid w:val="6F6221B0"/>
    <w:rsid w:val="6F750E17"/>
    <w:rsid w:val="6F78487B"/>
    <w:rsid w:val="6F826347"/>
    <w:rsid w:val="6F8567D1"/>
    <w:rsid w:val="6F8B1B00"/>
    <w:rsid w:val="6F952FD2"/>
    <w:rsid w:val="6FB079C3"/>
    <w:rsid w:val="6FBA22A3"/>
    <w:rsid w:val="6FC26BC3"/>
    <w:rsid w:val="6FC37993"/>
    <w:rsid w:val="6FC665F5"/>
    <w:rsid w:val="6FE41EED"/>
    <w:rsid w:val="6FE93BBF"/>
    <w:rsid w:val="6FF20A01"/>
    <w:rsid w:val="6FFE6832"/>
    <w:rsid w:val="700E10DE"/>
    <w:rsid w:val="70156850"/>
    <w:rsid w:val="701C0EC7"/>
    <w:rsid w:val="702848E3"/>
    <w:rsid w:val="7067284A"/>
    <w:rsid w:val="708E418B"/>
    <w:rsid w:val="709E75E4"/>
    <w:rsid w:val="70AA7C00"/>
    <w:rsid w:val="70BA1BC4"/>
    <w:rsid w:val="70C908B9"/>
    <w:rsid w:val="70FD654E"/>
    <w:rsid w:val="71121436"/>
    <w:rsid w:val="713331EC"/>
    <w:rsid w:val="713E3D80"/>
    <w:rsid w:val="713F02ED"/>
    <w:rsid w:val="714B5766"/>
    <w:rsid w:val="715158CC"/>
    <w:rsid w:val="715E20F4"/>
    <w:rsid w:val="71707962"/>
    <w:rsid w:val="71740600"/>
    <w:rsid w:val="717E571A"/>
    <w:rsid w:val="718441E0"/>
    <w:rsid w:val="7188426E"/>
    <w:rsid w:val="71C4286A"/>
    <w:rsid w:val="71C9069B"/>
    <w:rsid w:val="71CE5DC4"/>
    <w:rsid w:val="71E85E2B"/>
    <w:rsid w:val="71E92FC2"/>
    <w:rsid w:val="72063AFE"/>
    <w:rsid w:val="722274DC"/>
    <w:rsid w:val="72257986"/>
    <w:rsid w:val="72281F4A"/>
    <w:rsid w:val="72290727"/>
    <w:rsid w:val="723531D4"/>
    <w:rsid w:val="723D1258"/>
    <w:rsid w:val="724E51F2"/>
    <w:rsid w:val="72652083"/>
    <w:rsid w:val="726B72AF"/>
    <w:rsid w:val="728140D0"/>
    <w:rsid w:val="72A927E8"/>
    <w:rsid w:val="72AB0B35"/>
    <w:rsid w:val="72AE1569"/>
    <w:rsid w:val="72B96EEA"/>
    <w:rsid w:val="72BF1AAC"/>
    <w:rsid w:val="72C376A1"/>
    <w:rsid w:val="72D0391E"/>
    <w:rsid w:val="72D5690B"/>
    <w:rsid w:val="72D92214"/>
    <w:rsid w:val="72F5621A"/>
    <w:rsid w:val="730C21FB"/>
    <w:rsid w:val="731E7BEA"/>
    <w:rsid w:val="73281071"/>
    <w:rsid w:val="732B05B0"/>
    <w:rsid w:val="732C54EF"/>
    <w:rsid w:val="732E06D4"/>
    <w:rsid w:val="733C2F98"/>
    <w:rsid w:val="733D7A85"/>
    <w:rsid w:val="7358461B"/>
    <w:rsid w:val="737429F9"/>
    <w:rsid w:val="7376536F"/>
    <w:rsid w:val="73996C10"/>
    <w:rsid w:val="739B5778"/>
    <w:rsid w:val="73A0294E"/>
    <w:rsid w:val="73AE1CCC"/>
    <w:rsid w:val="73C40ED7"/>
    <w:rsid w:val="73D71568"/>
    <w:rsid w:val="73FE316B"/>
    <w:rsid w:val="7410792D"/>
    <w:rsid w:val="743B4F94"/>
    <w:rsid w:val="744E6BE4"/>
    <w:rsid w:val="74607391"/>
    <w:rsid w:val="747876F5"/>
    <w:rsid w:val="747B4DD8"/>
    <w:rsid w:val="748770FE"/>
    <w:rsid w:val="74B827AA"/>
    <w:rsid w:val="74C34788"/>
    <w:rsid w:val="74C3772C"/>
    <w:rsid w:val="74D8599F"/>
    <w:rsid w:val="74DC56ED"/>
    <w:rsid w:val="74E01FF5"/>
    <w:rsid w:val="74E573C2"/>
    <w:rsid w:val="74F84937"/>
    <w:rsid w:val="75022BD3"/>
    <w:rsid w:val="751B3BD1"/>
    <w:rsid w:val="75210A3B"/>
    <w:rsid w:val="752D2BD6"/>
    <w:rsid w:val="7545545B"/>
    <w:rsid w:val="7546793F"/>
    <w:rsid w:val="75C46D8A"/>
    <w:rsid w:val="75DA7B29"/>
    <w:rsid w:val="760257A7"/>
    <w:rsid w:val="76135732"/>
    <w:rsid w:val="76327BC8"/>
    <w:rsid w:val="764A312E"/>
    <w:rsid w:val="76580B08"/>
    <w:rsid w:val="76921919"/>
    <w:rsid w:val="76960B4D"/>
    <w:rsid w:val="76B92956"/>
    <w:rsid w:val="76BC76AD"/>
    <w:rsid w:val="76C70DF2"/>
    <w:rsid w:val="76CD3A42"/>
    <w:rsid w:val="76D34056"/>
    <w:rsid w:val="76E31C37"/>
    <w:rsid w:val="77035DCE"/>
    <w:rsid w:val="771506E1"/>
    <w:rsid w:val="771A7FCB"/>
    <w:rsid w:val="77245883"/>
    <w:rsid w:val="772E5256"/>
    <w:rsid w:val="774C262F"/>
    <w:rsid w:val="774D1FC5"/>
    <w:rsid w:val="7750703D"/>
    <w:rsid w:val="77583EDE"/>
    <w:rsid w:val="777B6890"/>
    <w:rsid w:val="77A271B1"/>
    <w:rsid w:val="77B05ECD"/>
    <w:rsid w:val="77C778B6"/>
    <w:rsid w:val="77CC4784"/>
    <w:rsid w:val="77D74ED2"/>
    <w:rsid w:val="77E01AF5"/>
    <w:rsid w:val="780A0190"/>
    <w:rsid w:val="780E0039"/>
    <w:rsid w:val="78110B19"/>
    <w:rsid w:val="78140CAB"/>
    <w:rsid w:val="78144176"/>
    <w:rsid w:val="783F24ED"/>
    <w:rsid w:val="786E5216"/>
    <w:rsid w:val="7870721E"/>
    <w:rsid w:val="78763837"/>
    <w:rsid w:val="787F6197"/>
    <w:rsid w:val="78842137"/>
    <w:rsid w:val="78895F17"/>
    <w:rsid w:val="78BB3A32"/>
    <w:rsid w:val="78E47484"/>
    <w:rsid w:val="78E77667"/>
    <w:rsid w:val="78FF14C8"/>
    <w:rsid w:val="793D3E52"/>
    <w:rsid w:val="79456F4E"/>
    <w:rsid w:val="795B28F6"/>
    <w:rsid w:val="79765706"/>
    <w:rsid w:val="797F15C2"/>
    <w:rsid w:val="798E73D9"/>
    <w:rsid w:val="79AE6F36"/>
    <w:rsid w:val="79AF1FB8"/>
    <w:rsid w:val="79C00178"/>
    <w:rsid w:val="79C46870"/>
    <w:rsid w:val="79E339B8"/>
    <w:rsid w:val="7A1311EC"/>
    <w:rsid w:val="7A21443D"/>
    <w:rsid w:val="7A273756"/>
    <w:rsid w:val="7A2A3D48"/>
    <w:rsid w:val="7A2C6868"/>
    <w:rsid w:val="7A3A74BE"/>
    <w:rsid w:val="7A583BCE"/>
    <w:rsid w:val="7A5A3C2A"/>
    <w:rsid w:val="7A5A7C4E"/>
    <w:rsid w:val="7A616F8B"/>
    <w:rsid w:val="7A6A1BDC"/>
    <w:rsid w:val="7AA26780"/>
    <w:rsid w:val="7AB56EF6"/>
    <w:rsid w:val="7AB80AD2"/>
    <w:rsid w:val="7AB81A5F"/>
    <w:rsid w:val="7AB87924"/>
    <w:rsid w:val="7ABF40BD"/>
    <w:rsid w:val="7AEA55B2"/>
    <w:rsid w:val="7B087594"/>
    <w:rsid w:val="7B0E0134"/>
    <w:rsid w:val="7B0E396A"/>
    <w:rsid w:val="7B112D62"/>
    <w:rsid w:val="7B2941E5"/>
    <w:rsid w:val="7B5F72F8"/>
    <w:rsid w:val="7B6C23C8"/>
    <w:rsid w:val="7BB73170"/>
    <w:rsid w:val="7BC61D8C"/>
    <w:rsid w:val="7BD53E7F"/>
    <w:rsid w:val="7C334626"/>
    <w:rsid w:val="7C350F61"/>
    <w:rsid w:val="7C4129D4"/>
    <w:rsid w:val="7C4E5833"/>
    <w:rsid w:val="7C8169DE"/>
    <w:rsid w:val="7C9B1899"/>
    <w:rsid w:val="7C9E3948"/>
    <w:rsid w:val="7CA35B37"/>
    <w:rsid w:val="7CAF11AD"/>
    <w:rsid w:val="7CCB1081"/>
    <w:rsid w:val="7D0567B4"/>
    <w:rsid w:val="7D0C2A85"/>
    <w:rsid w:val="7D3407FE"/>
    <w:rsid w:val="7D394E5E"/>
    <w:rsid w:val="7D40750E"/>
    <w:rsid w:val="7D5B5260"/>
    <w:rsid w:val="7D653353"/>
    <w:rsid w:val="7D6D6420"/>
    <w:rsid w:val="7D8156F1"/>
    <w:rsid w:val="7D8D68FB"/>
    <w:rsid w:val="7DAC15B6"/>
    <w:rsid w:val="7DAD2A89"/>
    <w:rsid w:val="7DD32F7D"/>
    <w:rsid w:val="7DE04A1D"/>
    <w:rsid w:val="7DE82B69"/>
    <w:rsid w:val="7DE85C59"/>
    <w:rsid w:val="7DFF00A7"/>
    <w:rsid w:val="7E024BEA"/>
    <w:rsid w:val="7E0D2369"/>
    <w:rsid w:val="7E1A79A8"/>
    <w:rsid w:val="7E1B387F"/>
    <w:rsid w:val="7E2F4FDE"/>
    <w:rsid w:val="7E407531"/>
    <w:rsid w:val="7E4739A5"/>
    <w:rsid w:val="7E54522A"/>
    <w:rsid w:val="7E5743F5"/>
    <w:rsid w:val="7E861AF7"/>
    <w:rsid w:val="7E8E231D"/>
    <w:rsid w:val="7EA53E9F"/>
    <w:rsid w:val="7EBB2EE5"/>
    <w:rsid w:val="7EDB44AB"/>
    <w:rsid w:val="7EF04922"/>
    <w:rsid w:val="7EF27081"/>
    <w:rsid w:val="7EFB0A3E"/>
    <w:rsid w:val="7F070740"/>
    <w:rsid w:val="7F070A56"/>
    <w:rsid w:val="7F107EAC"/>
    <w:rsid w:val="7F166056"/>
    <w:rsid w:val="7F2F2F82"/>
    <w:rsid w:val="7F2F5694"/>
    <w:rsid w:val="7F3F4BF0"/>
    <w:rsid w:val="7F5838DE"/>
    <w:rsid w:val="7F63705B"/>
    <w:rsid w:val="7F75467E"/>
    <w:rsid w:val="7F773D73"/>
    <w:rsid w:val="7F9E35F7"/>
    <w:rsid w:val="7FAC7643"/>
    <w:rsid w:val="7FB60DD6"/>
    <w:rsid w:val="7FBE5503"/>
    <w:rsid w:val="7FBF2D93"/>
    <w:rsid w:val="7FD65629"/>
    <w:rsid w:val="7FDD5E3F"/>
    <w:rsid w:val="7FFC3A00"/>
    <w:rsid w:val="7FFD220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autoRedefine/>
    <w:qFormat/>
    <w:uiPriority w:val="99"/>
    <w:pPr>
      <w:keepNext/>
      <w:keepLines/>
      <w:spacing w:before="340" w:after="330" w:line="576" w:lineRule="auto"/>
      <w:outlineLvl w:val="0"/>
    </w:pPr>
    <w:rPr>
      <w:b/>
      <w:kern w:val="44"/>
      <w:sz w:val="44"/>
    </w:rPr>
  </w:style>
  <w:style w:type="paragraph" w:styleId="4">
    <w:name w:val="heading 2"/>
    <w:basedOn w:val="1"/>
    <w:next w:val="1"/>
    <w:link w:val="30"/>
    <w:autoRedefine/>
    <w:qFormat/>
    <w:uiPriority w:val="99"/>
    <w:pPr>
      <w:keepNext/>
      <w:keepLines/>
      <w:spacing w:before="260" w:after="260" w:line="413" w:lineRule="auto"/>
      <w:outlineLvl w:val="1"/>
    </w:pPr>
    <w:rPr>
      <w:rFonts w:ascii="Arial" w:hAnsi="Arial" w:eastAsia="黑体"/>
      <w:b/>
      <w:kern w:val="0"/>
      <w:sz w:val="32"/>
      <w:szCs w:val="20"/>
    </w:rPr>
  </w:style>
  <w:style w:type="paragraph" w:styleId="5">
    <w:name w:val="heading 3"/>
    <w:basedOn w:val="1"/>
    <w:next w:val="1"/>
    <w:link w:val="31"/>
    <w:autoRedefine/>
    <w:qFormat/>
    <w:uiPriority w:val="99"/>
    <w:pPr>
      <w:keepNext/>
      <w:keepLines/>
      <w:spacing w:before="260" w:after="260" w:line="416" w:lineRule="auto"/>
      <w:outlineLvl w:val="2"/>
    </w:pPr>
    <w:rPr>
      <w:b/>
      <w:bCs/>
      <w:sz w:val="32"/>
      <w:szCs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200" w:firstLineChars="200"/>
    </w:pPr>
  </w:style>
  <w:style w:type="paragraph" w:styleId="6">
    <w:name w:val="Document Map"/>
    <w:basedOn w:val="1"/>
    <w:link w:val="56"/>
    <w:autoRedefine/>
    <w:semiHidden/>
    <w:unhideWhenUsed/>
    <w:qFormat/>
    <w:locked/>
    <w:uiPriority w:val="99"/>
    <w:rPr>
      <w:rFonts w:ascii="宋体"/>
      <w:sz w:val="18"/>
      <w:szCs w:val="18"/>
    </w:rPr>
  </w:style>
  <w:style w:type="paragraph" w:styleId="7">
    <w:name w:val="annotation text"/>
    <w:basedOn w:val="1"/>
    <w:link w:val="34"/>
    <w:autoRedefine/>
    <w:qFormat/>
    <w:uiPriority w:val="99"/>
    <w:pPr>
      <w:jc w:val="left"/>
    </w:pPr>
    <w:rPr>
      <w:rFonts w:eastAsia="仿宋"/>
      <w:sz w:val="30"/>
    </w:rPr>
  </w:style>
  <w:style w:type="paragraph" w:styleId="8">
    <w:name w:val="Body Text"/>
    <w:basedOn w:val="1"/>
    <w:link w:val="35"/>
    <w:autoRedefine/>
    <w:qFormat/>
    <w:uiPriority w:val="99"/>
    <w:pPr>
      <w:jc w:val="center"/>
    </w:pPr>
    <w:rPr>
      <w:rFonts w:ascii="宋体"/>
      <w:b/>
      <w:sz w:val="44"/>
    </w:rPr>
  </w:style>
  <w:style w:type="paragraph" w:styleId="9">
    <w:name w:val="Body Text Indent"/>
    <w:basedOn w:val="1"/>
    <w:next w:val="10"/>
    <w:link w:val="36"/>
    <w:autoRedefine/>
    <w:qFormat/>
    <w:uiPriority w:val="99"/>
    <w:pPr>
      <w:spacing w:after="120"/>
      <w:ind w:left="420" w:leftChars="200"/>
    </w:pPr>
    <w:rPr>
      <w:sz w:val="20"/>
      <w:szCs w:val="20"/>
    </w:rPr>
  </w:style>
  <w:style w:type="paragraph" w:styleId="10">
    <w:name w:val="envelope return"/>
    <w:basedOn w:val="1"/>
    <w:autoRedefine/>
    <w:qFormat/>
    <w:uiPriority w:val="99"/>
    <w:pPr>
      <w:snapToGrid w:val="0"/>
    </w:pPr>
    <w:rPr>
      <w:rFonts w:ascii="Arial" w:hAnsi="Arial"/>
    </w:rPr>
  </w:style>
  <w:style w:type="paragraph" w:styleId="11">
    <w:name w:val="toc 3"/>
    <w:basedOn w:val="1"/>
    <w:next w:val="1"/>
    <w:autoRedefine/>
    <w:qFormat/>
    <w:uiPriority w:val="99"/>
    <w:pPr>
      <w:ind w:left="840" w:leftChars="400"/>
    </w:pPr>
  </w:style>
  <w:style w:type="paragraph" w:styleId="12">
    <w:name w:val="Plain Text"/>
    <w:basedOn w:val="1"/>
    <w:link w:val="54"/>
    <w:autoRedefine/>
    <w:qFormat/>
    <w:locked/>
    <w:uiPriority w:val="99"/>
    <w:rPr>
      <w:rFonts w:ascii="宋体" w:hAnsi="Courier New"/>
      <w:szCs w:val="20"/>
    </w:rPr>
  </w:style>
  <w:style w:type="paragraph" w:styleId="13">
    <w:name w:val="Date"/>
    <w:basedOn w:val="1"/>
    <w:next w:val="1"/>
    <w:link w:val="55"/>
    <w:autoRedefine/>
    <w:qFormat/>
    <w:locked/>
    <w:uiPriority w:val="99"/>
    <w:pPr>
      <w:ind w:left="100" w:leftChars="2500"/>
    </w:pPr>
  </w:style>
  <w:style w:type="paragraph" w:styleId="14">
    <w:name w:val="Body Text Indent 2"/>
    <w:basedOn w:val="1"/>
    <w:link w:val="37"/>
    <w:autoRedefine/>
    <w:qFormat/>
    <w:uiPriority w:val="99"/>
    <w:pPr>
      <w:spacing w:line="580" w:lineRule="exact"/>
      <w:ind w:firstLine="640"/>
    </w:pPr>
    <w:rPr>
      <w:rFonts w:ascii="仿宋_GB2312" w:eastAsia="仿宋_GB2312"/>
      <w:color w:val="000000"/>
      <w:sz w:val="32"/>
      <w:szCs w:val="20"/>
    </w:rPr>
  </w:style>
  <w:style w:type="paragraph" w:styleId="15">
    <w:name w:val="Balloon Text"/>
    <w:basedOn w:val="1"/>
    <w:link w:val="38"/>
    <w:autoRedefine/>
    <w:qFormat/>
    <w:uiPriority w:val="99"/>
    <w:rPr>
      <w:sz w:val="18"/>
      <w:szCs w:val="18"/>
    </w:rPr>
  </w:style>
  <w:style w:type="paragraph" w:styleId="16">
    <w:name w:val="footer"/>
    <w:basedOn w:val="1"/>
    <w:link w:val="39"/>
    <w:autoRedefine/>
    <w:qFormat/>
    <w:uiPriority w:val="0"/>
    <w:pPr>
      <w:tabs>
        <w:tab w:val="center" w:pos="4153"/>
        <w:tab w:val="right" w:pos="8306"/>
      </w:tabs>
      <w:snapToGrid w:val="0"/>
      <w:jc w:val="left"/>
    </w:pPr>
    <w:rPr>
      <w:sz w:val="18"/>
      <w:szCs w:val="18"/>
    </w:rPr>
  </w:style>
  <w:style w:type="paragraph" w:styleId="17">
    <w:name w:val="header"/>
    <w:basedOn w:val="1"/>
    <w:link w:val="40"/>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widowControl/>
      <w:spacing w:after="100" w:line="276" w:lineRule="auto"/>
      <w:jc w:val="left"/>
    </w:pPr>
    <w:rPr>
      <w:rFonts w:ascii="Calibri" w:hAnsi="Calibri"/>
      <w:kern w:val="0"/>
      <w:sz w:val="22"/>
      <w:szCs w:val="22"/>
    </w:rPr>
  </w:style>
  <w:style w:type="paragraph" w:styleId="19">
    <w:name w:val="toc 2"/>
    <w:basedOn w:val="1"/>
    <w:next w:val="1"/>
    <w:autoRedefine/>
    <w:qFormat/>
    <w:uiPriority w:val="39"/>
    <w:pPr>
      <w:ind w:left="420" w:leftChars="200"/>
    </w:pPr>
  </w:style>
  <w:style w:type="paragraph" w:styleId="2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1">
    <w:name w:val="annotation subject"/>
    <w:basedOn w:val="7"/>
    <w:next w:val="7"/>
    <w:link w:val="57"/>
    <w:autoRedefine/>
    <w:semiHidden/>
    <w:unhideWhenUsed/>
    <w:qFormat/>
    <w:locked/>
    <w:uiPriority w:val="99"/>
    <w:rPr>
      <w:rFonts w:eastAsia="宋体"/>
      <w:b/>
      <w:bCs/>
      <w:sz w:val="21"/>
    </w:rPr>
  </w:style>
  <w:style w:type="paragraph" w:styleId="22">
    <w:name w:val="Body Text First Indent 2"/>
    <w:basedOn w:val="9"/>
    <w:link w:val="41"/>
    <w:qFormat/>
    <w:uiPriority w:val="99"/>
    <w:pPr>
      <w:ind w:firstLine="420" w:firstLineChars="200"/>
    </w:pPr>
  </w:style>
  <w:style w:type="table" w:styleId="24">
    <w:name w:val="Table Grid"/>
    <w:basedOn w:val="23"/>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autoRedefine/>
    <w:qFormat/>
    <w:uiPriority w:val="0"/>
    <w:rPr>
      <w:rFonts w:cs="Times New Roman"/>
    </w:rPr>
  </w:style>
  <w:style w:type="character" w:styleId="27">
    <w:name w:val="Emphasis"/>
    <w:basedOn w:val="25"/>
    <w:autoRedefine/>
    <w:qFormat/>
    <w:locked/>
    <w:uiPriority w:val="20"/>
    <w:rPr>
      <w:i/>
    </w:rPr>
  </w:style>
  <w:style w:type="character" w:styleId="28">
    <w:name w:val="Hyperlink"/>
    <w:basedOn w:val="25"/>
    <w:autoRedefine/>
    <w:qFormat/>
    <w:uiPriority w:val="99"/>
    <w:rPr>
      <w:rFonts w:ascii="Times New Roman" w:hAnsi="Times New Roman" w:eastAsia="宋体" w:cs="Times New Roman"/>
      <w:color w:val="0000FF"/>
      <w:u w:val="single"/>
    </w:rPr>
  </w:style>
  <w:style w:type="character" w:styleId="29">
    <w:name w:val="annotation reference"/>
    <w:basedOn w:val="25"/>
    <w:autoRedefine/>
    <w:semiHidden/>
    <w:unhideWhenUsed/>
    <w:qFormat/>
    <w:locked/>
    <w:uiPriority w:val="99"/>
    <w:rPr>
      <w:sz w:val="21"/>
      <w:szCs w:val="21"/>
    </w:rPr>
  </w:style>
  <w:style w:type="character" w:customStyle="1" w:styleId="30">
    <w:name w:val="标题 2 Char"/>
    <w:basedOn w:val="25"/>
    <w:link w:val="4"/>
    <w:autoRedefine/>
    <w:qFormat/>
    <w:locked/>
    <w:uiPriority w:val="99"/>
    <w:rPr>
      <w:rFonts w:ascii="Arial" w:hAnsi="Arial" w:eastAsia="黑体" w:cs="Times New Roman"/>
      <w:b/>
      <w:sz w:val="32"/>
    </w:rPr>
  </w:style>
  <w:style w:type="character" w:customStyle="1" w:styleId="31">
    <w:name w:val="标题 3 Char"/>
    <w:basedOn w:val="25"/>
    <w:link w:val="5"/>
    <w:autoRedefine/>
    <w:semiHidden/>
    <w:qFormat/>
    <w:locked/>
    <w:uiPriority w:val="99"/>
    <w:rPr>
      <w:rFonts w:ascii="Times New Roman" w:hAnsi="Times New Roman" w:cs="Times New Roman"/>
      <w:b/>
      <w:bCs/>
      <w:sz w:val="32"/>
      <w:szCs w:val="32"/>
    </w:rPr>
  </w:style>
  <w:style w:type="paragraph" w:customStyle="1" w:styleId="32">
    <w:name w:val="Normal Indent1"/>
    <w:autoRedefine/>
    <w:qFormat/>
    <w:uiPriority w:val="0"/>
    <w:pPr>
      <w:widowControl w:val="0"/>
      <w:adjustRightInd w:val="0"/>
      <w:spacing w:line="360" w:lineRule="atLeast"/>
      <w:ind w:firstLine="420"/>
      <w:textAlignment w:val="baseline"/>
    </w:pPr>
    <w:rPr>
      <w:rFonts w:ascii="Times New Roman" w:hAnsi="Times New Roman" w:eastAsia="宋体" w:cs="宋体"/>
      <w:sz w:val="25"/>
      <w:lang w:val="en-US" w:eastAsia="zh-CN" w:bidi="ar-SA"/>
    </w:rPr>
  </w:style>
  <w:style w:type="character" w:customStyle="1" w:styleId="33">
    <w:name w:val="标题 1 Char"/>
    <w:basedOn w:val="25"/>
    <w:link w:val="3"/>
    <w:autoRedefine/>
    <w:qFormat/>
    <w:locked/>
    <w:uiPriority w:val="99"/>
    <w:rPr>
      <w:rFonts w:ascii="Times New Roman" w:hAnsi="Times New Roman" w:cs="Times New Roman"/>
      <w:b/>
      <w:bCs/>
      <w:kern w:val="44"/>
      <w:sz w:val="44"/>
      <w:szCs w:val="44"/>
    </w:rPr>
  </w:style>
  <w:style w:type="character" w:customStyle="1" w:styleId="34">
    <w:name w:val="批注文字 Char"/>
    <w:basedOn w:val="25"/>
    <w:link w:val="7"/>
    <w:autoRedefine/>
    <w:semiHidden/>
    <w:qFormat/>
    <w:locked/>
    <w:uiPriority w:val="99"/>
    <w:rPr>
      <w:rFonts w:ascii="Times New Roman" w:hAnsi="Times New Roman" w:cs="Times New Roman"/>
      <w:sz w:val="24"/>
      <w:szCs w:val="24"/>
    </w:rPr>
  </w:style>
  <w:style w:type="character" w:customStyle="1" w:styleId="35">
    <w:name w:val="正文文本 Char"/>
    <w:basedOn w:val="25"/>
    <w:link w:val="8"/>
    <w:autoRedefine/>
    <w:semiHidden/>
    <w:qFormat/>
    <w:locked/>
    <w:uiPriority w:val="99"/>
    <w:rPr>
      <w:rFonts w:ascii="Times New Roman" w:hAnsi="Times New Roman" w:cs="Times New Roman"/>
      <w:sz w:val="24"/>
      <w:szCs w:val="24"/>
    </w:rPr>
  </w:style>
  <w:style w:type="character" w:customStyle="1" w:styleId="36">
    <w:name w:val="正文文本缩进 Char"/>
    <w:basedOn w:val="25"/>
    <w:link w:val="9"/>
    <w:autoRedefine/>
    <w:semiHidden/>
    <w:qFormat/>
    <w:locked/>
    <w:uiPriority w:val="99"/>
    <w:rPr>
      <w:rFonts w:ascii="Times New Roman" w:hAnsi="Times New Roman" w:cs="Times New Roman"/>
      <w:sz w:val="24"/>
      <w:szCs w:val="24"/>
    </w:rPr>
  </w:style>
  <w:style w:type="character" w:customStyle="1" w:styleId="37">
    <w:name w:val="正文文本缩进 2 Char"/>
    <w:basedOn w:val="25"/>
    <w:link w:val="14"/>
    <w:autoRedefine/>
    <w:qFormat/>
    <w:locked/>
    <w:uiPriority w:val="99"/>
    <w:rPr>
      <w:rFonts w:ascii="仿宋_GB2312" w:hAnsi="Times New Roman" w:eastAsia="仿宋_GB2312" w:cs="Times New Roman"/>
      <w:color w:val="000000"/>
      <w:kern w:val="2"/>
      <w:sz w:val="32"/>
    </w:rPr>
  </w:style>
  <w:style w:type="character" w:customStyle="1" w:styleId="38">
    <w:name w:val="批注框文本 Char"/>
    <w:basedOn w:val="25"/>
    <w:link w:val="15"/>
    <w:autoRedefine/>
    <w:qFormat/>
    <w:locked/>
    <w:uiPriority w:val="99"/>
    <w:rPr>
      <w:rFonts w:eastAsia="宋体" w:cs="Times New Roman"/>
      <w:kern w:val="2"/>
      <w:sz w:val="18"/>
      <w:szCs w:val="18"/>
    </w:rPr>
  </w:style>
  <w:style w:type="character" w:customStyle="1" w:styleId="39">
    <w:name w:val="页脚 Char"/>
    <w:basedOn w:val="25"/>
    <w:link w:val="16"/>
    <w:autoRedefine/>
    <w:qFormat/>
    <w:locked/>
    <w:uiPriority w:val="0"/>
    <w:rPr>
      <w:rFonts w:cs="Times New Roman"/>
      <w:kern w:val="2"/>
      <w:sz w:val="18"/>
      <w:szCs w:val="18"/>
    </w:rPr>
  </w:style>
  <w:style w:type="character" w:customStyle="1" w:styleId="40">
    <w:name w:val="页眉 Char"/>
    <w:basedOn w:val="25"/>
    <w:link w:val="17"/>
    <w:autoRedefine/>
    <w:qFormat/>
    <w:locked/>
    <w:uiPriority w:val="99"/>
    <w:rPr>
      <w:rFonts w:cs="Times New Roman"/>
      <w:kern w:val="2"/>
      <w:sz w:val="24"/>
      <w:szCs w:val="24"/>
    </w:rPr>
  </w:style>
  <w:style w:type="character" w:customStyle="1" w:styleId="41">
    <w:name w:val="正文首行缩进 2 Char"/>
    <w:basedOn w:val="36"/>
    <w:link w:val="22"/>
    <w:autoRedefine/>
    <w:semiHidden/>
    <w:qFormat/>
    <w:locked/>
    <w:uiPriority w:val="99"/>
  </w:style>
  <w:style w:type="character" w:customStyle="1" w:styleId="42">
    <w:name w:val="font41"/>
    <w:basedOn w:val="25"/>
    <w:autoRedefine/>
    <w:qFormat/>
    <w:uiPriority w:val="99"/>
    <w:rPr>
      <w:rFonts w:ascii="Times New Roman" w:hAnsi="Times New Roman" w:cs="Times New Roman"/>
      <w:b/>
      <w:color w:val="000000"/>
      <w:sz w:val="21"/>
      <w:szCs w:val="21"/>
      <w:u w:val="none"/>
    </w:rPr>
  </w:style>
  <w:style w:type="character" w:customStyle="1" w:styleId="43">
    <w:name w:val="font51"/>
    <w:basedOn w:val="25"/>
    <w:autoRedefine/>
    <w:qFormat/>
    <w:uiPriority w:val="99"/>
    <w:rPr>
      <w:rFonts w:ascii="宋体" w:hAnsi="宋体" w:eastAsia="宋体" w:cs="宋体"/>
      <w:b/>
      <w:color w:val="000000"/>
      <w:sz w:val="21"/>
      <w:szCs w:val="21"/>
      <w:u w:val="none"/>
    </w:rPr>
  </w:style>
  <w:style w:type="character" w:customStyle="1" w:styleId="44">
    <w:name w:val="NormalCharacter"/>
    <w:autoRedefine/>
    <w:semiHidden/>
    <w:qFormat/>
    <w:uiPriority w:val="99"/>
    <w:rPr>
      <w:rFonts w:ascii="Calibri" w:hAnsi="Calibri" w:eastAsia="宋体"/>
      <w:kern w:val="2"/>
      <w:sz w:val="24"/>
      <w:lang w:val="en-US" w:eastAsia="zh-CN"/>
    </w:rPr>
  </w:style>
  <w:style w:type="paragraph" w:customStyle="1" w:styleId="45">
    <w:name w:val="列出段落1"/>
    <w:basedOn w:val="1"/>
    <w:autoRedefine/>
    <w:qFormat/>
    <w:uiPriority w:val="99"/>
    <w:pPr>
      <w:ind w:firstLine="420" w:firstLineChars="200"/>
    </w:pPr>
  </w:style>
  <w:style w:type="paragraph" w:customStyle="1" w:styleId="46">
    <w:name w:val="WPSOffice手动目录 1"/>
    <w:autoRedefine/>
    <w:qFormat/>
    <w:uiPriority w:val="99"/>
    <w:rPr>
      <w:rFonts w:ascii="Times New Roman" w:hAnsi="Times New Roman" w:eastAsia="宋体" w:cs="Times New Roman"/>
      <w:lang w:val="en-US" w:eastAsia="zh-CN" w:bidi="ar-SA"/>
    </w:rPr>
  </w:style>
  <w:style w:type="paragraph" w:customStyle="1" w:styleId="47">
    <w:name w:val="WPSOffice手动目录 2"/>
    <w:autoRedefine/>
    <w:qFormat/>
    <w:uiPriority w:val="99"/>
    <w:pPr>
      <w:ind w:left="200" w:leftChars="200"/>
    </w:pPr>
    <w:rPr>
      <w:rFonts w:ascii="Times New Roman" w:hAnsi="Times New Roman" w:eastAsia="宋体" w:cs="Times New Roman"/>
      <w:lang w:val="en-US" w:eastAsia="zh-CN" w:bidi="ar-SA"/>
    </w:rPr>
  </w:style>
  <w:style w:type="paragraph" w:customStyle="1" w:styleId="48">
    <w:name w:val="TOC 标题1"/>
    <w:basedOn w:val="3"/>
    <w:next w:val="1"/>
    <w:autoRedefine/>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49">
    <w:name w:val="UserStyle_0"/>
    <w:basedOn w:val="1"/>
    <w:autoRedefine/>
    <w:qFormat/>
    <w:uiPriority w:val="99"/>
    <w:pPr>
      <w:textAlignment w:val="baseline"/>
    </w:pPr>
    <w:rPr>
      <w:rFonts w:ascii="宋体" w:hAnsi="Courier New"/>
      <w:szCs w:val="21"/>
    </w:rPr>
  </w:style>
  <w:style w:type="character" w:customStyle="1" w:styleId="50">
    <w:name w:val="font11"/>
    <w:basedOn w:val="25"/>
    <w:autoRedefine/>
    <w:qFormat/>
    <w:uiPriority w:val="99"/>
    <w:rPr>
      <w:rFonts w:ascii="宋体" w:hAnsi="宋体" w:eastAsia="宋体" w:cs="宋体"/>
      <w:b/>
      <w:color w:val="000000"/>
      <w:sz w:val="16"/>
      <w:szCs w:val="16"/>
      <w:u w:val="none"/>
    </w:rPr>
  </w:style>
  <w:style w:type="character" w:customStyle="1" w:styleId="51">
    <w:name w:val="font01"/>
    <w:basedOn w:val="25"/>
    <w:autoRedefine/>
    <w:qFormat/>
    <w:uiPriority w:val="99"/>
    <w:rPr>
      <w:rFonts w:ascii="Tahoma" w:hAnsi="Tahoma" w:cs="Tahoma"/>
      <w:color w:val="000000"/>
      <w:sz w:val="16"/>
      <w:szCs w:val="16"/>
      <w:u w:val="none"/>
    </w:rPr>
  </w:style>
  <w:style w:type="paragraph" w:customStyle="1" w:styleId="52">
    <w:name w:val="正文1"/>
    <w:basedOn w:val="1"/>
    <w:autoRedefine/>
    <w:qFormat/>
    <w:uiPriority w:val="99"/>
    <w:pPr>
      <w:ind w:firstLine="200"/>
    </w:pPr>
    <w:rPr>
      <w:sz w:val="24"/>
    </w:rPr>
  </w:style>
  <w:style w:type="character" w:customStyle="1" w:styleId="53">
    <w:name w:val="font61"/>
    <w:basedOn w:val="25"/>
    <w:autoRedefine/>
    <w:qFormat/>
    <w:uiPriority w:val="99"/>
    <w:rPr>
      <w:rFonts w:ascii="Tahoma" w:hAnsi="Tahoma" w:cs="Tahoma"/>
      <w:color w:val="000000"/>
      <w:sz w:val="16"/>
      <w:szCs w:val="16"/>
      <w:u w:val="none"/>
    </w:rPr>
  </w:style>
  <w:style w:type="character" w:customStyle="1" w:styleId="54">
    <w:name w:val="纯文本 Char"/>
    <w:basedOn w:val="25"/>
    <w:link w:val="12"/>
    <w:autoRedefine/>
    <w:semiHidden/>
    <w:qFormat/>
    <w:locked/>
    <w:uiPriority w:val="99"/>
    <w:rPr>
      <w:rFonts w:ascii="宋体" w:hAnsi="Courier New" w:eastAsia="宋体" w:cs="Times New Roman"/>
      <w:kern w:val="2"/>
      <w:sz w:val="21"/>
      <w:lang w:val="en-US" w:eastAsia="zh-CN" w:bidi="ar-SA"/>
    </w:rPr>
  </w:style>
  <w:style w:type="character" w:customStyle="1" w:styleId="55">
    <w:name w:val="日期 Char"/>
    <w:basedOn w:val="25"/>
    <w:link w:val="13"/>
    <w:autoRedefine/>
    <w:semiHidden/>
    <w:qFormat/>
    <w:locked/>
    <w:uiPriority w:val="99"/>
    <w:rPr>
      <w:rFonts w:ascii="Times New Roman" w:hAnsi="Times New Roman" w:cs="Times New Roman"/>
      <w:sz w:val="24"/>
      <w:szCs w:val="24"/>
    </w:rPr>
  </w:style>
  <w:style w:type="character" w:customStyle="1" w:styleId="56">
    <w:name w:val="文档结构图 Char"/>
    <w:basedOn w:val="25"/>
    <w:link w:val="6"/>
    <w:autoRedefine/>
    <w:semiHidden/>
    <w:qFormat/>
    <w:uiPriority w:val="99"/>
    <w:rPr>
      <w:rFonts w:ascii="宋体" w:hAnsi="Times New Roman"/>
      <w:kern w:val="2"/>
      <w:sz w:val="18"/>
      <w:szCs w:val="18"/>
    </w:rPr>
  </w:style>
  <w:style w:type="character" w:customStyle="1" w:styleId="57">
    <w:name w:val="批注主题 Char"/>
    <w:basedOn w:val="34"/>
    <w:link w:val="21"/>
    <w:autoRedefine/>
    <w:semiHidden/>
    <w:qFormat/>
    <w:uiPriority w:val="99"/>
    <w:rPr>
      <w:b/>
      <w:bCs/>
      <w:kern w:val="2"/>
      <w:sz w:val="21"/>
    </w:rPr>
  </w:style>
  <w:style w:type="paragraph" w:customStyle="1" w:styleId="58">
    <w:name w:val="标题 21"/>
    <w:basedOn w:val="1"/>
    <w:next w:val="1"/>
    <w:autoRedefine/>
    <w:qFormat/>
    <w:uiPriority w:val="0"/>
    <w:pPr>
      <w:keepNext/>
      <w:keepLines/>
      <w:spacing w:before="260" w:after="260" w:line="416" w:lineRule="auto"/>
      <w:outlineLvl w:val="1"/>
    </w:pPr>
    <w:rPr>
      <w:rFonts w:ascii="Arial" w:hAnsi="Arial" w:eastAsia="黑体" w:cs="宋体"/>
      <w:b/>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100</Pages>
  <Words>54235</Words>
  <Characters>55082</Characters>
  <Lines>426</Lines>
  <Paragraphs>120</Paragraphs>
  <TotalTime>192</TotalTime>
  <ScaleCrop>false</ScaleCrop>
  <LinksUpToDate>false</LinksUpToDate>
  <CharactersWithSpaces>55331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2021-01-31T11:26:00Z</dcterms:created>
  <dc:creator>Administrator</dc:creator>
  <cp:lastModifiedBy>Administrator</cp:lastModifiedBy>
  <cp:lastPrinted>2021-01-31T11:42:00Z</cp:lastPrinted>
  <dcterms:modified xsi:type="dcterms:W3CDTF">2024-05-22T07:14:43Z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SaveFontToCloudKey">
    <vt:lpwstr>279409323_btnclosed</vt:lpwstr>
  </property>
  <property fmtid="{D5CDD505-2E9C-101B-9397-08002B2CF9AE}" pid="4" name="ICV">
    <vt:lpwstr>E167A395238D4C14B2A9941283FE1FD0_13</vt:lpwstr>
  </property>
</Properties>
</file>