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default" w:ascii="黑体" w:hAnsi="黑体" w:eastAsia="黑体"/>
          <w:b/>
          <w:sz w:val="72"/>
          <w:szCs w:val="72"/>
          <w:highlight w:val="none"/>
          <w:lang w:val="en-US"/>
        </w:rPr>
      </w:pPr>
      <w:r>
        <w:rPr>
          <w:highlight w:val="none"/>
        </w:rPr>
        <w:pict>
          <v:shape id="图片 7" o:spid="_x0000_s1026" o:spt="75" alt="wc ga" type="#_x0000_t75" style="position:absolute;left:0pt;margin-left:-78.75pt;margin-top:-106.7pt;height:850.15pt;width:596.6pt;z-index:-251656192;mso-width-relative:page;mso-height-relative:page;" filled="f" o:preferrelative="t" stroked="f" coordsize="21600,21600">
            <v:path/>
            <v:fill on="f" focussize="0,0"/>
            <v:stroke on="f" joinstyle="miter"/>
            <v:imagedata r:id="rId6" o:title=""/>
            <o:lock v:ext="edit" aspectratio="t"/>
          </v:shape>
        </w:pict>
      </w:r>
      <w:r>
        <w:rPr>
          <w:rFonts w:hint="eastAsia" w:ascii="黑体" w:hAnsi="黑体" w:eastAsia="黑体"/>
          <w:b/>
          <w:sz w:val="72"/>
          <w:szCs w:val="72"/>
          <w:highlight w:val="none"/>
          <w:lang w:val="en-US" w:eastAsia="zh-CN"/>
        </w:rPr>
        <w:t>zhu</w:t>
      </w:r>
    </w:p>
    <w:p>
      <w:pPr>
        <w:widowControl/>
        <w:jc w:val="center"/>
        <w:rPr>
          <w:rFonts w:ascii="黑体" w:hAnsi="宋体" w:eastAsia="黑体"/>
          <w:color w:val="002060"/>
          <w:sz w:val="72"/>
          <w:szCs w:val="72"/>
          <w:highlight w:val="none"/>
        </w:rPr>
      </w:pPr>
      <w:r>
        <w:rPr>
          <w:highlight w:val="none"/>
        </w:rPr>
        <w:pict>
          <v:shape id="文本框 8" o:spid="_x0000_s1027" o:spt="202" type="#_x0000_t202" style="position:absolute;left:0pt;margin-left:-83.1pt;margin-top:43.25pt;height:166.25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w:t>
                  </w:r>
                  <w:r>
                    <w:rPr>
                      <w:rFonts w:hint="eastAsia" w:ascii="黑体" w:hAnsi="宋体" w:eastAsia="黑体"/>
                      <w:color w:val="FDEFBE"/>
                      <w:sz w:val="96"/>
                      <w:szCs w:val="96"/>
                      <w:lang w:eastAsia="zh-CN"/>
                    </w:rPr>
                    <w:t>工商</w:t>
                  </w:r>
                  <w:r>
                    <w:rPr>
                      <w:rFonts w:hint="eastAsia" w:ascii="黑体" w:hAnsi="宋体" w:eastAsia="黑体"/>
                      <w:color w:val="FDEFBE"/>
                      <w:sz w:val="96"/>
                      <w:szCs w:val="96"/>
                    </w:rPr>
                    <w:t>联合会</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ascii="黑体" w:hAnsi="黑体" w:eastAsia="黑体"/>
          <w:b/>
          <w:sz w:val="72"/>
          <w:szCs w:val="72"/>
          <w:highlight w:val="none"/>
        </w:rPr>
      </w:pPr>
    </w:p>
    <w:p>
      <w:pPr>
        <w:widowControl/>
        <w:jc w:val="center"/>
        <w:rPr>
          <w:rFonts w:hint="eastAsia" w:ascii="黑体" w:hAnsi="黑体" w:eastAsia="黑体"/>
          <w:b/>
          <w:sz w:val="72"/>
          <w:szCs w:val="72"/>
          <w:highlight w:val="none"/>
          <w:lang w:eastAsia="zh-CN"/>
        </w:rPr>
      </w:pPr>
      <w:r>
        <w:rPr>
          <w:rFonts w:hint="eastAsia" w:ascii="楷体" w:hAnsi="楷体" w:eastAsia="楷体" w:cs="楷体"/>
          <w:b/>
          <w:sz w:val="44"/>
          <w:szCs w:val="44"/>
          <w:highlight w:val="none"/>
          <w:lang w:eastAsia="zh-CN"/>
        </w:rPr>
        <w:t>（部门公章）</w:t>
      </w:r>
    </w:p>
    <w:p>
      <w:pPr>
        <w:widowControl/>
        <w:ind w:firstLine="2871" w:firstLineChars="650"/>
        <w:rPr>
          <w:rFonts w:ascii="楷体" w:hAnsi="楷体" w:eastAsia="楷体" w:cs="楷体"/>
          <w:b/>
          <w:sz w:val="44"/>
          <w:szCs w:val="44"/>
          <w:highlight w:val="none"/>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highlight w:val="none"/>
        </w:rPr>
        <w:t>二〇一九年</w:t>
      </w:r>
      <w:r>
        <w:rPr>
          <w:rFonts w:hint="eastAsia" w:ascii="楷体" w:hAnsi="楷体" w:eastAsia="楷体" w:cs="楷体"/>
          <w:b/>
          <w:sz w:val="44"/>
          <w:szCs w:val="44"/>
          <w:highlight w:val="none"/>
          <w:lang w:eastAsia="zh-CN"/>
        </w:rPr>
        <w:t>十一</w:t>
      </w:r>
      <w:r>
        <w:rPr>
          <w:rFonts w:hint="eastAsia" w:ascii="楷体" w:hAnsi="楷体" w:eastAsia="楷体" w:cs="楷体"/>
          <w:b/>
          <w:sz w:val="44"/>
          <w:szCs w:val="44"/>
          <w:highlight w:val="none"/>
        </w:rPr>
        <w:t>月</w:t>
      </w:r>
    </w:p>
    <w:p>
      <w:pPr>
        <w:widowControl/>
        <w:spacing w:after="0" w:line="600" w:lineRule="exact"/>
        <w:jc w:val="left"/>
        <w:rPr>
          <w:rFonts w:ascii="黑体" w:hAnsi="黑体" w:eastAsia="黑体" w:cs="黑体"/>
          <w:sz w:val="32"/>
          <w:szCs w:val="32"/>
          <w:highlight w:val="none"/>
        </w:rPr>
      </w:pPr>
    </w:p>
    <w:p>
      <w:pPr>
        <w:spacing w:beforeLines="200" w:after="0" w:line="1000" w:lineRule="exact"/>
        <w:jc w:val="center"/>
        <w:rPr>
          <w:rFonts w:ascii="黑体" w:eastAsia="黑体"/>
          <w:sz w:val="48"/>
          <w:szCs w:val="48"/>
          <w:highlight w:val="none"/>
        </w:rPr>
      </w:pPr>
      <w:r>
        <w:rPr>
          <w:highlight w:val="none"/>
        </w:rPr>
        <w:pict>
          <v:group id="组合 179" o:spid="_x0000_s1028" o:spt="203" style="position:absolute;left:0pt;margin-left:-80.8pt;margin-top:39.95pt;height:46.7pt;width:250.05pt;mso-position-vertical-relative:page;z-index:251659264;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v:textbox>
            </v:rect>
            <w10:anchorlock/>
          </v:group>
        </w:pict>
      </w:r>
      <w:r>
        <w:rPr>
          <w:rFonts w:hint="eastAsia" w:ascii="黑体" w:eastAsia="黑体"/>
          <w:sz w:val="48"/>
          <w:szCs w:val="48"/>
          <w:highlight w:val="none"/>
        </w:rPr>
        <w:t>目</w:t>
      </w:r>
      <w:r>
        <w:rPr>
          <w:rFonts w:ascii="黑体" w:eastAsia="黑体"/>
          <w:sz w:val="48"/>
          <w:szCs w:val="48"/>
          <w:highlight w:val="none"/>
        </w:rPr>
        <w:t xml:space="preserve">    </w:t>
      </w:r>
      <w:r>
        <w:rPr>
          <w:rFonts w:hint="eastAsia" w:ascii="黑体" w:eastAsia="黑体"/>
          <w:sz w:val="48"/>
          <w:szCs w:val="48"/>
          <w:highlight w:val="none"/>
        </w:rPr>
        <w:t>录</w:t>
      </w:r>
    </w:p>
    <w:p>
      <w:pPr>
        <w:widowControl/>
        <w:spacing w:line="580" w:lineRule="exact"/>
        <w:ind w:firstLine="640" w:firstLineChars="200"/>
        <w:rPr>
          <w:rFonts w:eastAsia="黑体"/>
          <w:sz w:val="32"/>
          <w:szCs w:val="32"/>
          <w:highlight w:val="none"/>
        </w:rPr>
      </w:pPr>
    </w:p>
    <w:p>
      <w:pPr>
        <w:widowControl/>
        <w:spacing w:line="580" w:lineRule="exact"/>
        <w:ind w:firstLine="640" w:firstLineChars="200"/>
        <w:rPr>
          <w:rFonts w:eastAsia="仿宋_GB2312"/>
          <w:sz w:val="24"/>
          <w:szCs w:val="32"/>
          <w:highlight w:val="none"/>
        </w:rPr>
      </w:pPr>
      <w:r>
        <w:rPr>
          <w:rFonts w:hint="eastAsia" w:eastAsia="黑体"/>
          <w:sz w:val="32"/>
          <w:szCs w:val="32"/>
          <w:highlight w:val="none"/>
        </w:rPr>
        <w:t>第一部分</w:t>
      </w:r>
      <w:r>
        <w:rPr>
          <w:rFonts w:eastAsia="黑体"/>
          <w:sz w:val="32"/>
          <w:szCs w:val="32"/>
          <w:highlight w:val="none"/>
        </w:rPr>
        <w:t xml:space="preserve">   </w:t>
      </w:r>
      <w:r>
        <w:rPr>
          <w:rFonts w:hint="eastAsia" w:eastAsia="黑体"/>
          <w:sz w:val="32"/>
          <w:szCs w:val="32"/>
          <w:highlight w:val="none"/>
        </w:rPr>
        <w:t>部门概况</w:t>
      </w:r>
      <w:r>
        <w:rPr>
          <w:rFonts w:eastAsia="仿宋_GB2312"/>
          <w:sz w:val="24"/>
          <w:szCs w:val="32"/>
          <w:highlight w:val="none"/>
        </w:rPr>
        <w:t xml:space="preserve"> </w:t>
      </w:r>
    </w:p>
    <w:p>
      <w:pPr>
        <w:widowControl/>
        <w:spacing w:line="580" w:lineRule="exact"/>
        <w:ind w:firstLine="1273" w:firstLineChars="398"/>
        <w:rPr>
          <w:rFonts w:eastAsia="仿宋_GB2312"/>
          <w:sz w:val="32"/>
          <w:szCs w:val="32"/>
          <w:highlight w:val="none"/>
        </w:rPr>
      </w:pPr>
      <w:r>
        <w:rPr>
          <w:rFonts w:hint="eastAsia" w:eastAsia="仿宋_GB2312"/>
          <w:sz w:val="32"/>
          <w:szCs w:val="32"/>
          <w:highlight w:val="none"/>
        </w:rPr>
        <w:t>一、部门职责</w:t>
      </w:r>
    </w:p>
    <w:p>
      <w:pPr>
        <w:widowControl/>
        <w:spacing w:line="580" w:lineRule="exact"/>
        <w:ind w:firstLine="1273" w:firstLineChars="398"/>
        <w:rPr>
          <w:rFonts w:eastAsia="仿宋_GB2312"/>
          <w:sz w:val="32"/>
          <w:szCs w:val="32"/>
          <w:highlight w:val="none"/>
        </w:rPr>
      </w:pPr>
      <w:r>
        <w:rPr>
          <w:rFonts w:hint="eastAsia" w:eastAsia="仿宋_GB2312"/>
          <w:sz w:val="32"/>
          <w:szCs w:val="32"/>
          <w:highlight w:val="none"/>
        </w:rPr>
        <w:t>二、机构设置</w:t>
      </w:r>
    </w:p>
    <w:p>
      <w:pPr>
        <w:widowControl/>
        <w:spacing w:line="580" w:lineRule="exact"/>
        <w:ind w:firstLine="640" w:firstLineChars="200"/>
        <w:rPr>
          <w:rFonts w:eastAsia="仿宋_GB2312"/>
          <w:sz w:val="20"/>
          <w:szCs w:val="32"/>
          <w:highlight w:val="none"/>
        </w:rPr>
      </w:pPr>
      <w:r>
        <w:rPr>
          <w:rFonts w:hint="eastAsia" w:eastAsia="黑体"/>
          <w:sz w:val="32"/>
          <w:szCs w:val="32"/>
          <w:highlight w:val="none"/>
        </w:rPr>
        <w:t>第二部分</w:t>
      </w:r>
      <w:r>
        <w:rPr>
          <w:rFonts w:eastAsia="黑体"/>
          <w:sz w:val="32"/>
          <w:szCs w:val="32"/>
          <w:highlight w:val="none"/>
        </w:rPr>
        <w:t xml:space="preserve">   2018</w:t>
      </w:r>
      <w:r>
        <w:rPr>
          <w:rFonts w:hint="eastAsia" w:eastAsia="黑体"/>
          <w:sz w:val="32"/>
          <w:szCs w:val="32"/>
          <w:highlight w:val="none"/>
        </w:rPr>
        <w:t>年度部门决算报表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一、收入支出决算总表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二、收入决算表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三、支出决算表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四、财政拨款收入支出决算总表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五、一般公共预算财政拨款支出决算表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六、一般公共预算财政拨款基本支出决算表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七、一般公共预算财政拨款</w:t>
      </w:r>
      <w:r>
        <w:rPr>
          <w:rFonts w:eastAsia="仿宋_GB2312"/>
          <w:sz w:val="32"/>
          <w:szCs w:val="32"/>
          <w:highlight w:val="none"/>
        </w:rPr>
        <w:t>“</w:t>
      </w:r>
      <w:r>
        <w:rPr>
          <w:rFonts w:hint="eastAsia" w:eastAsia="仿宋_GB2312"/>
          <w:sz w:val="32"/>
          <w:szCs w:val="32"/>
          <w:highlight w:val="none"/>
        </w:rPr>
        <w:t>三公</w:t>
      </w:r>
      <w:r>
        <w:rPr>
          <w:rFonts w:eastAsia="仿宋_GB2312"/>
          <w:sz w:val="32"/>
          <w:szCs w:val="32"/>
          <w:highlight w:val="none"/>
        </w:rPr>
        <w:t>”</w:t>
      </w:r>
      <w:r>
        <w:rPr>
          <w:rFonts w:hint="eastAsia" w:eastAsia="仿宋_GB2312"/>
          <w:sz w:val="32"/>
          <w:szCs w:val="32"/>
          <w:highlight w:val="none"/>
        </w:rPr>
        <w:t>经费支出决算表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八、政府性基金预算财政拨款收入支出决算表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九、国有资本经营预算财政拨款支出决算表</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十、政府采购情况表</w:t>
      </w:r>
    </w:p>
    <w:p>
      <w:pPr>
        <w:widowControl/>
        <w:spacing w:line="580" w:lineRule="exact"/>
        <w:ind w:firstLine="640" w:firstLineChars="200"/>
        <w:rPr>
          <w:rFonts w:eastAsia="黑体"/>
          <w:sz w:val="32"/>
          <w:szCs w:val="32"/>
          <w:highlight w:val="none"/>
        </w:rPr>
      </w:pPr>
    </w:p>
    <w:p>
      <w:pPr>
        <w:widowControl/>
        <w:spacing w:line="580" w:lineRule="exact"/>
        <w:ind w:firstLine="640" w:firstLineChars="200"/>
        <w:rPr>
          <w:rFonts w:eastAsia="黑体"/>
          <w:sz w:val="32"/>
          <w:szCs w:val="32"/>
          <w:highlight w:val="none"/>
        </w:rPr>
      </w:pPr>
      <w:r>
        <w:rPr>
          <w:rFonts w:hint="eastAsia" w:eastAsia="黑体"/>
          <w:sz w:val="32"/>
          <w:szCs w:val="32"/>
          <w:highlight w:val="none"/>
        </w:rPr>
        <w:t>第三部分</w:t>
      </w:r>
      <w:r>
        <w:rPr>
          <w:rFonts w:eastAsia="黑体"/>
          <w:sz w:val="32"/>
          <w:szCs w:val="32"/>
          <w:highlight w:val="none"/>
        </w:rPr>
        <w:t xml:space="preserve">  </w:t>
      </w:r>
      <w:r>
        <w:rPr>
          <w:rFonts w:hint="eastAsia" w:eastAsia="黑体"/>
          <w:sz w:val="32"/>
          <w:szCs w:val="32"/>
          <w:highlight w:val="none"/>
        </w:rPr>
        <w:t>工商业联合会</w:t>
      </w:r>
      <w:r>
        <w:rPr>
          <w:rFonts w:eastAsia="黑体"/>
          <w:sz w:val="32"/>
          <w:szCs w:val="32"/>
          <w:highlight w:val="none"/>
        </w:rPr>
        <w:t>2018</w:t>
      </w:r>
      <w:r>
        <w:rPr>
          <w:rFonts w:hint="eastAsia" w:eastAsia="黑体"/>
          <w:sz w:val="32"/>
          <w:szCs w:val="32"/>
          <w:highlight w:val="none"/>
        </w:rPr>
        <w:t>年部门决算情况说明</w:t>
      </w:r>
      <w:r>
        <w:rPr>
          <w:highlight w:val="none"/>
        </w:rPr>
        <w:pict>
          <v:group id="组合 176" o:spid="_x0000_s1031" o:spt="203" style="position:absolute;left:0pt;margin-left:-80.8pt;margin-top:38.95pt;height:46.7pt;width:222.8pt;mso-position-vertical-relative:page;z-index:251659264;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一、收入支出决算总体情况说明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二、收入决算情况说明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三、支出决算情况说明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四、财政拨款收入支出决算情况说明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五、一般公共预算财政拨款</w:t>
      </w:r>
      <w:r>
        <w:rPr>
          <w:rFonts w:eastAsia="仿宋_GB2312"/>
          <w:sz w:val="32"/>
          <w:szCs w:val="32"/>
          <w:highlight w:val="none"/>
        </w:rPr>
        <w:t>“</w:t>
      </w:r>
      <w:r>
        <w:rPr>
          <w:rFonts w:hint="eastAsia" w:eastAsia="仿宋_GB2312"/>
          <w:sz w:val="32"/>
          <w:szCs w:val="32"/>
          <w:highlight w:val="none"/>
        </w:rPr>
        <w:t>三公</w:t>
      </w:r>
      <w:r>
        <w:rPr>
          <w:rFonts w:eastAsia="仿宋_GB2312"/>
          <w:sz w:val="32"/>
          <w:szCs w:val="32"/>
          <w:highlight w:val="none"/>
        </w:rPr>
        <w:t>”</w:t>
      </w:r>
      <w:r>
        <w:rPr>
          <w:rFonts w:hint="eastAsia" w:eastAsia="仿宋_GB2312"/>
          <w:sz w:val="32"/>
          <w:szCs w:val="32"/>
          <w:highlight w:val="none"/>
        </w:rPr>
        <w:t>经费支出决算情况说明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六、预算绩效情况说明</w:t>
      </w:r>
    </w:p>
    <w:p>
      <w:pPr>
        <w:widowControl/>
        <w:spacing w:line="580" w:lineRule="exact"/>
        <w:ind w:left="640" w:firstLine="640" w:firstLineChars="200"/>
        <w:rPr>
          <w:rFonts w:eastAsia="仿宋_GB2312"/>
          <w:sz w:val="32"/>
          <w:szCs w:val="32"/>
          <w:highlight w:val="none"/>
        </w:rPr>
      </w:pPr>
      <w:r>
        <w:rPr>
          <w:rFonts w:hint="eastAsia" w:eastAsia="仿宋_GB2312"/>
          <w:sz w:val="32"/>
          <w:szCs w:val="32"/>
          <w:highlight w:val="none"/>
        </w:rPr>
        <w:t>七、其他重要事项的说明</w:t>
      </w:r>
    </w:p>
    <w:p>
      <w:pPr>
        <w:widowControl/>
        <w:spacing w:line="580" w:lineRule="exact"/>
        <w:ind w:firstLine="640" w:firstLineChars="200"/>
        <w:rPr>
          <w:rFonts w:eastAsia="黑体"/>
          <w:sz w:val="32"/>
          <w:szCs w:val="32"/>
          <w:highlight w:val="none"/>
        </w:rPr>
      </w:pPr>
      <w:r>
        <w:rPr>
          <w:rFonts w:hint="eastAsia" w:eastAsia="黑体"/>
          <w:sz w:val="32"/>
          <w:szCs w:val="32"/>
          <w:highlight w:val="none"/>
        </w:rPr>
        <w:t>第四部分</w:t>
      </w:r>
      <w:r>
        <w:rPr>
          <w:rFonts w:eastAsia="黑体"/>
          <w:sz w:val="32"/>
          <w:szCs w:val="32"/>
          <w:highlight w:val="none"/>
        </w:rPr>
        <w:t xml:space="preserve">  </w:t>
      </w:r>
      <w:r>
        <w:rPr>
          <w:rFonts w:hint="eastAsia" w:eastAsia="黑体"/>
          <w:sz w:val="32"/>
          <w:szCs w:val="32"/>
          <w:highlight w:val="none"/>
        </w:rPr>
        <w:t>名词解释</w:t>
      </w:r>
    </w:p>
    <w:p>
      <w:pPr>
        <w:widowControl/>
        <w:spacing w:line="580" w:lineRule="exact"/>
        <w:ind w:firstLine="640" w:firstLineChars="200"/>
        <w:rPr>
          <w:rFonts w:eastAsia="黑体"/>
          <w:sz w:val="32"/>
          <w:szCs w:val="32"/>
          <w:highlight w:val="none"/>
        </w:rPr>
      </w:pPr>
    </w:p>
    <w:p>
      <w:pPr>
        <w:widowControl/>
        <w:spacing w:line="580" w:lineRule="exact"/>
        <w:ind w:firstLine="640" w:firstLineChars="200"/>
        <w:rPr>
          <w:rFonts w:eastAsia="黑体"/>
          <w:sz w:val="32"/>
          <w:szCs w:val="32"/>
          <w:highlight w:val="none"/>
        </w:rPr>
      </w:pPr>
    </w:p>
    <w:p>
      <w:pPr>
        <w:widowControl/>
        <w:spacing w:line="580" w:lineRule="exact"/>
        <w:ind w:firstLine="640" w:firstLineChars="200"/>
        <w:rPr>
          <w:rFonts w:eastAsia="黑体"/>
          <w:sz w:val="32"/>
          <w:szCs w:val="32"/>
          <w:highlight w:val="none"/>
        </w:rPr>
      </w:pPr>
    </w:p>
    <w:p>
      <w:pPr>
        <w:widowControl/>
        <w:spacing w:line="580" w:lineRule="exact"/>
        <w:ind w:firstLine="640" w:firstLineChars="200"/>
        <w:rPr>
          <w:rFonts w:eastAsia="黑体"/>
          <w:sz w:val="32"/>
          <w:szCs w:val="32"/>
          <w:highlight w:val="none"/>
        </w:rPr>
      </w:pPr>
    </w:p>
    <w:p>
      <w:pPr>
        <w:rPr>
          <w:highlight w:val="none"/>
        </w:rPr>
      </w:pPr>
      <w:r>
        <w:rPr>
          <w:highlight w:val="none"/>
        </w:rPr>
        <w:br w:type="page"/>
      </w:r>
    </w:p>
    <w:p>
      <w:pPr>
        <w:rPr>
          <w:highlight w:val="none"/>
        </w:rPr>
      </w:pPr>
      <w:r>
        <w:rPr>
          <w:highlight w:val="none"/>
        </w:rPr>
        <w:pict>
          <v:shape id="图片 12" o:spid="_x0000_s1034" o:spt="75" alt="2" type="#_x0000_t75" style="position:absolute;left:0pt;margin-left:-80.7pt;margin-top:-106.45pt;height:844.65pt;width:597.3pt;z-index:-251656192;mso-width-relative:page;mso-height-relative:page;" filled="f" o:preferrelative="t" stroked="f" coordsize="21600,21600">
            <v:path/>
            <v:fill on="f" focussize="0,0"/>
            <v:stroke on="f" joinstyle="miter"/>
            <v:imagedata r:id="rId7" o:title=""/>
            <o:lock v:ext="edit" aspectratio="t"/>
          </v:shape>
        </w:pict>
      </w:r>
      <w:r>
        <w:rPr>
          <w:highlight w:val="none"/>
        </w:rPr>
        <w:pict>
          <v:shape id="文本框 118" o:spid="_x0000_s1035" o:spt="202" type="#_x0000_t202" style="position:absolute;left:0pt;margin-left:-97.3pt;margin-top:259.1pt;height:81.7pt;width:613.65pt;z-index:251659264;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2"/>
        <w:spacing w:before="0" w:after="0" w:line="600" w:lineRule="exact"/>
        <w:jc w:val="left"/>
        <w:rPr>
          <w:rFonts w:ascii="黑体" w:hAnsi="Cambria" w:eastAsia="黑体" w:cs="黑体"/>
          <w:b w:val="0"/>
          <w:bCs w:val="0"/>
          <w:kern w:val="0"/>
          <w:sz w:val="32"/>
          <w:szCs w:val="32"/>
          <w:highlight w:val="none"/>
        </w:rPr>
      </w:pPr>
      <w:r>
        <w:rPr>
          <w:highlight w:val="none"/>
        </w:rPr>
        <w:pict>
          <v:group id="组合 15" o:spid="_x0000_s1036" o:spt="203" style="position:absolute;left:0pt;margin-left:-80.8pt;margin-top:39.5pt;height:46.7pt;width:245.25pt;mso-position-vertical-relative:page;z-index:251659264;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highlight w:val="none"/>
        </w:rPr>
        <w:t>一、部门职责</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textAlignment w:val="auto"/>
        <w:rPr>
          <w:rFonts w:hint="eastAsia" w:ascii="仿宋_GB2312" w:eastAsia="仿宋_GB2312"/>
          <w:sz w:val="32"/>
          <w:szCs w:val="32"/>
          <w:highlight w:val="none"/>
        </w:rPr>
      </w:pPr>
      <w:r>
        <w:rPr>
          <w:rFonts w:hint="eastAsia" w:ascii="仿宋_GB2312" w:eastAsia="仿宋_GB2312"/>
          <w:sz w:val="32"/>
          <w:szCs w:val="32"/>
          <w:highlight w:val="none"/>
        </w:rPr>
        <w:t>参与国家事务和政治、经济、社会等重大事项，发挥民主监督的作用，作好代表人士的政治安排的推荐工作，对当地的有关法律、法规、政策的制订提出建议并协助贯彻执行。（二）发扬自我教育的优良传统，宣传国家的方针政策，加强和改进思想政治工作，对会员进行团结、帮助、引导、教育，鼓励会员率先致富，提倡爱国、敬业、守法，不断提高会员素质，培养一支骨干分子队伍。（三）维护会员的合法权益，反映会员的意见、要求和建议，在会员与政府之间发挥桥梁作用，当好政府管理非公有制经济的助手。（四）为会员和社会提供市场、人才、技术、商品等信息，按照国家有关规定，为会员提供管理、法律、会计、审计、融资、咨询等服务。（五）开展工商专业培训，帮助会员改善经营管理，提高生产、技术和产品质量，拓宽销售渠道增加收入，提高社会效益和经济效益。（六）组织会员举办和参加必要的对内对外展销会、交易会等，如因需要还可组织会员出国考察访问，帮助会员开拓国内、国际市场。（七）为会员提供必要的证明，协调有关方面的关系，为会员和民间企业调解经济纠纷及相关矛盾。（八）增进与台、港、澳地区和全国各地工商社团及工商经济界人士联系和友谊，促进经济、技术和贸易合作的发展，协助引进资金、技术、项目和人才。</w:t>
      </w:r>
    </w:p>
    <w:p>
      <w:pPr>
        <w:ind w:firstLine="64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机关工委主要职能：</w:t>
      </w:r>
    </w:p>
    <w:p>
      <w:pPr>
        <w:ind w:firstLine="640"/>
        <w:rPr>
          <w:rFonts w:hint="eastAsia" w:ascii="仿宋_GB2312" w:hAnsi="仿宋_GB2312" w:eastAsia="仿宋_GB2312" w:cs="仿宋_GB2312"/>
          <w:b w:val="0"/>
          <w:bCs w:val="0"/>
          <w:sz w:val="32"/>
          <w:szCs w:val="32"/>
          <w:highlight w:val="none"/>
          <w:lang w:val="en-US" w:eastAsia="zh-CN"/>
        </w:rPr>
      </w:pPr>
      <w:r>
        <w:rPr>
          <w:rFonts w:hint="eastAsia" w:ascii="仿宋_GB2312" w:eastAsia="仿宋_GB2312"/>
          <w:sz w:val="32"/>
          <w:szCs w:val="32"/>
          <w:highlight w:val="none"/>
        </w:rPr>
        <w:t>（一）提出区直机关党的建设规划，指导区直机关基层党组织抓好党的思想、组织、作风建设。（二）指导区直机关基层党组织实施对党员特别是党员领导干部的监督，定期了解并及时向区委反映区直各部门领导班子和领导干部的情况和问题。（三）负责区直各部门机关基层党组织的批建、换届、选举、书记、副书记、委员的审批。（四）负责县区各部门机关党组织发展党员计划、发展党员和预备党员转正的审批，入党积极分子及预备党员的培训。（五）负责区直机关党组织的纪律检查工作，审议科级党员干部违反党纪问题，审批一般党员违反党纪的处理决定。（六）领导区直机关工会、共青团区直机关工作委员会、区直机关妇女工作委员会等群众组织的工作，负责区直机关计划生育工作。（七）领导组织区直机关和企事业单位民兵的思想教育和军事训练，负责非农户口青年应征入伍及民兵整组工作。（八）指导区直机关基层党组织围绕经济建设和区委中心工作，做好宣传和思想政治工作。（九）完成区委交办的其他工作任务</w:t>
      </w:r>
      <w:r>
        <w:rPr>
          <w:rFonts w:hint="eastAsia" w:ascii="仿宋_GB2312" w:eastAsia="仿宋_GB2312"/>
          <w:sz w:val="32"/>
          <w:szCs w:val="32"/>
          <w:highlight w:val="none"/>
          <w:lang w:eastAsia="zh-CN"/>
        </w:rPr>
        <w:t>。</w:t>
      </w:r>
    </w:p>
    <w:p>
      <w:pPr>
        <w:ind w:firstLine="643" w:firstLineChars="200"/>
        <w:rPr>
          <w:rFonts w:ascii="黑体" w:hAnsi="Cambria" w:eastAsia="黑体" w:cs="黑体"/>
          <w:b/>
          <w:bCs/>
          <w:kern w:val="0"/>
          <w:sz w:val="32"/>
          <w:szCs w:val="32"/>
          <w:highlight w:val="none"/>
        </w:rPr>
      </w:pPr>
      <w:r>
        <w:rPr>
          <w:rFonts w:hint="eastAsia" w:ascii="黑体" w:hAnsi="Cambria" w:eastAsia="黑体" w:cs="黑体"/>
          <w:b/>
          <w:bCs/>
          <w:kern w:val="0"/>
          <w:sz w:val="32"/>
          <w:szCs w:val="32"/>
          <w:highlight w:val="none"/>
        </w:rPr>
        <w:t>二、机构设置</w:t>
      </w:r>
    </w:p>
    <w:p>
      <w:pPr>
        <w:spacing w:after="0" w:line="560" w:lineRule="exact"/>
        <w:rPr>
          <w:rFonts w:ascii="仿宋_GB2312" w:hAnsi="Cambria" w:eastAsia="仿宋_GB2312" w:cs="ArialUnicodeMS"/>
          <w:kern w:val="0"/>
          <w:sz w:val="32"/>
          <w:szCs w:val="32"/>
          <w:highlight w:val="none"/>
        </w:rPr>
      </w:pPr>
      <w:r>
        <w:rPr>
          <w:rFonts w:hint="eastAsia" w:ascii="仿宋_GB2312" w:hAnsi="Cambria" w:eastAsia="仿宋_GB2312" w:cs="ArialUnicodeMS"/>
          <w:kern w:val="0"/>
          <w:sz w:val="32"/>
          <w:szCs w:val="32"/>
          <w:highlight w:val="none"/>
        </w:rPr>
        <w:t>从决算编报单位构成看，纳入</w:t>
      </w:r>
      <w:r>
        <w:rPr>
          <w:rFonts w:ascii="仿宋_GB2312" w:hAnsi="Cambria" w:eastAsia="仿宋_GB2312" w:cs="ArialUnicodeMS"/>
          <w:kern w:val="0"/>
          <w:sz w:val="32"/>
          <w:szCs w:val="32"/>
          <w:highlight w:val="none"/>
        </w:rPr>
        <w:t xml:space="preserve">2018 </w:t>
      </w:r>
      <w:r>
        <w:rPr>
          <w:rFonts w:hint="eastAsia" w:ascii="仿宋_GB2312" w:hAnsi="Cambria" w:eastAsia="仿宋_GB2312" w:cs="ArialUnicodeMS"/>
          <w:kern w:val="0"/>
          <w:sz w:val="32"/>
          <w:szCs w:val="32"/>
          <w:highlight w:val="none"/>
        </w:rPr>
        <w:t>年度本部门决算汇编范围的独立核算单位（以下简称“单位”）共</w:t>
      </w:r>
      <w:r>
        <w:rPr>
          <w:rFonts w:ascii="仿宋_GB2312" w:hAnsi="Cambria" w:eastAsia="仿宋_GB2312" w:cs="ArialUnicodeMS"/>
          <w:kern w:val="0"/>
          <w:sz w:val="32"/>
          <w:szCs w:val="32"/>
          <w:highlight w:val="none"/>
        </w:rPr>
        <w:t xml:space="preserve"> </w:t>
      </w:r>
      <w:r>
        <w:rPr>
          <w:rFonts w:hint="eastAsia" w:ascii="仿宋_GB2312" w:hAnsi="Cambria" w:eastAsia="仿宋_GB2312" w:cs="ArialUnicodeMS"/>
          <w:kern w:val="0"/>
          <w:sz w:val="32"/>
          <w:szCs w:val="32"/>
          <w:highlight w:val="none"/>
          <w:lang w:val="en-US" w:eastAsia="zh-CN"/>
        </w:rPr>
        <w:t>2</w:t>
      </w:r>
      <w:r>
        <w:rPr>
          <w:rFonts w:hint="eastAsia" w:ascii="仿宋_GB2312" w:hAnsi="Cambria" w:eastAsia="仿宋_GB2312" w:cs="ArialUnicodeMS"/>
          <w:kern w:val="0"/>
          <w:sz w:val="32"/>
          <w:szCs w:val="32"/>
          <w:highlight w:val="none"/>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01"/>
        <w:gridCol w:w="4"/>
        <w:gridCol w:w="212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highlight w:val="none"/>
              </w:rPr>
            </w:pPr>
            <w:r>
              <w:rPr>
                <w:rFonts w:hint="eastAsia" w:ascii="仿宋_GB2312" w:hAnsi="Cambria" w:eastAsia="仿宋_GB2312" w:cs="ArialUnicodeMS"/>
                <w:b/>
                <w:bCs/>
                <w:kern w:val="0"/>
                <w:sz w:val="28"/>
                <w:szCs w:val="28"/>
                <w:highlight w:val="none"/>
              </w:rPr>
              <w:t>序号</w:t>
            </w:r>
          </w:p>
        </w:tc>
        <w:tc>
          <w:tcPr>
            <w:tcW w:w="3801" w:type="dxa"/>
            <w:vAlign w:val="center"/>
          </w:tcPr>
          <w:p>
            <w:pPr>
              <w:spacing w:after="0" w:line="560" w:lineRule="exact"/>
              <w:jc w:val="center"/>
              <w:rPr>
                <w:rFonts w:ascii="仿宋_GB2312" w:hAnsi="Cambria" w:eastAsia="仿宋_GB2312" w:cs="ArialUnicodeMS"/>
                <w:b/>
                <w:bCs/>
                <w:kern w:val="0"/>
                <w:sz w:val="28"/>
                <w:szCs w:val="28"/>
                <w:highlight w:val="none"/>
              </w:rPr>
            </w:pPr>
            <w:r>
              <w:rPr>
                <w:rFonts w:hint="eastAsia" w:ascii="仿宋_GB2312" w:hAnsi="Cambria" w:eastAsia="仿宋_GB2312" w:cs="ArialUnicodeMS"/>
                <w:b/>
                <w:bCs/>
                <w:kern w:val="0"/>
                <w:sz w:val="28"/>
                <w:szCs w:val="28"/>
                <w:highlight w:val="none"/>
              </w:rPr>
              <w:t>单位名称</w:t>
            </w:r>
          </w:p>
        </w:tc>
        <w:tc>
          <w:tcPr>
            <w:tcW w:w="2129" w:type="dxa"/>
            <w:gridSpan w:val="2"/>
            <w:vAlign w:val="center"/>
          </w:tcPr>
          <w:p>
            <w:pPr>
              <w:spacing w:after="0" w:line="560" w:lineRule="exact"/>
              <w:jc w:val="center"/>
              <w:rPr>
                <w:rFonts w:ascii="仿宋_GB2312" w:hAnsi="Cambria" w:eastAsia="仿宋_GB2312" w:cs="ArialUnicodeMS"/>
                <w:b/>
                <w:bCs/>
                <w:kern w:val="0"/>
                <w:sz w:val="28"/>
                <w:szCs w:val="28"/>
                <w:highlight w:val="none"/>
              </w:rPr>
            </w:pPr>
            <w:r>
              <w:rPr>
                <w:rFonts w:hint="eastAsia" w:ascii="仿宋_GB2312" w:hAnsi="Cambria" w:eastAsia="仿宋_GB2312" w:cs="ArialUnicodeMS"/>
                <w:b/>
                <w:bCs/>
                <w:kern w:val="0"/>
                <w:sz w:val="28"/>
                <w:szCs w:val="28"/>
                <w:highlight w:val="none"/>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highlight w:val="none"/>
              </w:rPr>
            </w:pPr>
            <w:r>
              <w:rPr>
                <w:rFonts w:hint="eastAsia" w:ascii="仿宋_GB2312" w:hAnsi="Cambria" w:eastAsia="仿宋_GB2312" w:cs="ArialUnicodeMS"/>
                <w:b/>
                <w:bCs/>
                <w:kern w:val="0"/>
                <w:sz w:val="28"/>
                <w:szCs w:val="28"/>
                <w:highlight w:val="none"/>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highlight w:val="none"/>
              </w:rPr>
            </w:pPr>
            <w:r>
              <w:rPr>
                <w:rFonts w:ascii="仿宋_GB2312" w:hAnsi="Cambria" w:eastAsia="仿宋_GB2312" w:cs="ArialUnicodeMS"/>
                <w:kern w:val="0"/>
                <w:sz w:val="28"/>
                <w:szCs w:val="28"/>
                <w:highlight w:val="none"/>
              </w:rPr>
              <w:t>1</w:t>
            </w:r>
          </w:p>
        </w:tc>
        <w:tc>
          <w:tcPr>
            <w:tcW w:w="3801" w:type="dxa"/>
          </w:tcPr>
          <w:p>
            <w:pPr>
              <w:spacing w:after="0" w:line="560" w:lineRule="exact"/>
              <w:rPr>
                <w:rFonts w:ascii="仿宋_GB2312" w:hAnsi="Cambria" w:eastAsia="仿宋_GB2312" w:cs="ArialUnicodeMS"/>
                <w:kern w:val="0"/>
                <w:sz w:val="28"/>
                <w:szCs w:val="28"/>
                <w:highlight w:val="none"/>
              </w:rPr>
            </w:pPr>
            <w:r>
              <w:rPr>
                <w:rFonts w:hint="eastAsia" w:ascii="仿宋_GB2312" w:hAnsi="Cambria" w:eastAsia="仿宋_GB2312" w:cs="ArialUnicodeMS"/>
                <w:kern w:val="0"/>
                <w:sz w:val="28"/>
                <w:szCs w:val="28"/>
                <w:highlight w:val="none"/>
              </w:rPr>
              <w:t>保定市满城区工商业联合会</w:t>
            </w:r>
          </w:p>
        </w:tc>
        <w:tc>
          <w:tcPr>
            <w:tcW w:w="2129" w:type="dxa"/>
            <w:gridSpan w:val="2"/>
          </w:tcPr>
          <w:p>
            <w:pPr>
              <w:spacing w:after="0" w:line="560" w:lineRule="exact"/>
              <w:jc w:val="center"/>
              <w:rPr>
                <w:rFonts w:ascii="仿宋_GB2312" w:hAnsi="Cambria" w:eastAsia="仿宋_GB2312" w:cs="ArialUnicodeMS"/>
                <w:kern w:val="0"/>
                <w:sz w:val="28"/>
                <w:szCs w:val="28"/>
                <w:highlight w:val="none"/>
              </w:rPr>
            </w:pPr>
            <w:r>
              <w:rPr>
                <w:rFonts w:hint="eastAsia" w:ascii="仿宋_GB2312" w:hAnsi="Cambria" w:eastAsia="仿宋_GB2312" w:cs="ArialUnicodeMS"/>
                <w:kern w:val="0"/>
                <w:sz w:val="28"/>
                <w:szCs w:val="28"/>
                <w:highlight w:val="none"/>
              </w:rPr>
              <w:t>行政单位</w:t>
            </w:r>
          </w:p>
        </w:tc>
        <w:tc>
          <w:tcPr>
            <w:tcW w:w="2665" w:type="dxa"/>
          </w:tcPr>
          <w:p>
            <w:pPr>
              <w:spacing w:after="0" w:line="560" w:lineRule="exact"/>
              <w:jc w:val="center"/>
              <w:rPr>
                <w:rFonts w:ascii="仿宋_GB2312" w:hAnsi="Cambria" w:eastAsia="仿宋_GB2312" w:cs="ArialUnicodeMS"/>
                <w:kern w:val="0"/>
                <w:sz w:val="28"/>
                <w:szCs w:val="28"/>
                <w:highlight w:val="none"/>
              </w:rPr>
            </w:pPr>
            <w:r>
              <w:rPr>
                <w:rFonts w:hint="eastAsia" w:ascii="仿宋_GB2312" w:hAnsi="Cambria" w:eastAsia="仿宋_GB2312" w:cs="ArialUnicodeMS"/>
                <w:kern w:val="0"/>
                <w:sz w:val="28"/>
                <w:szCs w:val="28"/>
                <w:highlight w:val="none"/>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left w:val="single" w:color="auto" w:sz="4" w:space="0"/>
              <w:bottom w:val="single" w:color="auto" w:sz="4" w:space="0"/>
              <w:right w:val="single" w:color="auto" w:sz="4" w:space="0"/>
            </w:tcBorders>
            <w:vAlign w:val="top"/>
          </w:tcPr>
          <w:p>
            <w:pPr>
              <w:spacing w:after="0" w:line="560" w:lineRule="exact"/>
              <w:jc w:val="center"/>
              <w:rPr>
                <w:rFonts w:hint="eastAsia" w:ascii="仿宋_GB2312" w:hAnsi="Cambria" w:eastAsia="仿宋_GB2312" w:cs="ArialUnicodeMS"/>
                <w:kern w:val="0"/>
                <w:sz w:val="28"/>
                <w:szCs w:val="28"/>
                <w:highlight w:val="none"/>
                <w:lang w:val="en-US" w:eastAsia="zh-CN" w:bidi="ar-SA"/>
              </w:rPr>
            </w:pPr>
            <w:r>
              <w:rPr>
                <w:rFonts w:hint="eastAsia" w:ascii="仿宋_GB2312" w:hAnsi="Cambria" w:eastAsia="仿宋_GB2312" w:cs="ArialUnicodeMS"/>
                <w:kern w:val="0"/>
                <w:sz w:val="28"/>
                <w:szCs w:val="28"/>
                <w:highlight w:val="none"/>
                <w:lang w:val="en-US" w:eastAsia="zh-CN"/>
              </w:rPr>
              <w:t>2</w:t>
            </w:r>
          </w:p>
        </w:tc>
        <w:tc>
          <w:tcPr>
            <w:tcW w:w="3805" w:type="dxa"/>
            <w:gridSpan w:val="2"/>
            <w:tcBorders>
              <w:left w:val="single" w:color="auto" w:sz="4" w:space="0"/>
              <w:bottom w:val="single" w:color="auto" w:sz="4" w:space="0"/>
              <w:right w:val="single" w:color="auto" w:sz="4" w:space="0"/>
            </w:tcBorders>
            <w:vAlign w:val="top"/>
          </w:tcPr>
          <w:p>
            <w:pPr>
              <w:spacing w:after="0" w:line="560" w:lineRule="exact"/>
              <w:rPr>
                <w:rFonts w:ascii="仿宋_GB2312" w:hAnsi="Cambria" w:eastAsia="仿宋_GB2312" w:cs="ArialUnicodeMS"/>
                <w:kern w:val="0"/>
                <w:sz w:val="28"/>
                <w:szCs w:val="28"/>
                <w:highlight w:val="none"/>
                <w:lang w:val="en-US" w:eastAsia="zh-CN" w:bidi="ar-SA"/>
              </w:rPr>
            </w:pPr>
            <w:r>
              <w:rPr>
                <w:rFonts w:hint="eastAsia" w:ascii="仿宋_GB2312" w:hAnsi="Calibri" w:eastAsia="仿宋_GB2312" w:cs="ArialUnicodeMS"/>
                <w:kern w:val="0"/>
                <w:sz w:val="28"/>
                <w:szCs w:val="28"/>
                <w:highlight w:val="none"/>
              </w:rPr>
              <w:t>中共保定市满城区直属机关工作委员会</w:t>
            </w:r>
          </w:p>
        </w:tc>
        <w:tc>
          <w:tcPr>
            <w:tcW w:w="2125" w:type="dxa"/>
            <w:tcBorders>
              <w:left w:val="single" w:color="auto" w:sz="4" w:space="0"/>
              <w:bottom w:val="single" w:color="auto" w:sz="4" w:space="0"/>
              <w:right w:val="single" w:color="auto" w:sz="4" w:space="0"/>
            </w:tcBorders>
            <w:vAlign w:val="top"/>
          </w:tcPr>
          <w:p>
            <w:pPr>
              <w:spacing w:after="0" w:line="560" w:lineRule="exact"/>
              <w:jc w:val="center"/>
              <w:rPr>
                <w:rFonts w:ascii="仿宋_GB2312" w:hAnsi="Cambria" w:eastAsia="仿宋_GB2312" w:cs="ArialUnicodeMS"/>
                <w:kern w:val="0"/>
                <w:sz w:val="28"/>
                <w:szCs w:val="28"/>
                <w:highlight w:val="none"/>
                <w:lang w:val="en-US" w:eastAsia="zh-CN" w:bidi="ar-SA"/>
              </w:rPr>
            </w:pPr>
            <w:r>
              <w:rPr>
                <w:rFonts w:hint="eastAsia" w:ascii="仿宋_GB2312" w:hAnsi="Cambria" w:eastAsia="仿宋_GB2312" w:cs="ArialUnicodeMS"/>
                <w:kern w:val="0"/>
                <w:sz w:val="28"/>
                <w:szCs w:val="28"/>
                <w:highlight w:val="none"/>
              </w:rPr>
              <w:t>行政单位</w:t>
            </w:r>
          </w:p>
        </w:tc>
        <w:tc>
          <w:tcPr>
            <w:tcW w:w="2665" w:type="dxa"/>
            <w:tcBorders>
              <w:left w:val="single" w:color="auto" w:sz="4" w:space="0"/>
              <w:bottom w:val="single" w:color="auto" w:sz="4" w:space="0"/>
              <w:right w:val="single" w:color="auto" w:sz="4" w:space="0"/>
            </w:tcBorders>
            <w:vAlign w:val="top"/>
          </w:tcPr>
          <w:p>
            <w:pPr>
              <w:spacing w:after="0" w:line="560" w:lineRule="exact"/>
              <w:jc w:val="center"/>
              <w:rPr>
                <w:rFonts w:ascii="仿宋_GB2312" w:hAnsi="Cambria" w:eastAsia="仿宋_GB2312" w:cs="ArialUnicodeMS"/>
                <w:kern w:val="0"/>
                <w:sz w:val="28"/>
                <w:szCs w:val="28"/>
                <w:highlight w:val="none"/>
                <w:lang w:val="en-US" w:eastAsia="zh-CN" w:bidi="ar-SA"/>
              </w:rPr>
            </w:pPr>
            <w:r>
              <w:rPr>
                <w:rFonts w:hint="eastAsia" w:ascii="仿宋_GB2312" w:hAnsi="Cambria" w:eastAsia="仿宋_GB2312" w:cs="ArialUnicodeMS"/>
                <w:kern w:val="0"/>
                <w:sz w:val="28"/>
                <w:szCs w:val="28"/>
                <w:highlight w:val="none"/>
              </w:rPr>
              <w:t>财政拨款</w:t>
            </w:r>
          </w:p>
        </w:tc>
      </w:tr>
    </w:tbl>
    <w:p>
      <w:pPr>
        <w:widowControl/>
        <w:spacing w:line="560" w:lineRule="exact"/>
        <w:rPr>
          <w:rFonts w:ascii="黑体" w:hAnsi="Cambria" w:eastAsia="黑体" w:cs="MS-UIGothic,Bold"/>
          <w:bCs/>
          <w:kern w:val="0"/>
          <w:sz w:val="52"/>
          <w:szCs w:val="52"/>
          <w:highlight w:val="none"/>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highlight w:val="none"/>
        </w:rPr>
      </w:pPr>
      <w:r>
        <w:rPr>
          <w:highlight w:val="none"/>
        </w:rPr>
        <w:pict>
          <v:shape id="图片 16" o:spid="_x0000_s1039" o:spt="75" alt="2" type="#_x0000_t75" style="position:absolute;left:0pt;margin-left:-80.6pt;margin-top:-104.5pt;height:840.95pt;width:596.15pt;z-index:-251656192;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highlight w:val="none"/>
        </w:rPr>
      </w:pPr>
    </w:p>
    <w:p>
      <w:pPr>
        <w:rPr>
          <w:rFonts w:ascii="宋体" w:cs="ArialUnicodeMS"/>
          <w:color w:val="000000"/>
          <w:kern w:val="0"/>
          <w:highlight w:val="none"/>
        </w:rPr>
      </w:pPr>
    </w:p>
    <w:p>
      <w:pPr>
        <w:rPr>
          <w:rFonts w:ascii="宋体" w:cs="ArialUnicodeMS"/>
          <w:color w:val="000000"/>
          <w:kern w:val="0"/>
          <w:highlight w:val="none"/>
        </w:rPr>
        <w:sectPr>
          <w:pgSz w:w="11906" w:h="16838"/>
          <w:pgMar w:top="2098" w:right="1474" w:bottom="1984" w:left="1588" w:header="851" w:footer="992" w:gutter="0"/>
          <w:cols w:space="0" w:num="1"/>
          <w:docGrid w:type="lines" w:linePitch="312" w:charSpace="0"/>
        </w:sectPr>
      </w:pPr>
      <w:r>
        <w:rPr>
          <w:highlight w:val="none"/>
        </w:rPr>
        <w:pict>
          <v:shape id="文本框 17" o:spid="_x0000_s1040" o:spt="202" type="#_x0000_t202" style="position:absolute;left:0pt;margin-left:-74.2pt;margin-top:120.3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highlight w:val="none"/>
              </w:rPr>
            </w:pPr>
            <w:r>
              <w:rPr>
                <w:highlight w:val="none"/>
              </w:rPr>
              <w:pict>
                <v:group id="组合 10" o:spid="_x0000_s1041" o:spt="203" style="position:absolute;left:0pt;margin-left:-70.25pt;margin-top:-81.85pt;height:41.2pt;width:243.2pt;mso-position-vertical-relative:page;z-index:25165926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hAnsi="宋体" w:eastAsia="黑体" w:cs="黑体"/>
                <w:color w:val="000000"/>
                <w:kern w:val="0"/>
                <w:sz w:val="40"/>
                <w:szCs w:val="40"/>
                <w:highlight w:val="none"/>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highlight w:val="none"/>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highlight w:val="none"/>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highlight w:val="none"/>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highlight w:val="none"/>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highlight w:val="none"/>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公开</w:t>
            </w:r>
            <w:r>
              <w:rPr>
                <w:rFonts w:ascii="宋体" w:hAnsi="宋体" w:cs="宋体"/>
                <w:color w:val="000000"/>
                <w:kern w:val="0"/>
                <w:sz w:val="20"/>
                <w:szCs w:val="20"/>
                <w:highlight w:val="none"/>
              </w:rPr>
              <w:t>01</w:t>
            </w:r>
            <w:r>
              <w:rPr>
                <w:rFonts w:hint="eastAsia" w:ascii="宋体" w:hAnsi="宋体" w:cs="宋体"/>
                <w:color w:val="000000"/>
                <w:kern w:val="0"/>
                <w:sz w:val="20"/>
                <w:szCs w:val="20"/>
                <w:highlight w:val="none"/>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highlight w:val="none"/>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highlight w:val="none"/>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highlight w:val="none"/>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highlight w:val="none"/>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highlight w:val="none"/>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highlight w:val="none"/>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highlight w:val="none"/>
                <w:lang w:val="en-US" w:eastAsia="zh-CN"/>
              </w:rPr>
            </w:pPr>
            <w:r>
              <w:rPr>
                <w:rFonts w:hint="eastAsia" w:ascii="宋体" w:cs="宋体"/>
                <w:color w:val="000000"/>
                <w:sz w:val="20"/>
                <w:szCs w:val="20"/>
                <w:highlight w:val="none"/>
                <w:lang w:val="en-US" w:eastAsia="zh-CN"/>
              </w:rPr>
              <w:t>147.94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highlight w:val="none"/>
                <w:lang w:val="en-US" w:eastAsia="zh-CN"/>
              </w:rPr>
            </w:pPr>
            <w:r>
              <w:rPr>
                <w:rFonts w:hint="eastAsia" w:ascii="宋体" w:cs="宋体"/>
                <w:color w:val="000000"/>
                <w:sz w:val="20"/>
                <w:szCs w:val="20"/>
                <w:highlight w:val="none"/>
                <w:lang w:val="en-US" w:eastAsia="zh-CN"/>
              </w:rPr>
              <w:t>147.94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highlight w:val="none"/>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18"/>
                <w:szCs w:val="18"/>
                <w:highlight w:val="none"/>
                <w:lang w:val="en-US"/>
              </w:rPr>
            </w:pPr>
            <w:r>
              <w:rPr>
                <w:rFonts w:hint="eastAsia" w:ascii="宋体" w:cs="宋体"/>
                <w:color w:val="000000"/>
                <w:sz w:val="20"/>
                <w:szCs w:val="20"/>
                <w:highlight w:val="none"/>
                <w:lang w:val="en-US" w:eastAsia="zh-CN"/>
              </w:rPr>
              <w:t>147.94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highlight w:val="none"/>
                <w:lang w:val="en-US" w:eastAsia="zh-CN"/>
              </w:rPr>
            </w:pPr>
            <w:r>
              <w:rPr>
                <w:rFonts w:hint="eastAsia" w:ascii="宋体" w:cs="宋体"/>
                <w:color w:val="000000"/>
                <w:sz w:val="20"/>
                <w:szCs w:val="20"/>
                <w:highlight w:val="none"/>
                <w:lang w:val="en-US" w:eastAsia="zh-CN"/>
              </w:rPr>
              <w:t>147.94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highlight w:val="none"/>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highlight w:val="none"/>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eastAsia" w:ascii="宋体" w:eastAsia="宋体" w:cs="宋体"/>
                <w:color w:val="000000"/>
                <w:sz w:val="18"/>
                <w:szCs w:val="18"/>
                <w:highlight w:val="none"/>
                <w:lang w:eastAsia="zh-CN"/>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eastAsia" w:ascii="宋体" w:eastAsia="宋体" w:cs="宋体"/>
                <w:color w:val="000000"/>
                <w:sz w:val="20"/>
                <w:szCs w:val="20"/>
                <w:highlight w:val="none"/>
                <w:lang w:val="en-US" w:eastAsia="zh-CN"/>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highlight w:val="none"/>
              </w:rPr>
            </w:pPr>
            <w:r>
              <w:rPr>
                <w:rFonts w:hint="eastAsia" w:ascii="宋体" w:hAnsi="宋体" w:cs="宋体"/>
                <w:b/>
                <w:color w:val="000000"/>
                <w:kern w:val="0"/>
                <w:sz w:val="20"/>
                <w:szCs w:val="20"/>
                <w:highlight w:val="none"/>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highlight w:val="none"/>
                <w:lang w:val="en-US" w:eastAsia="zh-CN"/>
              </w:rPr>
            </w:pPr>
            <w:r>
              <w:rPr>
                <w:rFonts w:hint="eastAsia" w:ascii="宋体" w:cs="宋体"/>
                <w:color w:val="000000"/>
                <w:sz w:val="20"/>
                <w:szCs w:val="20"/>
                <w:highlight w:val="none"/>
                <w:lang w:val="en-US" w:eastAsia="zh-CN"/>
              </w:rPr>
              <w:t>147.94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highlight w:val="none"/>
              </w:rPr>
            </w:pPr>
            <w:r>
              <w:rPr>
                <w:rFonts w:hint="eastAsia" w:ascii="宋体" w:hAnsi="宋体" w:cs="宋体"/>
                <w:b/>
                <w:color w:val="000000"/>
                <w:kern w:val="0"/>
                <w:sz w:val="20"/>
                <w:szCs w:val="20"/>
                <w:highlight w:val="none"/>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highlight w:val="none"/>
              </w:rPr>
            </w:pPr>
            <w:r>
              <w:rPr>
                <w:rFonts w:ascii="宋体" w:hAnsi="宋体" w:cs="宋体"/>
                <w:color w:val="000000"/>
                <w:kern w:val="0"/>
                <w:sz w:val="20"/>
                <w:szCs w:val="20"/>
                <w:highlight w:val="none"/>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highlight w:val="none"/>
                <w:lang w:val="en-US" w:eastAsia="zh-CN"/>
              </w:rPr>
            </w:pPr>
            <w:r>
              <w:rPr>
                <w:rFonts w:hint="eastAsia" w:ascii="宋体" w:cs="宋体"/>
                <w:color w:val="000000"/>
                <w:sz w:val="20"/>
                <w:szCs w:val="20"/>
                <w:highlight w:val="none"/>
                <w:lang w:val="en-US" w:eastAsia="zh-CN"/>
              </w:rPr>
              <w:t>147.94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highlight w:val="none"/>
              </w:rPr>
            </w:pPr>
            <w:r>
              <w:rPr>
                <w:rFonts w:hint="eastAsia" w:ascii="宋体" w:hAnsi="宋体" w:cs="宋体"/>
                <w:color w:val="000000"/>
                <w:kern w:val="0"/>
                <w:szCs w:val="21"/>
                <w:highlight w:val="none"/>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0" w:type="auto"/>
        <w:jc w:val="center"/>
        <w:tblLayout w:type="fixed"/>
        <w:tblCellMar>
          <w:top w:w="0" w:type="dxa"/>
          <w:left w:w="0" w:type="dxa"/>
          <w:bottom w:w="0" w:type="dxa"/>
          <w:right w:w="0" w:type="dxa"/>
        </w:tblCellMar>
      </w:tblPr>
      <w:tblGrid>
        <w:gridCol w:w="334"/>
        <w:gridCol w:w="178"/>
        <w:gridCol w:w="341"/>
        <w:gridCol w:w="2052"/>
        <w:gridCol w:w="190"/>
        <w:gridCol w:w="50"/>
        <w:gridCol w:w="260"/>
        <w:gridCol w:w="555"/>
        <w:gridCol w:w="402"/>
        <w:gridCol w:w="1254"/>
        <w:gridCol w:w="50"/>
        <w:gridCol w:w="517"/>
        <w:gridCol w:w="298"/>
        <w:gridCol w:w="269"/>
        <w:gridCol w:w="156"/>
        <w:gridCol w:w="474"/>
        <w:gridCol w:w="709"/>
        <w:gridCol w:w="711"/>
        <w:gridCol w:w="60"/>
        <w:gridCol w:w="15"/>
        <w:gridCol w:w="552"/>
      </w:tblGrid>
      <w:tr>
        <w:tblPrEx>
          <w:tblCellMar>
            <w:top w:w="0" w:type="dxa"/>
            <w:left w:w="0" w:type="dxa"/>
            <w:bottom w:w="0" w:type="dxa"/>
            <w:right w:w="0" w:type="dxa"/>
          </w:tblCellMar>
        </w:tblPrEx>
        <w:trPr>
          <w:gridAfter w:val="3"/>
          <w:wAfter w:w="627" w:type="dxa"/>
          <w:trHeight w:val="663" w:hRule="atLeast"/>
          <w:jc w:val="center"/>
        </w:trPr>
        <w:tc>
          <w:tcPr>
            <w:tcW w:w="567" w:type="dxa"/>
            <w:gridSpan w:val="18"/>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收入决</w:t>
            </w:r>
            <w:r>
              <w:rPr>
                <w:highlight w:val="none"/>
              </w:rPr>
              <w:pict>
                <v:group id="组合 34" o:spid="_x0000_s1044" o:spt="203" style="position:absolute;left:0pt;margin-left:-82.75pt;margin-top:-81.1pt;height:41.2pt;width:243.2pt;mso-position-vertical-relative:page;z-index:251659264;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算表</w:t>
            </w:r>
          </w:p>
        </w:tc>
      </w:tr>
      <w:tr>
        <w:tblPrEx>
          <w:tblCellMar>
            <w:top w:w="0" w:type="dxa"/>
            <w:left w:w="0" w:type="dxa"/>
            <w:bottom w:w="0" w:type="dxa"/>
            <w:right w:w="0" w:type="dxa"/>
          </w:tblCellMar>
        </w:tblPrEx>
        <w:trPr>
          <w:trHeight w:val="362" w:hRule="atLeast"/>
          <w:jc w:val="center"/>
        </w:trPr>
        <w:tc>
          <w:tcPr>
            <w:tcW w:w="3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7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34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24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21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56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56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5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396"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公开</w:t>
            </w:r>
            <w:r>
              <w:rPr>
                <w:rFonts w:ascii="宋体" w:hAnsi="宋体" w:cs="宋体"/>
                <w:color w:val="000000"/>
                <w:kern w:val="0"/>
                <w:szCs w:val="21"/>
                <w:highlight w:val="none"/>
              </w:rPr>
              <w:t>02</w:t>
            </w:r>
            <w:r>
              <w:rPr>
                <w:rFonts w:hint="eastAsia" w:ascii="宋体" w:hAnsi="宋体" w:cs="宋体"/>
                <w:color w:val="000000"/>
                <w:kern w:val="0"/>
                <w:szCs w:val="21"/>
                <w:highlight w:val="none"/>
              </w:rPr>
              <w:t>表</w:t>
            </w:r>
          </w:p>
        </w:tc>
      </w:tr>
      <w:tr>
        <w:tblPrEx>
          <w:tblCellMar>
            <w:top w:w="0" w:type="dxa"/>
            <w:left w:w="0" w:type="dxa"/>
            <w:bottom w:w="0" w:type="dxa"/>
            <w:right w:w="0" w:type="dxa"/>
          </w:tblCellMar>
        </w:tblPrEx>
        <w:trPr>
          <w:gridAfter w:val="1"/>
          <w:wAfter w:w="552" w:type="dxa"/>
          <w:trHeight w:val="362" w:hRule="atLeast"/>
          <w:jc w:val="center"/>
        </w:trPr>
        <w:tc>
          <w:tcPr>
            <w:tcW w:w="290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部门：</w:t>
            </w:r>
            <w:r>
              <w:rPr>
                <w:rFonts w:hint="eastAsia" w:ascii="宋体" w:hAnsi="宋体" w:cs="宋体"/>
                <w:color w:val="000000"/>
                <w:kern w:val="0"/>
                <w:sz w:val="18"/>
                <w:szCs w:val="18"/>
                <w:highlight w:val="none"/>
              </w:rPr>
              <w:t>保定市满城区工商业联合会</w:t>
            </w:r>
          </w:p>
        </w:tc>
        <w:tc>
          <w:tcPr>
            <w:tcW w:w="24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65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394"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金额单位：万元</w:t>
            </w:r>
          </w:p>
        </w:tc>
      </w:tr>
      <w:tr>
        <w:tblPrEx>
          <w:tblCellMar>
            <w:top w:w="0" w:type="dxa"/>
            <w:left w:w="0" w:type="dxa"/>
            <w:bottom w:w="0" w:type="dxa"/>
            <w:right w:w="0" w:type="dxa"/>
          </w:tblCellMar>
        </w:tblPrEx>
        <w:trPr>
          <w:gridAfter w:val="2"/>
          <w:wAfter w:w="567" w:type="dxa"/>
          <w:trHeight w:val="325" w:hRule="atLeast"/>
          <w:jc w:val="center"/>
        </w:trPr>
        <w:tc>
          <w:tcPr>
            <w:tcW w:w="3095"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项目</w:t>
            </w:r>
          </w:p>
        </w:tc>
        <w:tc>
          <w:tcPr>
            <w:tcW w:w="1267"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本年收入合计</w:t>
            </w:r>
          </w:p>
        </w:tc>
        <w:tc>
          <w:tcPr>
            <w:tcW w:w="1254"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财政拨款收入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上级补助收入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事业收入</w:t>
            </w:r>
          </w:p>
        </w:tc>
        <w:tc>
          <w:tcPr>
            <w:tcW w:w="63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经营收入</w:t>
            </w:r>
          </w:p>
        </w:tc>
        <w:tc>
          <w:tcPr>
            <w:tcW w:w="70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附属单位上缴收入</w:t>
            </w:r>
          </w:p>
        </w:tc>
        <w:tc>
          <w:tcPr>
            <w:tcW w:w="771" w:type="dxa"/>
            <w:gridSpan w:val="2"/>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r>
              <w:rPr>
                <w:rFonts w:hint="eastAsia" w:ascii="宋体" w:hAnsi="宋体" w:cs="宋体"/>
                <w:color w:val="000000"/>
                <w:kern w:val="0"/>
                <w:sz w:val="20"/>
                <w:szCs w:val="20"/>
                <w:highlight w:val="none"/>
              </w:rPr>
              <w:t>其他收入</w:t>
            </w:r>
          </w:p>
        </w:tc>
      </w:tr>
      <w:tr>
        <w:tblPrEx>
          <w:tblCellMar>
            <w:top w:w="0" w:type="dxa"/>
            <w:left w:w="0" w:type="dxa"/>
            <w:bottom w:w="0" w:type="dxa"/>
            <w:right w:w="0" w:type="dxa"/>
          </w:tblCellMar>
        </w:tblPrEx>
        <w:trPr>
          <w:gridAfter w:val="2"/>
          <w:wAfter w:w="567" w:type="dxa"/>
          <w:trHeight w:val="626" w:hRule="atLeast"/>
          <w:jc w:val="center"/>
        </w:trPr>
        <w:tc>
          <w:tcPr>
            <w:tcW w:w="8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功能分类科目编码</w:t>
            </w:r>
          </w:p>
        </w:tc>
        <w:tc>
          <w:tcPr>
            <w:tcW w:w="2242"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科目名称</w:t>
            </w:r>
          </w:p>
        </w:tc>
        <w:tc>
          <w:tcPr>
            <w:tcW w:w="1267"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highlight w:val="none"/>
              </w:rPr>
            </w:pPr>
          </w:p>
        </w:tc>
        <w:tc>
          <w:tcPr>
            <w:tcW w:w="1254"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c>
          <w:tcPr>
            <w:tcW w:w="63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c>
          <w:tcPr>
            <w:tcW w:w="70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c>
          <w:tcPr>
            <w:tcW w:w="771" w:type="dxa"/>
            <w:gridSpan w:val="2"/>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highlight w:val="none"/>
              </w:rPr>
            </w:pPr>
          </w:p>
        </w:tc>
      </w:tr>
      <w:tr>
        <w:tblPrEx>
          <w:tblCellMar>
            <w:top w:w="0" w:type="dxa"/>
            <w:left w:w="0" w:type="dxa"/>
            <w:bottom w:w="0" w:type="dxa"/>
            <w:right w:w="0" w:type="dxa"/>
          </w:tblCellMar>
        </w:tblPrEx>
        <w:trPr>
          <w:gridAfter w:val="2"/>
          <w:wAfter w:w="567" w:type="dxa"/>
          <w:trHeight w:val="391" w:hRule="atLeast"/>
          <w:jc w:val="center"/>
        </w:trPr>
        <w:tc>
          <w:tcPr>
            <w:tcW w:w="309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栏次</w:t>
            </w:r>
          </w:p>
        </w:tc>
        <w:tc>
          <w:tcPr>
            <w:tcW w:w="1267"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w:t>
            </w:r>
          </w:p>
        </w:tc>
        <w:tc>
          <w:tcPr>
            <w:tcW w:w="12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w:t>
            </w:r>
          </w:p>
        </w:tc>
        <w:tc>
          <w:tcPr>
            <w:tcW w:w="63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6</w:t>
            </w:r>
          </w:p>
        </w:tc>
        <w:tc>
          <w:tcPr>
            <w:tcW w:w="7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7</w:t>
            </w:r>
          </w:p>
        </w:tc>
      </w:tr>
      <w:tr>
        <w:tblPrEx>
          <w:tblCellMar>
            <w:top w:w="0" w:type="dxa"/>
            <w:left w:w="0" w:type="dxa"/>
            <w:bottom w:w="0" w:type="dxa"/>
            <w:right w:w="0" w:type="dxa"/>
          </w:tblCellMar>
        </w:tblPrEx>
        <w:trPr>
          <w:trHeight w:val="497" w:hRule="atLeast"/>
          <w:jc w:val="center"/>
        </w:trPr>
        <w:tc>
          <w:tcPr>
            <w:tcW w:w="309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合计</w:t>
            </w:r>
          </w:p>
        </w:tc>
        <w:tc>
          <w:tcPr>
            <w:tcW w:w="1267"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18"/>
                <w:szCs w:val="18"/>
                <w:highlight w:val="none"/>
              </w:rPr>
            </w:pPr>
            <w:r>
              <w:rPr>
                <w:rFonts w:hint="eastAsia" w:ascii="宋体" w:hAnsi="宋体" w:eastAsia="宋体" w:cs="宋体"/>
                <w:b w:val="0"/>
                <w:bCs/>
                <w:i w:val="0"/>
                <w:color w:val="000000"/>
                <w:kern w:val="0"/>
                <w:sz w:val="22"/>
                <w:szCs w:val="22"/>
                <w:u w:val="none"/>
                <w:lang w:val="en-US" w:eastAsia="zh-CN" w:bidi="ar"/>
              </w:rPr>
              <w:t>147.94</w:t>
            </w:r>
          </w:p>
        </w:tc>
        <w:tc>
          <w:tcPr>
            <w:tcW w:w="1254"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18"/>
                <w:szCs w:val="18"/>
                <w:highlight w:val="none"/>
              </w:rPr>
            </w:pPr>
            <w:r>
              <w:rPr>
                <w:rFonts w:hint="eastAsia" w:ascii="宋体" w:hAnsi="宋体" w:eastAsia="宋体" w:cs="宋体"/>
                <w:b w:val="0"/>
                <w:bCs/>
                <w:i w:val="0"/>
                <w:color w:val="000000"/>
                <w:kern w:val="0"/>
                <w:sz w:val="22"/>
                <w:szCs w:val="22"/>
                <w:u w:val="none"/>
                <w:lang w:val="en-US" w:eastAsia="zh-CN" w:bidi="ar"/>
              </w:rPr>
              <w:t>147.94</w:t>
            </w: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63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7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77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567" w:type="dxa"/>
            <w:gridSpan w:val="2"/>
            <w:vAlign w:val="center"/>
          </w:tcPr>
          <w:p>
            <w:pPr>
              <w:widowControl/>
              <w:spacing w:after="0" w:line="240" w:lineRule="atLeast"/>
              <w:jc w:val="right"/>
              <w:rPr>
                <w:rFonts w:ascii="宋体" w:cs="宋体"/>
                <w:b/>
                <w:color w:val="000000"/>
                <w:sz w:val="18"/>
                <w:szCs w:val="18"/>
                <w:highlight w:val="none"/>
              </w:rPr>
            </w:pPr>
          </w:p>
        </w:tc>
      </w:tr>
      <w:tr>
        <w:tblPrEx>
          <w:tblCellMar>
            <w:top w:w="0" w:type="dxa"/>
            <w:left w:w="0" w:type="dxa"/>
            <w:bottom w:w="0" w:type="dxa"/>
            <w:right w:w="0" w:type="dxa"/>
          </w:tblCellMar>
        </w:tblPrEx>
        <w:trPr>
          <w:gridAfter w:val="2"/>
          <w:wAfter w:w="567" w:type="dxa"/>
          <w:trHeight w:val="649"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201</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一般公共服务支出</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147.94</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147.94</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20128</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民主党派及工商联事务</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141.45</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141.45</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2012801</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138.19</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138.19</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2012802</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3.26</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3.26</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1019"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20131</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highlight w:val="none"/>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1.69</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1.69</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90"/>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highlight w:val="none"/>
              </w:rPr>
            </w:pPr>
            <w:r>
              <w:rPr>
                <w:rFonts w:hint="eastAsia" w:ascii="宋体" w:hAnsi="宋体" w:eastAsia="宋体" w:cs="宋体"/>
                <w:i w:val="0"/>
                <w:color w:val="000000"/>
                <w:kern w:val="0"/>
                <w:sz w:val="22"/>
                <w:szCs w:val="22"/>
                <w:u w:val="none"/>
                <w:lang w:val="en-US" w:eastAsia="zh-CN" w:bidi="ar"/>
              </w:rPr>
              <w:t>2013101</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0.93</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0.93</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2013102</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0.75</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0.75</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371"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其他共产党事务支出</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4.80</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4.80</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649"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2013601</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2.37</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2.37</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2"/>
          <w:wAfter w:w="567" w:type="dxa"/>
          <w:trHeight w:val="283" w:hRule="atLeast"/>
          <w:jc w:val="center"/>
        </w:trPr>
        <w:tc>
          <w:tcPr>
            <w:tcW w:w="85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2013699</w:t>
            </w:r>
          </w:p>
        </w:tc>
        <w:tc>
          <w:tcPr>
            <w:tcW w:w="224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其他共产党事务支出</w:t>
            </w:r>
          </w:p>
        </w:tc>
        <w:tc>
          <w:tcPr>
            <w:tcW w:w="126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Cs w:val="21"/>
                <w:highlight w:val="none"/>
              </w:rPr>
            </w:pPr>
            <w:r>
              <w:rPr>
                <w:rFonts w:hint="eastAsia" w:ascii="宋体" w:hAnsi="宋体" w:eastAsia="宋体" w:cs="宋体"/>
                <w:b w:val="0"/>
                <w:bCs/>
                <w:i w:val="0"/>
                <w:color w:val="000000"/>
                <w:kern w:val="0"/>
                <w:sz w:val="22"/>
                <w:szCs w:val="22"/>
                <w:u w:val="none"/>
                <w:lang w:val="en-US" w:eastAsia="zh-CN" w:bidi="ar"/>
              </w:rPr>
              <w:t>2.44</w:t>
            </w:r>
          </w:p>
        </w:tc>
        <w:tc>
          <w:tcPr>
            <w:tcW w:w="12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b w:val="0"/>
                <w:bCs/>
                <w:i w:val="0"/>
                <w:color w:val="000000"/>
                <w:kern w:val="0"/>
                <w:sz w:val="22"/>
                <w:szCs w:val="22"/>
                <w:u w:val="none"/>
                <w:lang w:val="en-US" w:eastAsia="zh-CN" w:bidi="ar"/>
              </w:rPr>
              <w:t>2.44</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6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gridAfter w:val="3"/>
          <w:wAfter w:w="627" w:type="dxa"/>
          <w:trHeight w:val="481" w:hRule="atLeast"/>
          <w:jc w:val="center"/>
        </w:trPr>
        <w:tc>
          <w:tcPr>
            <w:tcW w:w="8800" w:type="dxa"/>
            <w:gridSpan w:val="18"/>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注：本表反映部门本年度取得的各项收入情况。</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351"/>
        <w:gridCol w:w="296"/>
        <w:gridCol w:w="838"/>
        <w:gridCol w:w="280"/>
        <w:gridCol w:w="996"/>
        <w:gridCol w:w="124"/>
        <w:gridCol w:w="1010"/>
        <w:gridCol w:w="108"/>
        <w:gridCol w:w="601"/>
        <w:gridCol w:w="519"/>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支出决算</w:t>
            </w:r>
            <w:r>
              <w:rPr>
                <w:highlight w:val="none"/>
              </w:rPr>
              <w:pict>
                <v:group id="组合 38" o:spid="_x0000_s1047" o:spt="203" style="position:absolute;left:0pt;margin-left:-80.9pt;margin-top:-81.1pt;height:41.2pt;width:243.2pt;mso-position-vertical-relative:page;z-index:251659264;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64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公开</w:t>
            </w:r>
            <w:r>
              <w:rPr>
                <w:rFonts w:ascii="宋体" w:hAnsi="宋体" w:cs="宋体"/>
                <w:color w:val="000000"/>
                <w:kern w:val="0"/>
                <w:szCs w:val="21"/>
                <w:highlight w:val="none"/>
              </w:rPr>
              <w:t>03</w:t>
            </w:r>
            <w:r>
              <w:rPr>
                <w:rFonts w:hint="eastAsia" w:ascii="宋体" w:hAnsi="宋体" w:cs="宋体"/>
                <w:color w:val="000000"/>
                <w:kern w:val="0"/>
                <w:szCs w:val="21"/>
                <w:highlight w:val="none"/>
              </w:rPr>
              <w:t>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金额单位：万元</w:t>
            </w:r>
          </w:p>
        </w:tc>
      </w:tr>
      <w:tr>
        <w:tblPrEx>
          <w:tblCellMar>
            <w:top w:w="0" w:type="dxa"/>
            <w:left w:w="0" w:type="dxa"/>
            <w:bottom w:w="0" w:type="dxa"/>
            <w:right w:w="0" w:type="dxa"/>
          </w:tblCellMar>
        </w:tblPrEx>
        <w:trPr>
          <w:trHeight w:val="837" w:hRule="atLeast"/>
        </w:trPr>
        <w:tc>
          <w:tcPr>
            <w:tcW w:w="285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w:t>
            </w:r>
          </w:p>
        </w:tc>
        <w:tc>
          <w:tcPr>
            <w:tcW w:w="113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本年支出合计</w:t>
            </w:r>
          </w:p>
        </w:tc>
        <w:tc>
          <w:tcPr>
            <w:tcW w:w="1276"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基本支出</w:t>
            </w:r>
          </w:p>
        </w:tc>
        <w:tc>
          <w:tcPr>
            <w:tcW w:w="113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项目支出</w:t>
            </w:r>
          </w:p>
        </w:tc>
        <w:tc>
          <w:tcPr>
            <w:tcW w:w="709"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上缴上级支出</w:t>
            </w:r>
          </w:p>
        </w:tc>
        <w:tc>
          <w:tcPr>
            <w:tcW w:w="81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功能分类科目编码</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113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276"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13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709"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81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r>
      <w:tr>
        <w:tblPrEx>
          <w:tblCellMar>
            <w:top w:w="0" w:type="dxa"/>
            <w:left w:w="0" w:type="dxa"/>
            <w:bottom w:w="0" w:type="dxa"/>
            <w:right w:w="0" w:type="dxa"/>
          </w:tblCellMar>
        </w:tblPrEx>
        <w:trPr>
          <w:trHeight w:val="395" w:hRule="atLeast"/>
        </w:trPr>
        <w:tc>
          <w:tcPr>
            <w:tcW w:w="285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栏次</w:t>
            </w:r>
          </w:p>
        </w:tc>
        <w:tc>
          <w:tcPr>
            <w:tcW w:w="113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12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13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3</w:t>
            </w:r>
          </w:p>
        </w:tc>
        <w:tc>
          <w:tcPr>
            <w:tcW w:w="70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4</w:t>
            </w:r>
          </w:p>
        </w:tc>
        <w:tc>
          <w:tcPr>
            <w:tcW w:w="81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6</w:t>
            </w:r>
          </w:p>
        </w:tc>
      </w:tr>
      <w:tr>
        <w:tblPrEx>
          <w:tblCellMar>
            <w:top w:w="0" w:type="dxa"/>
            <w:left w:w="0" w:type="dxa"/>
            <w:bottom w:w="0" w:type="dxa"/>
            <w:right w:w="0" w:type="dxa"/>
          </w:tblCellMar>
        </w:tblPrEx>
        <w:trPr>
          <w:trHeight w:val="440" w:hRule="atLeast"/>
        </w:trPr>
        <w:tc>
          <w:tcPr>
            <w:tcW w:w="285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highlight w:val="none"/>
              </w:rPr>
            </w:pPr>
          </w:p>
        </w:tc>
      </w:tr>
      <w:tr>
        <w:tblPrEx>
          <w:tblCellMar>
            <w:top w:w="0" w:type="dxa"/>
            <w:left w:w="0" w:type="dxa"/>
            <w:bottom w:w="0" w:type="dxa"/>
            <w:right w:w="0" w:type="dxa"/>
          </w:tblCellMar>
        </w:tblPrEx>
        <w:trPr>
          <w:trHeight w:val="1077"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一般公共服务支出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20128</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民主党派及工商联事务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141.45</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141.45</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2012801</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138.19</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138.19</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2012802</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3.26</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3.26</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20131</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1.69</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1.69</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2013101</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0.93</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0.93</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2013102</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0.75</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0.75</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20136</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其他共产党事务支出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4.80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4.80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2013601</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2.37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2.37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2013699</w:t>
            </w:r>
          </w:p>
        </w:tc>
        <w:tc>
          <w:tcPr>
            <w:tcW w:w="146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highlight w:val="none"/>
              </w:rPr>
            </w:pPr>
            <w:r>
              <w:rPr>
                <w:rFonts w:hint="eastAsia" w:ascii="宋体" w:hAnsi="宋体" w:eastAsia="宋体" w:cs="宋体"/>
                <w:i w:val="0"/>
                <w:color w:val="000000"/>
                <w:kern w:val="0"/>
                <w:sz w:val="22"/>
                <w:szCs w:val="22"/>
                <w:u w:val="none"/>
                <w:lang w:val="en-US" w:eastAsia="zh-CN" w:bidi="ar"/>
              </w:rPr>
              <w:t xml:space="preserve">  其他共产党事务支出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2.44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2.44</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8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424"/>
        <w:gridCol w:w="401"/>
        <w:gridCol w:w="592"/>
        <w:gridCol w:w="561"/>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财政拨款收入支出决</w:t>
            </w:r>
            <w:r>
              <w:rPr>
                <w:highlight w:val="none"/>
              </w:rPr>
              <w:pict>
                <v:group id="组合 43" o:spid="_x0000_s1050" o:spt="203" style="position:absolute;left:0pt;margin-left:-80.9pt;margin-top:-81.1pt;height:41.2pt;width:243.2pt;mso-position-vertical-relative:page;z-index:251659264;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公开</w:t>
            </w:r>
            <w:r>
              <w:rPr>
                <w:rFonts w:ascii="宋体" w:hAnsi="宋体" w:cs="宋体"/>
                <w:color w:val="000000"/>
                <w:kern w:val="0"/>
                <w:sz w:val="20"/>
                <w:szCs w:val="20"/>
                <w:highlight w:val="none"/>
              </w:rPr>
              <w:t>04</w:t>
            </w:r>
            <w:r>
              <w:rPr>
                <w:rFonts w:hint="eastAsia" w:ascii="宋体" w:hAnsi="宋体" w:cs="宋体"/>
                <w:color w:val="000000"/>
                <w:kern w:val="0"/>
                <w:sz w:val="20"/>
                <w:szCs w:val="20"/>
                <w:highlight w:val="none"/>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highlight w:val="none"/>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收</w:t>
            </w:r>
            <w:r>
              <w:rPr>
                <w:rFonts w:ascii="宋体" w:hAnsi="宋体" w:cs="宋体"/>
                <w:color w:val="000000"/>
                <w:kern w:val="0"/>
                <w:sz w:val="20"/>
                <w:szCs w:val="20"/>
                <w:highlight w:val="none"/>
              </w:rPr>
              <w:t xml:space="preserve">     </w:t>
            </w:r>
            <w:r>
              <w:rPr>
                <w:rFonts w:hint="eastAsia" w:ascii="宋体" w:hAnsi="宋体" w:cs="宋体"/>
                <w:color w:val="000000"/>
                <w:kern w:val="0"/>
                <w:sz w:val="20"/>
                <w:szCs w:val="20"/>
                <w:highlight w:val="none"/>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支</w:t>
            </w:r>
            <w:r>
              <w:rPr>
                <w:rFonts w:ascii="宋体" w:hAnsi="宋体" w:cs="宋体"/>
                <w:color w:val="000000"/>
                <w:kern w:val="0"/>
                <w:sz w:val="20"/>
                <w:szCs w:val="20"/>
                <w:highlight w:val="none"/>
              </w:rPr>
              <w:t xml:space="preserve">     </w:t>
            </w:r>
            <w:r>
              <w:rPr>
                <w:rFonts w:hint="eastAsia" w:ascii="宋体" w:hAnsi="宋体" w:cs="宋体"/>
                <w:color w:val="000000"/>
                <w:kern w:val="0"/>
                <w:sz w:val="20"/>
                <w:szCs w:val="20"/>
                <w:highlight w:val="none"/>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行次</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合计</w:t>
            </w:r>
          </w:p>
        </w:tc>
        <w:tc>
          <w:tcPr>
            <w:tcW w:w="99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一般公共预算财政拨款</w:t>
            </w:r>
          </w:p>
        </w:tc>
        <w:tc>
          <w:tcPr>
            <w:tcW w:w="56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highlight w:val="none"/>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highlight w:val="none"/>
              </w:rPr>
            </w:pP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w:t>
            </w: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r>
              <w:rPr>
                <w:rFonts w:hint="eastAsia" w:ascii="宋体" w:cs="宋体"/>
                <w:color w:val="000000"/>
                <w:sz w:val="18"/>
                <w:szCs w:val="18"/>
                <w:highlight w:val="none"/>
                <w:lang w:val="en-US" w:eastAsia="zh-CN"/>
              </w:rPr>
              <w:t>147.94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29</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 w:val="18"/>
                <w:szCs w:val="18"/>
                <w:highlight w:val="none"/>
                <w:lang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30</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31</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32</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33</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34</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35</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36</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6"/>
                <w:szCs w:val="16"/>
                <w:highlight w:val="none"/>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37</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38</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39</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40</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41</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42</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43</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44</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45</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46</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47</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48</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49</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50</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51</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highlight w:val="none"/>
              </w:rPr>
            </w:pPr>
            <w:r>
              <w:rPr>
                <w:rFonts w:hint="eastAsia" w:ascii="宋体" w:hAnsi="宋体" w:cs="宋体"/>
                <w:b/>
                <w:color w:val="000000"/>
                <w:kern w:val="0"/>
                <w:sz w:val="18"/>
                <w:szCs w:val="18"/>
                <w:highlight w:val="none"/>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highlight w:val="none"/>
              </w:rPr>
            </w:pPr>
            <w:r>
              <w:rPr>
                <w:rFonts w:hint="eastAsia" w:ascii="宋体" w:hAnsi="宋体" w:cs="宋体"/>
                <w:b/>
                <w:color w:val="000000"/>
                <w:kern w:val="0"/>
                <w:sz w:val="18"/>
                <w:szCs w:val="18"/>
                <w:highlight w:val="none"/>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52</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highlight w:val="none"/>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53</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ascii="宋体" w:hAnsi="宋体" w:cs="宋体"/>
                <w:color w:val="000000"/>
                <w:kern w:val="0"/>
                <w:sz w:val="18"/>
                <w:szCs w:val="18"/>
                <w:highlight w:val="none"/>
              </w:rPr>
              <w:t xml:space="preserve">  </w:t>
            </w:r>
            <w:r>
              <w:rPr>
                <w:rFonts w:hint="eastAsia" w:ascii="宋体" w:hAnsi="宋体" w:cs="宋体"/>
                <w:color w:val="000000"/>
                <w:kern w:val="0"/>
                <w:sz w:val="18"/>
                <w:szCs w:val="18"/>
                <w:highlight w:val="none"/>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54</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ascii="宋体" w:hAnsi="宋体" w:cs="宋体"/>
                <w:color w:val="000000"/>
                <w:kern w:val="0"/>
                <w:sz w:val="18"/>
                <w:szCs w:val="18"/>
                <w:highlight w:val="none"/>
              </w:rPr>
              <w:t xml:space="preserve">  </w:t>
            </w:r>
            <w:r>
              <w:rPr>
                <w:rFonts w:hint="eastAsia" w:ascii="宋体" w:hAnsi="宋体" w:cs="宋体"/>
                <w:color w:val="000000"/>
                <w:kern w:val="0"/>
                <w:sz w:val="18"/>
                <w:szCs w:val="18"/>
                <w:highlight w:val="none"/>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highlight w:val="none"/>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55</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highlight w:val="none"/>
              </w:rPr>
            </w:pPr>
            <w:r>
              <w:rPr>
                <w:rFonts w:hint="eastAsia" w:ascii="宋体" w:hAnsi="宋体" w:cs="宋体"/>
                <w:b/>
                <w:color w:val="000000"/>
                <w:kern w:val="0"/>
                <w:sz w:val="18"/>
                <w:szCs w:val="18"/>
                <w:highlight w:val="none"/>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highlight w:val="none"/>
              </w:rPr>
            </w:pPr>
            <w:r>
              <w:rPr>
                <w:rFonts w:hint="eastAsia" w:ascii="宋体" w:hAnsi="宋体" w:cs="宋体"/>
                <w:b/>
                <w:color w:val="000000"/>
                <w:kern w:val="0"/>
                <w:sz w:val="18"/>
                <w:szCs w:val="18"/>
                <w:highlight w:val="none"/>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highlight w:val="none"/>
              </w:rPr>
            </w:pPr>
            <w:r>
              <w:rPr>
                <w:rFonts w:ascii="宋体" w:hAnsi="宋体" w:cs="宋体"/>
                <w:color w:val="000000"/>
                <w:kern w:val="0"/>
                <w:sz w:val="18"/>
                <w:szCs w:val="18"/>
                <w:highlight w:val="none"/>
              </w:rPr>
              <w:t>56</w:t>
            </w:r>
          </w:p>
        </w:tc>
        <w:tc>
          <w:tcPr>
            <w:tcW w:w="10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highlight w:val="none"/>
                <w:lang w:val="en-US" w:eastAsia="zh-CN"/>
              </w:rPr>
            </w:pPr>
            <w:r>
              <w:rPr>
                <w:rFonts w:hint="eastAsia" w:ascii="宋体" w:cs="宋体"/>
                <w:color w:val="000000"/>
                <w:sz w:val="18"/>
                <w:szCs w:val="18"/>
                <w:highlight w:val="none"/>
                <w:lang w:val="en-US" w:eastAsia="zh-CN"/>
              </w:rPr>
              <w:t>147.94</w:t>
            </w:r>
          </w:p>
        </w:tc>
        <w:tc>
          <w:tcPr>
            <w:tcW w:w="5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highlight w:val="none"/>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highlight w:val="none"/>
              </w:rPr>
            </w:pPr>
            <w:r>
              <w:rPr>
                <w:rFonts w:hint="eastAsia" w:ascii="宋体" w:hAnsi="宋体" w:cs="宋体"/>
                <w:color w:val="000000"/>
                <w:kern w:val="0"/>
                <w:sz w:val="18"/>
                <w:szCs w:val="18"/>
                <w:highlight w:val="none"/>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315"/>
        <w:gridCol w:w="430"/>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一般公共预算财政拨</w:t>
            </w:r>
            <w:r>
              <w:rPr>
                <w:highlight w:val="none"/>
              </w:rPr>
              <w:pict>
                <v:group id="组合 46" o:spid="_x0000_s1053" o:spt="203" style="position:absolute;left:0pt;margin-left:-80.9pt;margin-top:-81.1pt;height:41.2pt;width:243.2pt;mso-position-vertical-relative:page;z-index:251659264;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74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公开</w:t>
            </w:r>
            <w:r>
              <w:rPr>
                <w:rFonts w:ascii="宋体" w:hAnsi="宋体" w:cs="宋体"/>
                <w:color w:val="000000"/>
                <w:kern w:val="0"/>
                <w:szCs w:val="21"/>
                <w:highlight w:val="none"/>
              </w:rPr>
              <w:t>05</w:t>
            </w:r>
            <w:r>
              <w:rPr>
                <w:rFonts w:hint="eastAsia" w:ascii="宋体" w:hAnsi="宋体" w:cs="宋体"/>
                <w:color w:val="000000"/>
                <w:kern w:val="0"/>
                <w:szCs w:val="21"/>
                <w:highlight w:val="none"/>
              </w:rPr>
              <w:t>表</w:t>
            </w:r>
          </w:p>
        </w:tc>
      </w:tr>
      <w:tr>
        <w:tblPrEx>
          <w:tblCellMar>
            <w:top w:w="0" w:type="dxa"/>
            <w:left w:w="0" w:type="dxa"/>
            <w:bottom w:w="0" w:type="dxa"/>
            <w:right w:w="0" w:type="dxa"/>
          </w:tblCellMar>
        </w:tblPrEx>
        <w:trPr>
          <w:trHeight w:val="334" w:hRule="atLeast"/>
        </w:trPr>
        <w:tc>
          <w:tcPr>
            <w:tcW w:w="3847"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highlight w:val="none"/>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highlight w:val="none"/>
              </w:rPr>
            </w:pPr>
            <w:r>
              <w:rPr>
                <w:rFonts w:hint="eastAsia" w:ascii="宋体" w:hAnsi="宋体" w:cs="宋体"/>
                <w:color w:val="000000"/>
                <w:kern w:val="0"/>
                <w:szCs w:val="21"/>
                <w:highlight w:val="none"/>
              </w:rPr>
              <w:t>金额单位：万元</w:t>
            </w:r>
          </w:p>
        </w:tc>
      </w:tr>
      <w:tr>
        <w:tblPrEx>
          <w:tblCellMar>
            <w:top w:w="0" w:type="dxa"/>
            <w:left w:w="0" w:type="dxa"/>
            <w:bottom w:w="0" w:type="dxa"/>
            <w:right w:w="0" w:type="dxa"/>
          </w:tblCellMar>
        </w:tblPrEx>
        <w:trPr>
          <w:trHeight w:val="351" w:hRule="atLeast"/>
        </w:trPr>
        <w:tc>
          <w:tcPr>
            <w:tcW w:w="3417"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w:t>
            </w:r>
          </w:p>
        </w:tc>
        <w:tc>
          <w:tcPr>
            <w:tcW w:w="5443"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功能分类科目编码</w:t>
            </w:r>
          </w:p>
        </w:tc>
        <w:tc>
          <w:tcPr>
            <w:tcW w:w="2424"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1604"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2424"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60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2424"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60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3417"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栏次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ascii="宋体" w:hAnsi="宋体" w:cs="宋体"/>
                <w:color w:val="000000"/>
                <w:kern w:val="0"/>
                <w:szCs w:val="21"/>
                <w:highlight w:val="none"/>
              </w:rPr>
              <w:t>3</w:t>
            </w:r>
          </w:p>
        </w:tc>
      </w:tr>
      <w:tr>
        <w:tblPrEx>
          <w:tblCellMar>
            <w:top w:w="0" w:type="dxa"/>
            <w:left w:w="0" w:type="dxa"/>
            <w:bottom w:w="0" w:type="dxa"/>
            <w:right w:w="0" w:type="dxa"/>
          </w:tblCellMar>
        </w:tblPrEx>
        <w:trPr>
          <w:trHeight w:val="368" w:hRule="atLeast"/>
        </w:trPr>
        <w:tc>
          <w:tcPr>
            <w:tcW w:w="3417"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一般公共服务支出</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147.94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20128</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民主党派及工商联事务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141.45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141.45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2012801</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138.19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138.19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2012802</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3.26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3.26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20131</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1.69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1.69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2013101</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0.93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0.93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2013102</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0.75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0.75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其他共产党事务支出</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4.80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4.80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2013601</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2.37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2.37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2013699</w:t>
            </w:r>
          </w:p>
        </w:tc>
        <w:tc>
          <w:tcPr>
            <w:tcW w:w="24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 xml:space="preserve">  其他共产党事务支出</w:t>
            </w:r>
          </w:p>
        </w:tc>
        <w:tc>
          <w:tcPr>
            <w:tcW w:w="160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highlight w:val="none"/>
              </w:rPr>
            </w:pPr>
            <w:r>
              <w:rPr>
                <w:rFonts w:hint="eastAsia" w:ascii="宋体" w:hAnsi="宋体" w:eastAsia="宋体" w:cs="宋体"/>
                <w:i w:val="0"/>
                <w:color w:val="000000"/>
                <w:kern w:val="0"/>
                <w:sz w:val="22"/>
                <w:szCs w:val="22"/>
                <w:u w:val="none"/>
                <w:lang w:val="en-US" w:eastAsia="zh-CN" w:bidi="ar"/>
              </w:rPr>
              <w:t>2.44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highlight w:val="none"/>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highlight w:val="none"/>
              </w:rPr>
            </w:pPr>
            <w:r>
              <w:rPr>
                <w:rFonts w:hint="eastAsia" w:ascii="宋体" w:hAnsi="宋体" w:cs="宋体"/>
                <w:color w:val="000000"/>
                <w:kern w:val="0"/>
                <w:szCs w:val="21"/>
                <w:highlight w:val="none"/>
              </w:rPr>
              <w:t>注：本表反映部门本年度一般公共预算财政拨款收入及支出情况。</w:t>
            </w:r>
            <w:r>
              <w:rPr>
                <w:rFonts w:ascii="宋体" w:hAnsi="宋体" w:cs="宋体"/>
                <w:color w:val="000000"/>
                <w:kern w:val="0"/>
                <w:szCs w:val="21"/>
                <w:highlight w:val="none"/>
              </w:rPr>
              <w:t xml:space="preserve">      </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公开</w:t>
            </w:r>
            <w:r>
              <w:rPr>
                <w:rFonts w:ascii="宋体" w:hAnsi="宋体" w:cs="宋体"/>
                <w:color w:val="000000"/>
                <w:kern w:val="0"/>
                <w:sz w:val="22"/>
                <w:szCs w:val="22"/>
                <w:highlight w:val="none"/>
              </w:rPr>
              <w:t>06</w:t>
            </w:r>
            <w:r>
              <w:rPr>
                <w:rFonts w:hint="eastAsia" w:ascii="宋体" w:hAnsi="宋体" w:cs="宋体"/>
                <w:color w:val="000000"/>
                <w:kern w:val="0"/>
                <w:sz w:val="22"/>
                <w:szCs w:val="22"/>
                <w:highlight w:val="none"/>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部门：</w:t>
            </w:r>
            <w:r>
              <w:rPr>
                <w:highlight w:val="none"/>
              </w:rPr>
              <w:pict>
                <v:group id="组合 49" o:spid="_x0000_s1056" o:spt="203" style="position:absolute;left:0pt;margin-left:-73.25pt;margin-top:-129.4pt;height:41.2pt;width:243.2pt;mso-position-vertical-relative:page;z-index:25165926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122.48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25.46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39.51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11.97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29.1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2.13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18.13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11.96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5.57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4.41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0.45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1.76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6.46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12.46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1.60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2.43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highlight w:val="none"/>
              </w:rPr>
            </w:pPr>
            <w:r>
              <w:rPr>
                <w:rFonts w:ascii="宋体" w:hAnsi="宋体" w:cs="宋体"/>
                <w:color w:val="000000"/>
                <w:kern w:val="0"/>
                <w:sz w:val="16"/>
                <w:szCs w:val="16"/>
                <w:highlight w:val="none"/>
              </w:rPr>
              <w:t xml:space="preserve">  </w:t>
            </w:r>
            <w:r>
              <w:rPr>
                <w:rFonts w:hint="eastAsia" w:ascii="宋体" w:hAnsi="宋体" w:cs="宋体"/>
                <w:color w:val="000000"/>
                <w:kern w:val="0"/>
                <w:sz w:val="16"/>
                <w:szCs w:val="16"/>
                <w:highlight w:val="none"/>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highlight w:val="none"/>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highlight w:val="none"/>
              </w:rPr>
            </w:pPr>
          </w:p>
        </w:tc>
      </w:tr>
      <w:tr>
        <w:tblPrEx>
          <w:tblCellMar>
            <w:top w:w="0" w:type="dxa"/>
            <w:left w:w="0" w:type="dxa"/>
            <w:bottom w:w="0" w:type="dxa"/>
            <w:right w:w="0" w:type="dxa"/>
          </w:tblCellMar>
        </w:tblPrEx>
        <w:trPr>
          <w:trHeight w:val="549"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highlight w:val="none"/>
                <w:lang w:val="en-US" w:eastAsia="zh-CN"/>
              </w:rPr>
            </w:pPr>
            <w:r>
              <w:rPr>
                <w:rFonts w:hint="eastAsia" w:ascii="宋体" w:cs="宋体"/>
                <w:color w:val="000000"/>
                <w:sz w:val="16"/>
                <w:szCs w:val="16"/>
                <w:highlight w:val="none"/>
                <w:lang w:val="en-US" w:eastAsia="zh-CN"/>
              </w:rPr>
              <w:t>122.48</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highlight w:val="none"/>
              </w:rPr>
            </w:pPr>
            <w:r>
              <w:rPr>
                <w:rFonts w:hint="eastAsia" w:ascii="宋体" w:hAnsi="宋体" w:cs="宋体"/>
                <w:color w:val="000000"/>
                <w:kern w:val="0"/>
                <w:sz w:val="16"/>
                <w:szCs w:val="16"/>
                <w:highlight w:val="none"/>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highlight w:val="none"/>
              </w:rPr>
            </w:pPr>
            <w:r>
              <w:rPr>
                <w:rFonts w:hint="eastAsia" w:ascii="宋体" w:cs="宋体"/>
                <w:color w:val="000000"/>
                <w:sz w:val="16"/>
                <w:szCs w:val="16"/>
                <w:highlight w:val="none"/>
                <w:lang w:val="en-US" w:eastAsia="zh-CN"/>
              </w:rPr>
              <w:t>25.46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注：本表反映部门本年度一般公共预算财政拨款基本支出明细情况。</w:t>
            </w:r>
            <w:r>
              <w:rPr>
                <w:rFonts w:ascii="宋体" w:hAnsi="宋体" w:cs="宋体"/>
                <w:color w:val="000000"/>
                <w:kern w:val="0"/>
                <w:sz w:val="20"/>
                <w:szCs w:val="20"/>
                <w:highlight w:val="none"/>
              </w:rPr>
              <w:t xml:space="preserve">        </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一般公共预算财政拨款“</w:t>
            </w:r>
            <w:r>
              <w:rPr>
                <w:highlight w:val="none"/>
              </w:rPr>
              <w:pict>
                <v:group id="组合 52" o:spid="_x0000_s1059" o:spt="203" style="position:absolute;left:0pt;margin-left:-82.75pt;margin-top:-81.1pt;height:41.2pt;width:243.2pt;mso-position-vertical-relative:page;z-index:251659264;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highlight w:val="none"/>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highlight w:val="none"/>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highlight w:val="none"/>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highlight w:val="none"/>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highlight w:val="none"/>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公开</w:t>
            </w:r>
            <w:r>
              <w:rPr>
                <w:rFonts w:ascii="宋体" w:hAnsi="宋体" w:cs="宋体"/>
                <w:color w:val="000000"/>
                <w:kern w:val="0"/>
                <w:sz w:val="20"/>
                <w:szCs w:val="20"/>
                <w:highlight w:val="none"/>
              </w:rPr>
              <w:t>07</w:t>
            </w:r>
            <w:r>
              <w:rPr>
                <w:rFonts w:hint="eastAsia" w:ascii="宋体" w:hAnsi="宋体" w:cs="宋体"/>
                <w:color w:val="000000"/>
                <w:kern w:val="0"/>
                <w:sz w:val="20"/>
                <w:szCs w:val="20"/>
                <w:highlight w:val="none"/>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highlight w:val="none"/>
              </w:rPr>
            </w:pPr>
            <w:r>
              <w:rPr>
                <w:rFonts w:hint="eastAsia" w:ascii="宋体" w:hAnsi="宋体" w:cs="宋体"/>
                <w:color w:val="000000"/>
                <w:kern w:val="0"/>
                <w:sz w:val="20"/>
                <w:szCs w:val="20"/>
                <w:highlight w:val="none"/>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highlight w:val="none"/>
                <w:lang w:val="en-US" w:eastAsia="zh-CN"/>
              </w:rPr>
            </w:pPr>
            <w:r>
              <w:rPr>
                <w:rFonts w:hint="eastAsia" w:ascii="宋体" w:cs="宋体"/>
                <w:color w:val="000000"/>
                <w:szCs w:val="21"/>
                <w:highlight w:val="none"/>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highlight w:val="none"/>
                <w:lang w:val="en-US" w:eastAsia="zh-CN"/>
              </w:rPr>
            </w:pPr>
            <w:r>
              <w:rPr>
                <w:rFonts w:hint="eastAsia" w:ascii="宋体" w:cs="宋体"/>
                <w:color w:val="000000"/>
                <w:szCs w:val="21"/>
                <w:highlight w:val="none"/>
                <w:lang w:val="en-US" w:eastAsia="zh-CN"/>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cs="宋体"/>
                <w:color w:val="000000"/>
                <w:szCs w:val="21"/>
                <w:highlight w:val="none"/>
                <w:lang w:val="en-US"/>
              </w:rPr>
            </w:pPr>
            <w:r>
              <w:rPr>
                <w:rFonts w:hint="eastAsia" w:ascii="宋体" w:cs="宋体"/>
                <w:color w:val="000000"/>
                <w:szCs w:val="21"/>
                <w:highlight w:val="none"/>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highlight w:val="none"/>
                <w:lang w:eastAsia="zh-CN"/>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cs="宋体"/>
                <w:color w:val="000000"/>
                <w:szCs w:val="21"/>
                <w:highlight w:val="none"/>
                <w:lang w:val="en-US"/>
              </w:rPr>
            </w:pPr>
            <w:r>
              <w:rPr>
                <w:rFonts w:hint="eastAsia" w:ascii="宋体" w:cs="宋体"/>
                <w:color w:val="000000"/>
                <w:szCs w:val="21"/>
                <w:highlight w:val="none"/>
                <w:lang w:val="en-US" w:eastAsia="zh-CN"/>
              </w:rPr>
              <w:t>2.43</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highlight w:val="none"/>
                <w:lang w:val="en-US" w:eastAsia="zh-CN"/>
              </w:rPr>
            </w:pPr>
            <w:r>
              <w:rPr>
                <w:rFonts w:hint="eastAsia" w:ascii="宋体" w:cs="宋体"/>
                <w:color w:val="000000"/>
                <w:szCs w:val="21"/>
                <w:highlight w:val="none"/>
                <w:lang w:val="en-US" w:eastAsia="zh-CN"/>
              </w:rPr>
              <w:t>2.43</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highlight w:val="none"/>
                <w:lang w:val="en-US" w:eastAsia="zh-CN"/>
              </w:rPr>
            </w:pPr>
            <w:r>
              <w:rPr>
                <w:rFonts w:hint="eastAsia" w:ascii="宋体" w:cs="宋体"/>
                <w:color w:val="000000"/>
                <w:szCs w:val="21"/>
                <w:highlight w:val="none"/>
                <w:lang w:val="en-US" w:eastAsia="zh-CN"/>
              </w:rPr>
              <w:t>2.43</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highlight w:val="none"/>
              </w:rPr>
            </w:pPr>
            <w:r>
              <w:rPr>
                <w:rFonts w:hint="eastAsia" w:ascii="宋体" w:hAnsi="宋体" w:cs="宋体"/>
                <w:color w:val="000000"/>
                <w:kern w:val="0"/>
                <w:szCs w:val="21"/>
                <w:highlight w:val="none"/>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highlight w:val="none"/>
              </w:rPr>
              <w:t xml:space="preserve">           </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highlight w:val="none"/>
              </w:rPr>
            </w:pPr>
            <w:r>
              <w:rPr>
                <w:rFonts w:hint="eastAsia" w:ascii="黑体" w:hAnsi="宋体" w:eastAsia="黑体" w:cs="黑体"/>
                <w:color w:val="000000"/>
                <w:kern w:val="0"/>
                <w:sz w:val="36"/>
                <w:szCs w:val="36"/>
                <w:highlight w:val="none"/>
              </w:rPr>
              <w:t>政府性基金预算财政拨款</w:t>
            </w:r>
            <w:r>
              <w:rPr>
                <w:highlight w:val="none"/>
              </w:rPr>
              <w:pict>
                <v:group id="组合 55" o:spid="_x0000_s1062" o:spt="203" style="position:absolute;left:0pt;margin-left:-80.9pt;margin-top:-81.1pt;height:41.2pt;width:243.2pt;mso-position-vertical-relative:page;z-index:251659264;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highlight w:val="none"/>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highlight w:val="none"/>
              </w:rPr>
            </w:pPr>
            <w:r>
              <w:rPr>
                <w:rFonts w:hint="eastAsia" w:ascii="宋体" w:hAnsi="宋体" w:cs="宋体"/>
                <w:color w:val="000000"/>
                <w:kern w:val="0"/>
                <w:szCs w:val="21"/>
                <w:highlight w:val="none"/>
              </w:rPr>
              <w:t>公开</w:t>
            </w:r>
            <w:r>
              <w:rPr>
                <w:rFonts w:ascii="宋体" w:hAnsi="宋体" w:cs="宋体"/>
                <w:color w:val="000000"/>
                <w:kern w:val="0"/>
                <w:szCs w:val="21"/>
                <w:highlight w:val="none"/>
              </w:rPr>
              <w:t>08</w:t>
            </w:r>
            <w:r>
              <w:rPr>
                <w:rFonts w:hint="eastAsia" w:ascii="宋体" w:hAnsi="宋体" w:cs="宋体"/>
                <w:color w:val="000000"/>
                <w:kern w:val="0"/>
                <w:szCs w:val="21"/>
                <w:highlight w:val="none"/>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highlight w:val="none"/>
              </w:rPr>
            </w:pPr>
            <w:r>
              <w:rPr>
                <w:rFonts w:hint="eastAsia" w:ascii="宋体" w:hAnsi="宋体" w:cs="宋体"/>
                <w:color w:val="000000"/>
                <w:kern w:val="0"/>
                <w:szCs w:val="21"/>
                <w:highlight w:val="none"/>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highlight w:val="none"/>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highlight w:val="none"/>
              </w:rPr>
            </w:pPr>
            <w:r>
              <w:rPr>
                <w:rFonts w:hint="eastAsia" w:ascii="宋体" w:hAnsi="宋体" w:cs="宋体"/>
                <w:color w:val="000000"/>
                <w:kern w:val="0"/>
                <w:szCs w:val="21"/>
                <w:highlight w:val="none"/>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highlight w:val="none"/>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注：本表反映部门本年度政府性基金预算财政拨款收入、支出及结转和结余情况。</w:t>
            </w:r>
          </w:p>
          <w:p>
            <w:pPr>
              <w:widowControl/>
              <w:adjustRightInd w:val="0"/>
              <w:spacing w:after="0" w:line="240" w:lineRule="auto"/>
              <w:jc w:val="left"/>
              <w:textAlignment w:val="center"/>
              <w:rPr>
                <w:rFonts w:ascii="宋体" w:cs="宋体"/>
                <w:color w:val="000000"/>
                <w:szCs w:val="21"/>
                <w:highlight w:val="none"/>
              </w:rPr>
            </w:pPr>
            <w:r>
              <w:rPr>
                <w:rFonts w:hint="eastAsia" w:ascii="宋体" w:hAnsi="宋体" w:cs="宋体"/>
                <w:color w:val="000000"/>
                <w:kern w:val="0"/>
                <w:szCs w:val="21"/>
                <w:highlight w:val="none"/>
                <w:lang w:val="en-US" w:eastAsia="zh-CN"/>
              </w:rPr>
              <w:t>我单位本年度没有政府性基金收入，按要求空表列示</w:t>
            </w:r>
            <w:r>
              <w:rPr>
                <w:rFonts w:ascii="宋体" w:hAnsi="宋体" w:cs="宋体"/>
                <w:color w:val="000000"/>
                <w:kern w:val="0"/>
                <w:szCs w:val="21"/>
                <w:highlight w:val="none"/>
              </w:rPr>
              <w:t xml:space="preserve">         </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国有资本经营预算财政拨</w:t>
            </w:r>
            <w:r>
              <w:rPr>
                <w:highlight w:val="none"/>
              </w:rPr>
              <w:pict>
                <v:group id="组合 58" o:spid="_x0000_s1065" o:spt="203" style="position:absolute;left:0pt;margin-left:-80.9pt;margin-top:-81.1pt;height:41.2pt;width:243.2pt;mso-position-vertical-relative:page;z-index:251659264;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公开</w:t>
            </w:r>
            <w:r>
              <w:rPr>
                <w:rFonts w:ascii="宋体" w:hAnsi="宋体" w:cs="宋体"/>
                <w:color w:val="000000"/>
                <w:kern w:val="0"/>
                <w:sz w:val="22"/>
                <w:szCs w:val="22"/>
                <w:highlight w:val="none"/>
              </w:rPr>
              <w:t>09</w:t>
            </w:r>
            <w:r>
              <w:rPr>
                <w:rFonts w:hint="eastAsia" w:ascii="宋体" w:hAnsi="宋体" w:cs="宋体"/>
                <w:color w:val="000000"/>
                <w:kern w:val="0"/>
                <w:sz w:val="22"/>
                <w:szCs w:val="22"/>
                <w:highlight w:val="none"/>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ascii="宋体" w:hAnsi="宋体" w:cs="宋体"/>
                <w:color w:val="000000"/>
                <w:kern w:val="0"/>
                <w:sz w:val="22"/>
                <w:szCs w:val="22"/>
                <w:highlight w:val="none"/>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ascii="宋体" w:hAnsi="宋体" w:cs="宋体"/>
                <w:color w:val="000000"/>
                <w:kern w:val="0"/>
                <w:sz w:val="22"/>
                <w:szCs w:val="22"/>
                <w:highlight w:val="none"/>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ascii="宋体" w:hAnsi="宋体" w:cs="宋体"/>
                <w:color w:val="000000"/>
                <w:kern w:val="0"/>
                <w:sz w:val="22"/>
                <w:szCs w:val="22"/>
                <w:highlight w:val="none"/>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highlight w:val="none"/>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注：本表反映部门本年度国有资本经营预算财政拨款支出情况。</w:t>
            </w:r>
          </w:p>
          <w:p>
            <w:pPr>
              <w:widowControl/>
              <w:spacing w:after="0" w:line="240" w:lineRule="auto"/>
              <w:jc w:val="left"/>
              <w:textAlignment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我单位本年度没有国有资本经营预算支出，按要求空表列示。</w:t>
            </w:r>
          </w:p>
        </w:tc>
      </w:tr>
    </w:tbl>
    <w:p>
      <w:pPr>
        <w:widowControl/>
        <w:spacing w:after="0" w:line="560" w:lineRule="exact"/>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highlight w:val="none"/>
              </w:rPr>
            </w:pPr>
            <w:r>
              <w:rPr>
                <w:rFonts w:hint="eastAsia" w:ascii="黑体" w:hAnsi="宋体" w:eastAsia="黑体" w:cs="黑体"/>
                <w:color w:val="000000"/>
                <w:kern w:val="0"/>
                <w:sz w:val="40"/>
                <w:szCs w:val="40"/>
                <w:highlight w:val="none"/>
              </w:rPr>
              <w:t>政府采购</w:t>
            </w:r>
            <w:r>
              <w:rPr>
                <w:highlight w:val="none"/>
              </w:rPr>
              <w:pict>
                <v:group id="组合 61" o:spid="_x0000_s1068" o:spt="203" style="position:absolute;left:0pt;margin-left:-80.9pt;margin-top:-81.1pt;height:41.2pt;width:243.2pt;mso-position-vertical-relative:page;z-index:251659264;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highlight w:val="none"/>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highlight w:val="none"/>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highlight w:val="none"/>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highlight w:val="none"/>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highlight w:val="none"/>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highlight w:val="none"/>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highlight w:val="none"/>
              </w:rPr>
            </w:pPr>
            <w:r>
              <w:rPr>
                <w:rFonts w:hint="eastAsia" w:ascii="宋体" w:hAnsi="宋体" w:cs="宋体"/>
                <w:color w:val="000000"/>
                <w:kern w:val="0"/>
                <w:szCs w:val="21"/>
                <w:highlight w:val="none"/>
              </w:rPr>
              <w:t>公开</w:t>
            </w:r>
            <w:r>
              <w:rPr>
                <w:rFonts w:ascii="宋体" w:hAnsi="宋体" w:cs="宋体"/>
                <w:color w:val="000000"/>
                <w:kern w:val="0"/>
                <w:szCs w:val="21"/>
                <w:highlight w:val="none"/>
              </w:rPr>
              <w:t>10</w:t>
            </w:r>
            <w:r>
              <w:rPr>
                <w:rFonts w:hint="eastAsia" w:ascii="宋体" w:hAnsi="宋体" w:cs="宋体"/>
                <w:color w:val="000000"/>
                <w:kern w:val="0"/>
                <w:szCs w:val="21"/>
                <w:highlight w:val="none"/>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highlight w:val="none"/>
              </w:rPr>
            </w:pPr>
            <w:r>
              <w:rPr>
                <w:rFonts w:hint="eastAsia" w:ascii="宋体" w:hAnsi="宋体" w:cs="宋体"/>
                <w:color w:val="000000"/>
                <w:kern w:val="0"/>
                <w:szCs w:val="21"/>
                <w:highlight w:val="none"/>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highlight w:val="none"/>
              </w:rPr>
            </w:pPr>
            <w:r>
              <w:rPr>
                <w:rFonts w:hint="eastAsia" w:ascii="宋体" w:hAnsi="宋体" w:cs="宋体"/>
                <w:color w:val="000000"/>
                <w:kern w:val="0"/>
                <w:szCs w:val="21"/>
                <w:highlight w:val="none"/>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highlight w:val="none"/>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ascii="宋体" w:hAnsi="宋体" w:cs="宋体"/>
                <w:color w:val="000000"/>
                <w:kern w:val="0"/>
                <w:szCs w:val="21"/>
                <w:highlight w:val="none"/>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合</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highlight w:val="none"/>
              </w:rPr>
            </w:pPr>
            <w:r>
              <w:rPr>
                <w:rFonts w:hint="eastAsia" w:ascii="宋体" w:hAnsi="宋体" w:cs="宋体"/>
                <w:color w:val="000000"/>
                <w:kern w:val="0"/>
                <w:szCs w:val="21"/>
                <w:highlight w:val="none"/>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highlight w:val="none"/>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highlight w:val="none"/>
              </w:rPr>
            </w:pPr>
            <w:r>
              <w:rPr>
                <w:rFonts w:hint="eastAsia" w:ascii="宋体" w:hAnsi="宋体" w:cs="宋体"/>
                <w:color w:val="000000"/>
                <w:kern w:val="0"/>
                <w:szCs w:val="21"/>
                <w:highlight w:val="none"/>
                <w:lang w:val="en-US" w:eastAsia="zh-CN"/>
              </w:rPr>
              <w:t>我单位本年度没有政府采购支出，按要求空表列示。</w:t>
            </w:r>
            <w:r>
              <w:rPr>
                <w:rFonts w:ascii="宋体" w:hAnsi="宋体" w:cs="宋体"/>
                <w:color w:val="000000"/>
                <w:kern w:val="0"/>
                <w:szCs w:val="21"/>
                <w:highlight w:val="none"/>
              </w:rPr>
              <w:t xml:space="preserve">     </w:t>
            </w:r>
          </w:p>
        </w:tc>
      </w:tr>
    </w:tbl>
    <w:p>
      <w:pPr>
        <w:widowControl/>
        <w:spacing w:after="0" w:line="560" w:lineRule="exact"/>
        <w:jc w:val="left"/>
        <w:rPr>
          <w:rFonts w:ascii="仿宋_GB2312" w:hAnsi="宋体" w:eastAsia="仿宋_GB2312"/>
          <w:b/>
          <w:sz w:val="28"/>
          <w:szCs w:val="28"/>
          <w:highlight w:val="none"/>
        </w:rPr>
      </w:pPr>
    </w:p>
    <w:p>
      <w:pPr>
        <w:rPr>
          <w:highlight w:val="none"/>
        </w:rPr>
      </w:pPr>
    </w:p>
    <w:p>
      <w:pPr>
        <w:rPr>
          <w:highlight w:val="none"/>
        </w:rPr>
      </w:pPr>
    </w:p>
    <w:p>
      <w:pPr>
        <w:rPr>
          <w:highlight w:val="none"/>
        </w:rPr>
      </w:pPr>
    </w:p>
    <w:p>
      <w:pPr>
        <w:rPr>
          <w:highlight w:val="none"/>
        </w:rPr>
      </w:pPr>
    </w:p>
    <w:p>
      <w:pPr>
        <w:tabs>
          <w:tab w:val="left" w:pos="1086"/>
        </w:tabs>
        <w:jc w:val="left"/>
        <w:rPr>
          <w:rFonts w:ascii="仿宋_GB2312" w:hAnsi="宋体" w:eastAsia="仿宋_GB2312"/>
          <w:b/>
          <w:sz w:val="28"/>
          <w:szCs w:val="28"/>
          <w:highlight w:val="none"/>
        </w:rPr>
        <w:sectPr>
          <w:pgSz w:w="11906" w:h="16838"/>
          <w:pgMar w:top="2098" w:right="1474" w:bottom="1984" w:left="1588" w:header="851" w:footer="992" w:gutter="0"/>
          <w:cols w:space="0" w:num="1"/>
          <w:docGrid w:type="lines" w:linePitch="312" w:charSpace="0"/>
        </w:sectPr>
      </w:pPr>
      <w:r>
        <w:rPr>
          <w:highlight w:val="none"/>
        </w:rPr>
        <w:tab/>
      </w:r>
    </w:p>
    <w:p>
      <w:pPr>
        <w:rPr>
          <w:rFonts w:ascii="宋体" w:cs="ArialUnicodeMS"/>
          <w:color w:val="000000"/>
          <w:kern w:val="0"/>
          <w:highlight w:val="none"/>
        </w:rPr>
        <w:sectPr>
          <w:pgSz w:w="11906" w:h="16838"/>
          <w:pgMar w:top="2098" w:right="1474" w:bottom="1984" w:left="1588" w:header="851" w:footer="992" w:gutter="0"/>
          <w:cols w:space="0" w:num="1"/>
          <w:docGrid w:type="lines" w:linePitch="312" w:charSpace="0"/>
        </w:sectPr>
      </w:pPr>
      <w:r>
        <w:rPr>
          <w:highlight w:val="none"/>
        </w:rPr>
        <w:pict>
          <v:shape id="图片 4" o:spid="_x0000_s1071"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rPr>
          <w:highlight w:val="none"/>
        </w:rPr>
        <w:pict>
          <v:shape id="文本框 5" o:spid="_x0000_s1072"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highlight w:val="none"/>
        </w:rPr>
      </w:pPr>
      <w:r>
        <w:rPr>
          <w:rFonts w:hint="eastAsia" w:ascii="黑体" w:eastAsia="黑体"/>
          <w:b w:val="0"/>
          <w:bCs w:val="0"/>
          <w:highlight w:val="none"/>
        </w:rPr>
        <w:t>一、收入</w:t>
      </w:r>
      <w:r>
        <w:rPr>
          <w:rFonts w:hint="eastAsia" w:ascii="黑体" w:hAnsi="Cambria" w:eastAsia="黑体" w:cs="黑体"/>
          <w:b w:val="0"/>
          <w:bCs w:val="0"/>
          <w:kern w:val="0"/>
          <w:highlight w:val="none"/>
        </w:rPr>
        <w:t>支</w:t>
      </w:r>
      <w:r>
        <w:rPr>
          <w:highlight w:val="none"/>
        </w:rPr>
        <w:pict>
          <v:group id="组合 18" o:spid="_x0000_s1073" o:spt="203" style="position:absolute;left:0pt;margin-left:-79.5pt;margin-top:29.3pt;height:43.95pt;width:301.85pt;mso-position-vertical-relative:page;z-index:251659264;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highlight w:val="none"/>
        </w:rPr>
        <w:t>出</w:t>
      </w:r>
      <w:r>
        <w:rPr>
          <w:rFonts w:hint="eastAsia" w:ascii="黑体" w:eastAsia="黑体"/>
          <w:b w:val="0"/>
          <w:bCs w:val="0"/>
          <w:highlight w:val="none"/>
        </w:rPr>
        <w:t>决算总体情况说明</w:t>
      </w:r>
    </w:p>
    <w:p>
      <w:pPr>
        <w:adjustRightInd w:val="0"/>
        <w:snapToGrid w:val="0"/>
        <w:spacing w:after="0" w:line="580" w:lineRule="exact"/>
        <w:ind w:firstLine="640" w:firstLineChars="200"/>
        <w:rPr>
          <w:rFonts w:hint="default"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年度收入总计（含结转和结余）</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val="en-US" w:eastAsia="zh-CN"/>
        </w:rPr>
        <w:t>与2017年决算相比增加18.46万元，增长14.26%。主要原因是办公地点搬迁，购置办公设备，增加物业开支，增加移动通讯补贴。支出总计147.94万元，与2017年决算相比增加18.46万元，增长14.26%。主要原因是办公地点搬迁，购置办公设备，增加物业开支，增加移动通讯补贴。</w:t>
      </w:r>
    </w:p>
    <w:p>
      <w:pPr>
        <w:pStyle w:val="3"/>
        <w:spacing w:before="0" w:after="0" w:line="580" w:lineRule="exact"/>
        <w:ind w:firstLine="640" w:firstLineChars="200"/>
        <w:rPr>
          <w:rFonts w:ascii="黑体" w:eastAsia="黑体"/>
          <w:b w:val="0"/>
          <w:bCs w:val="0"/>
          <w:highlight w:val="none"/>
        </w:rPr>
      </w:pPr>
      <w:r>
        <w:rPr>
          <w:rFonts w:hint="eastAsia" w:ascii="黑体" w:eastAsia="黑体"/>
          <w:b w:val="0"/>
          <w:bCs w:val="0"/>
          <w:highlight w:val="none"/>
        </w:rPr>
        <w:t>二、收入决算情况说明</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年度本年收入合计</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万元，其中：财政拨款收入</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万元，占100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highlight w:val="none"/>
        </w:rPr>
      </w:pPr>
      <w:r>
        <w:rPr>
          <w:rFonts w:hint="eastAsia" w:ascii="黑体" w:eastAsia="黑体"/>
          <w:b w:val="0"/>
          <w:bCs w:val="0"/>
          <w:highlight w:val="none"/>
        </w:rPr>
        <w:t>三、支出决算情况说明</w:t>
      </w:r>
    </w:p>
    <w:p>
      <w:pPr>
        <w:adjustRightInd w:val="0"/>
        <w:snapToGrid w:val="0"/>
        <w:spacing w:after="0" w:line="580" w:lineRule="exact"/>
        <w:ind w:firstLine="640" w:firstLineChars="200"/>
        <w:rPr>
          <w:rFonts w:hint="default"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年度本年支出合计</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万元，其中：基本支出</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万元，占</w:t>
      </w:r>
      <w:r>
        <w:rPr>
          <w:rFonts w:hint="eastAsia" w:ascii="仿宋_GB2312" w:eastAsia="仿宋_GB2312" w:cs="DengXian-Regular"/>
          <w:sz w:val="32"/>
          <w:szCs w:val="32"/>
          <w:highlight w:val="none"/>
          <w:lang w:val="en-US" w:eastAsia="zh-CN"/>
        </w:rPr>
        <w:t>100</w:t>
      </w:r>
      <w:r>
        <w:rPr>
          <w:rFonts w:ascii="仿宋_GB2312" w:eastAsia="仿宋_GB2312" w:cs="DengXian-Regular"/>
          <w:sz w:val="32"/>
          <w:szCs w:val="32"/>
          <w:highlight w:val="none"/>
        </w:rPr>
        <w:t>%</w:t>
      </w:r>
      <w:r>
        <w:rPr>
          <w:rFonts w:hint="eastAsia" w:ascii="仿宋_GB2312" w:eastAsia="仿宋_GB2312" w:cs="DengXian-Regular"/>
          <w:sz w:val="32"/>
          <w:szCs w:val="32"/>
          <w:highlight w:val="none"/>
          <w:lang w:eastAsia="zh-CN"/>
        </w:rPr>
        <w:t>。</w:t>
      </w:r>
      <w:r>
        <w:rPr>
          <w:rFonts w:hint="eastAsia" w:ascii="仿宋_GB2312" w:eastAsia="仿宋_GB2312" w:cs="DengXian-Regular"/>
          <w:sz w:val="32"/>
          <w:szCs w:val="32"/>
          <w:highlight w:val="none"/>
          <w:lang w:val="en-US" w:eastAsia="zh-CN"/>
        </w:rPr>
        <w:t>项目支出0万元，占0%.</w:t>
      </w:r>
    </w:p>
    <w:p>
      <w:pPr>
        <w:pStyle w:val="3"/>
        <w:spacing w:before="0" w:after="0" w:line="580" w:lineRule="exact"/>
        <w:ind w:firstLine="640" w:firstLineChars="200"/>
        <w:rPr>
          <w:rFonts w:hint="eastAsia" w:ascii="黑体" w:eastAsia="黑体"/>
          <w:b w:val="0"/>
          <w:bCs w:val="0"/>
          <w:highlight w:val="none"/>
        </w:rPr>
      </w:pPr>
      <w:r>
        <w:rPr>
          <w:rFonts w:hint="eastAsia" w:ascii="黑体" w:eastAsia="黑体"/>
          <w:b w:val="0"/>
          <w:bCs w:val="0"/>
          <w:highlight w:val="none"/>
        </w:rPr>
        <w:pict>
          <v:group id="组合 70" o:spid="_x0000_s1082" o:spt="203" style="position:absolute;left:0pt;margin-left:-79.5pt;margin-top:29.3pt;height:43.95pt;width:301.85pt;mso-position-vertical-relative:page;z-index:2516592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eastAsia="黑体"/>
          <w:b w:val="0"/>
          <w:bCs w:val="0"/>
          <w:highlight w:val="none"/>
        </w:rPr>
        <w:t>四、财政拨款收入支出决算情况说明</w:t>
      </w:r>
    </w:p>
    <w:p>
      <w:pPr>
        <w:spacing w:after="0" w:line="580" w:lineRule="exact"/>
        <w:ind w:firstLine="643" w:firstLineChars="200"/>
        <w:rPr>
          <w:rFonts w:ascii="楷体_GB2312" w:eastAsia="楷体_GB2312" w:cs="DengXian-Bold"/>
          <w:b/>
          <w:bCs/>
          <w:sz w:val="32"/>
          <w:szCs w:val="32"/>
          <w:highlight w:val="none"/>
        </w:rPr>
      </w:pPr>
      <w:r>
        <w:rPr>
          <w:rFonts w:hint="eastAsia" w:ascii="楷体_GB2312" w:eastAsia="楷体_GB2312" w:cs="DengXian-Bold"/>
          <w:b/>
          <w:bCs/>
          <w:sz w:val="32"/>
          <w:szCs w:val="32"/>
          <w:highlight w:val="none"/>
        </w:rPr>
        <w:t>（一）财政拨款收支与</w:t>
      </w:r>
      <w:r>
        <w:rPr>
          <w:rFonts w:ascii="楷体_GB2312" w:eastAsia="楷体_GB2312" w:cs="DengXian-Bold"/>
          <w:b/>
          <w:bCs/>
          <w:sz w:val="32"/>
          <w:szCs w:val="32"/>
          <w:highlight w:val="none"/>
        </w:rPr>
        <w:t xml:space="preserve">2017 </w:t>
      </w:r>
      <w:r>
        <w:rPr>
          <w:rFonts w:hint="eastAsia" w:ascii="楷体_GB2312" w:eastAsia="楷体_GB2312" w:cs="DengXian-Bold"/>
          <w:b/>
          <w:bCs/>
          <w:sz w:val="32"/>
          <w:szCs w:val="32"/>
          <w:highlight w:val="none"/>
        </w:rPr>
        <w:t>年度决算对比情况</w:t>
      </w:r>
    </w:p>
    <w:p>
      <w:pPr>
        <w:adjustRightInd w:val="0"/>
        <w:snapToGrid w:val="0"/>
        <w:spacing w:after="0" w:line="580" w:lineRule="exact"/>
        <w:ind w:firstLine="640" w:firstLineChars="200"/>
        <w:rPr>
          <w:rFonts w:hint="default"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年度形成的财政拨款收支均为一般公共预算财政拨款，其中一般公共预算财政拨款本年收入</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eastAsia="zh-CN"/>
        </w:rPr>
        <w:t>。</w:t>
      </w:r>
      <w:r>
        <w:rPr>
          <w:rFonts w:hint="eastAsia" w:ascii="仿宋_GB2312" w:eastAsia="仿宋_GB2312" w:cs="DengXian-Regular"/>
          <w:sz w:val="32"/>
          <w:szCs w:val="32"/>
          <w:highlight w:val="none"/>
          <w:lang w:val="en-US" w:eastAsia="zh-CN"/>
        </w:rPr>
        <w:t>2017年收入129.48万元，2017年收入比2018年增长14.26%；2018年支出147.94万元，2017年支出129.48万元，2018年比2017年增加14.26%。</w:t>
      </w:r>
    </w:p>
    <w:p>
      <w:pPr>
        <w:spacing w:after="0" w:line="580" w:lineRule="exact"/>
        <w:ind w:firstLine="643" w:firstLineChars="200"/>
        <w:rPr>
          <w:rFonts w:ascii="仿宋_GB2312" w:eastAsia="仿宋_GB2312" w:cs="DengXian-Bold"/>
          <w:b/>
          <w:bCs/>
          <w:sz w:val="32"/>
          <w:szCs w:val="32"/>
          <w:highlight w:val="none"/>
        </w:rPr>
      </w:pPr>
      <w:r>
        <w:rPr>
          <w:rFonts w:hint="eastAsia" w:ascii="楷体_GB2312" w:eastAsia="楷体_GB2312" w:cs="DengXian-Bold"/>
          <w:b/>
          <w:bCs/>
          <w:sz w:val="32"/>
          <w:szCs w:val="32"/>
          <w:highlight w:val="none"/>
        </w:rPr>
        <w:t>（二）财政拨款收支与年初预算数对比情况</w:t>
      </w:r>
    </w:p>
    <w:p>
      <w:pPr>
        <w:pStyle w:val="33"/>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年度一般公共预算财政拨款收入</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万元，完成年初预算的</w:t>
      </w:r>
      <w:r>
        <w:rPr>
          <w:rFonts w:hint="eastAsia" w:ascii="仿宋_GB2312" w:eastAsia="仿宋_GB2312" w:cs="DengXian-Regular"/>
          <w:sz w:val="32"/>
          <w:szCs w:val="32"/>
          <w:highlight w:val="none"/>
          <w:lang w:val="en-US" w:eastAsia="zh-CN"/>
        </w:rPr>
        <w:t>107.75</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比年初预算增加</w:t>
      </w:r>
      <w:r>
        <w:rPr>
          <w:rFonts w:hint="eastAsia" w:ascii="仿宋_GB2312" w:eastAsia="仿宋_GB2312" w:cs="DengXian-Regular"/>
          <w:sz w:val="32"/>
          <w:szCs w:val="32"/>
          <w:highlight w:val="none"/>
          <w:lang w:val="en-US" w:eastAsia="zh-CN"/>
        </w:rPr>
        <w:t>10.64</w:t>
      </w:r>
      <w:r>
        <w:rPr>
          <w:rFonts w:hint="eastAsia" w:ascii="仿宋_GB2312" w:eastAsia="仿宋_GB2312" w:cs="DengXian-Regular"/>
          <w:sz w:val="32"/>
          <w:szCs w:val="32"/>
          <w:highlight w:val="none"/>
        </w:rPr>
        <w:t>万元，决算数大于预算数主要</w:t>
      </w:r>
      <w:r>
        <w:rPr>
          <w:rFonts w:hint="eastAsia" w:ascii="仿宋_GB2312" w:eastAsia="仿宋_GB2312" w:cs="DengXian-Regular"/>
          <w:sz w:val="32"/>
          <w:szCs w:val="32"/>
          <w:highlight w:val="none"/>
          <w:lang w:eastAsia="zh-CN"/>
        </w:rPr>
        <w:t>原因是</w:t>
      </w:r>
      <w:r>
        <w:rPr>
          <w:rFonts w:hint="eastAsia" w:ascii="仿宋_GB2312" w:hAnsi="仿宋_GB2312" w:eastAsia="仿宋_GB2312" w:cs="仿宋_GB2312"/>
          <w:kern w:val="2"/>
          <w:sz w:val="32"/>
          <w:szCs w:val="32"/>
          <w:highlight w:val="none"/>
        </w:rPr>
        <w:t>增加了人员经费和日常经费收入</w:t>
      </w:r>
      <w:r>
        <w:rPr>
          <w:rFonts w:hint="eastAsia" w:ascii="仿宋_GB2312" w:eastAsia="仿宋_GB2312" w:cs="DengXian-Regular"/>
          <w:sz w:val="32"/>
          <w:szCs w:val="32"/>
          <w:highlight w:val="none"/>
        </w:rPr>
        <w:t>；本年支出</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万元，完成年初预算的</w:t>
      </w:r>
      <w:r>
        <w:rPr>
          <w:rFonts w:hint="eastAsia" w:ascii="仿宋_GB2312" w:eastAsia="仿宋_GB2312" w:cs="DengXian-Regular"/>
          <w:sz w:val="32"/>
          <w:szCs w:val="32"/>
          <w:highlight w:val="none"/>
          <w:lang w:val="en-US" w:eastAsia="zh-CN"/>
        </w:rPr>
        <w:t>107.75</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比年初预算增加</w:t>
      </w:r>
      <w:r>
        <w:rPr>
          <w:rFonts w:hint="eastAsia" w:ascii="仿宋_GB2312" w:eastAsia="仿宋_GB2312" w:cs="DengXian-Regular"/>
          <w:sz w:val="32"/>
          <w:szCs w:val="32"/>
          <w:highlight w:val="none"/>
          <w:lang w:val="en-US" w:eastAsia="zh-CN"/>
        </w:rPr>
        <w:t>10.64</w:t>
      </w:r>
      <w:r>
        <w:rPr>
          <w:rFonts w:hint="eastAsia" w:ascii="仿宋_GB2312" w:eastAsia="仿宋_GB2312" w:cs="DengXian-Regular"/>
          <w:sz w:val="32"/>
          <w:szCs w:val="32"/>
          <w:highlight w:val="none"/>
        </w:rPr>
        <w:t>万元，决算数大于预算数主要</w:t>
      </w:r>
      <w:r>
        <w:rPr>
          <w:rFonts w:hint="eastAsia" w:ascii="仿宋_GB2312" w:eastAsia="仿宋_GB2312" w:cs="DengXian-Regular"/>
          <w:sz w:val="32"/>
          <w:szCs w:val="32"/>
          <w:highlight w:val="none"/>
          <w:lang w:eastAsia="zh-CN"/>
        </w:rPr>
        <w:t>原因是</w:t>
      </w:r>
      <w:r>
        <w:rPr>
          <w:rFonts w:hint="eastAsia" w:ascii="仿宋_GB2312" w:hAnsi="仿宋_GB2312" w:eastAsia="仿宋_GB2312" w:cs="仿宋_GB2312"/>
          <w:kern w:val="2"/>
          <w:sz w:val="32"/>
          <w:szCs w:val="32"/>
          <w:highlight w:val="none"/>
        </w:rPr>
        <w:t>今年增加了物业补贴和移动通讯补贴，加之今年办公场所搬迁，购置办公设备正增加了日常支出。</w:t>
      </w:r>
    </w:p>
    <w:p>
      <w:pPr>
        <w:numPr>
          <w:ilvl w:val="0"/>
          <w:numId w:val="2"/>
        </w:numPr>
        <w:adjustRightInd w:val="0"/>
        <w:snapToGrid w:val="0"/>
        <w:spacing w:after="0" w:line="580" w:lineRule="exact"/>
        <w:ind w:left="420" w:leftChars="200"/>
        <w:rPr>
          <w:rFonts w:ascii="楷体_GB2312" w:eastAsia="楷体_GB2312" w:cs="DengXian-Bold"/>
          <w:b/>
          <w:bCs/>
          <w:sz w:val="32"/>
          <w:szCs w:val="32"/>
          <w:highlight w:val="none"/>
        </w:rPr>
      </w:pPr>
      <w:r>
        <w:rPr>
          <w:rFonts w:hint="eastAsia" w:ascii="楷体_GB2312" w:eastAsia="楷体_GB2312" w:cs="DengXian-Bold"/>
          <w:b/>
          <w:bCs/>
          <w:sz w:val="32"/>
          <w:szCs w:val="32"/>
          <w:highlight w:val="none"/>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ascii="仿宋_GB2312" w:eastAsia="仿宋_GB2312" w:cs="DengXian-Regular"/>
          <w:sz w:val="32"/>
          <w:szCs w:val="32"/>
          <w:highlight w:val="none"/>
        </w:rPr>
        <w:t xml:space="preserve">2018 </w:t>
      </w:r>
      <w:r>
        <w:rPr>
          <w:rFonts w:hint="eastAsia" w:ascii="仿宋_GB2312" w:eastAsia="仿宋_GB2312" w:cs="DengXian-Regular"/>
          <w:sz w:val="32"/>
          <w:szCs w:val="32"/>
          <w:highlight w:val="none"/>
        </w:rPr>
        <w:t>年度财政拨款支出</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万元，主要用于以下方面一般公共服务（类）支出</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万元，占100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；公共安全类（类）支出0万元，占0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；教育（类）支出0万元，占0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；科学技术（类）支出0万元，占</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rPr>
        <w:t>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；社会保障和就业（类）支出</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rPr>
        <w:t>0万元，占0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；住房保障（类）支出0万元，占</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rPr>
        <w:t>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w:t>
      </w:r>
    </w:p>
    <w:p>
      <w:pPr>
        <w:adjustRightInd w:val="0"/>
        <w:snapToGrid w:val="0"/>
        <w:spacing w:after="0" w:line="580" w:lineRule="exact"/>
        <w:ind w:left="420" w:leftChars="200"/>
        <w:rPr>
          <w:rFonts w:ascii="楷体_GB2312" w:eastAsia="楷体_GB2312" w:cs="DengXian-Bold"/>
          <w:b/>
          <w:bCs/>
          <w:sz w:val="32"/>
          <w:szCs w:val="32"/>
          <w:highlight w:val="none"/>
        </w:rPr>
      </w:pPr>
      <w:r>
        <w:rPr>
          <w:highlight w:val="none"/>
        </w:rPr>
        <w:pict>
          <v:group id="组合 79" o:spid="_x0000_s1100" o:spt="203" style="position:absolute;left:0pt;margin-left:-79.5pt;margin-top:29.3pt;height:43.95pt;width:301.85pt;mso-position-vertical-relative:page;z-index:251659264;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highlight w:val="none"/>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ascii="仿宋_GB2312" w:eastAsia="仿宋_GB2312" w:cs="DengXian-Regular"/>
          <w:sz w:val="32"/>
          <w:szCs w:val="32"/>
          <w:highlight w:val="none"/>
        </w:rPr>
        <w:t xml:space="preserve">2018 </w:t>
      </w:r>
      <w:r>
        <w:rPr>
          <w:rFonts w:hint="eastAsia" w:ascii="仿宋_GB2312" w:eastAsia="仿宋_GB2312" w:cs="DengXian-Regular"/>
          <w:sz w:val="32"/>
          <w:szCs w:val="32"/>
          <w:highlight w:val="none"/>
        </w:rPr>
        <w:t>年度一般公共预算财政拨款基本支出</w:t>
      </w:r>
      <w:r>
        <w:rPr>
          <w:rFonts w:hint="eastAsia" w:ascii="仿宋_GB2312" w:eastAsia="仿宋_GB2312" w:cs="DengXian-Regular"/>
          <w:sz w:val="32"/>
          <w:szCs w:val="32"/>
          <w:highlight w:val="none"/>
          <w:lang w:val="en-US" w:eastAsia="zh-CN"/>
        </w:rPr>
        <w:t>147.94</w:t>
      </w:r>
      <w:r>
        <w:rPr>
          <w:rFonts w:hint="eastAsia" w:ascii="仿宋_GB2312" w:eastAsia="仿宋_GB2312" w:cs="DengXian-Regular"/>
          <w:sz w:val="32"/>
          <w:szCs w:val="32"/>
          <w:highlight w:val="none"/>
        </w:rPr>
        <w:t>万元，其中：人员经费</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lang w:val="en-US" w:eastAsia="zh-CN"/>
        </w:rPr>
        <w:t>122.48</w:t>
      </w:r>
      <w:r>
        <w:rPr>
          <w:rFonts w:hint="eastAsia" w:ascii="仿宋_GB2312" w:eastAsia="仿宋_GB2312" w:cs="DengXian-Regular"/>
          <w:sz w:val="32"/>
          <w:szCs w:val="32"/>
          <w:highlight w:val="none"/>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lang w:val="en-US" w:eastAsia="zh-CN"/>
        </w:rPr>
        <w:t>25.46</w:t>
      </w:r>
      <w:r>
        <w:rPr>
          <w:rFonts w:hint="eastAsia" w:ascii="仿宋_GB2312" w:eastAsia="仿宋_GB2312" w:cs="DengXian-Regular"/>
          <w:sz w:val="32"/>
          <w:szCs w:val="32"/>
          <w:highlight w:val="none"/>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highlight w:val="none"/>
        </w:rPr>
      </w:pPr>
      <w:r>
        <w:rPr>
          <w:rFonts w:hint="eastAsia" w:ascii="黑体" w:eastAsia="黑体"/>
          <w:b w:val="0"/>
          <w:bCs w:val="0"/>
          <w:highlight w:val="none"/>
        </w:rPr>
        <w:t>五、一般公共预算财政拨款“三公”</w:t>
      </w:r>
      <w:r>
        <w:rPr>
          <w:rFonts w:ascii="黑体" w:eastAsia="黑体"/>
          <w:b w:val="0"/>
          <w:bCs w:val="0"/>
          <w:highlight w:val="none"/>
        </w:rPr>
        <w:t xml:space="preserve"> </w:t>
      </w:r>
      <w:r>
        <w:rPr>
          <w:rFonts w:hint="eastAsia" w:ascii="黑体" w:eastAsia="黑体"/>
          <w:b w:val="0"/>
          <w:bCs w:val="0"/>
          <w:highlight w:val="none"/>
        </w:rPr>
        <w:t>经费支出决算情况说明</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w:t>
      </w:r>
      <w:r>
        <w:rPr>
          <w:rFonts w:ascii="仿宋_GB2312" w:eastAsia="仿宋_GB2312" w:cs="DengXian-Regular"/>
          <w:sz w:val="32"/>
          <w:szCs w:val="32"/>
          <w:highlight w:val="none"/>
        </w:rPr>
        <w:t xml:space="preserve"> </w:t>
      </w:r>
      <w:r>
        <w:rPr>
          <w:rFonts w:hint="eastAsia" w:ascii="仿宋_GB2312" w:eastAsia="仿宋_GB2312" w:cs="DengXian-Regular"/>
          <w:sz w:val="32"/>
          <w:szCs w:val="32"/>
          <w:highlight w:val="none"/>
        </w:rPr>
        <w:t>“三公”经费支出共计2.</w:t>
      </w:r>
      <w:r>
        <w:rPr>
          <w:rFonts w:hint="eastAsia" w:ascii="仿宋_GB2312" w:eastAsia="仿宋_GB2312" w:cs="DengXian-Regular"/>
          <w:sz w:val="32"/>
          <w:szCs w:val="32"/>
          <w:highlight w:val="none"/>
          <w:lang w:val="en-US" w:eastAsia="zh-CN"/>
        </w:rPr>
        <w:t>43</w:t>
      </w:r>
      <w:r>
        <w:rPr>
          <w:rFonts w:hint="eastAsia" w:ascii="仿宋_GB2312" w:eastAsia="仿宋_GB2312" w:cs="DengXian-Regular"/>
          <w:sz w:val="32"/>
          <w:szCs w:val="32"/>
          <w:highlight w:val="none"/>
        </w:rPr>
        <w:t>万元</w:t>
      </w:r>
      <w:r>
        <w:rPr>
          <w:rFonts w:hint="eastAsia" w:ascii="仿宋_GB2312" w:eastAsia="仿宋_GB2312" w:cs="DengXian-Regular"/>
          <w:b w:val="0"/>
          <w:bCs w:val="0"/>
          <w:sz w:val="32"/>
          <w:szCs w:val="32"/>
          <w:highlight w:val="none"/>
        </w:rPr>
        <w:t>，较年初预算减少</w:t>
      </w:r>
      <w:r>
        <w:rPr>
          <w:rFonts w:hint="eastAsia" w:ascii="仿宋_GB2312" w:eastAsia="仿宋_GB2312" w:cs="DengXian-Regular"/>
          <w:b w:val="0"/>
          <w:bCs w:val="0"/>
          <w:sz w:val="32"/>
          <w:szCs w:val="32"/>
          <w:highlight w:val="none"/>
          <w:lang w:val="en-US" w:eastAsia="zh-CN"/>
        </w:rPr>
        <w:t>2.57</w:t>
      </w:r>
      <w:r>
        <w:rPr>
          <w:rFonts w:hint="eastAsia" w:ascii="仿宋_GB2312" w:eastAsia="仿宋_GB2312" w:cs="DengXian-Regular"/>
          <w:b w:val="0"/>
          <w:bCs w:val="0"/>
          <w:sz w:val="32"/>
          <w:szCs w:val="32"/>
          <w:highlight w:val="none"/>
        </w:rPr>
        <w:t>万元，降低</w:t>
      </w:r>
      <w:r>
        <w:rPr>
          <w:rFonts w:hint="eastAsia" w:ascii="仿宋_GB2312" w:eastAsia="仿宋_GB2312" w:cs="DengXian-Regular"/>
          <w:b w:val="0"/>
          <w:bCs w:val="0"/>
          <w:sz w:val="32"/>
          <w:szCs w:val="32"/>
          <w:highlight w:val="none"/>
          <w:lang w:val="en-US" w:eastAsia="zh-CN"/>
        </w:rPr>
        <w:t>51.4</w:t>
      </w:r>
      <w:r>
        <w:rPr>
          <w:rFonts w:ascii="仿宋_GB2312" w:eastAsia="仿宋_GB2312" w:cs="DengXian-Regular"/>
          <w:b w:val="0"/>
          <w:bCs w:val="0"/>
          <w:sz w:val="32"/>
          <w:szCs w:val="32"/>
          <w:highlight w:val="none"/>
        </w:rPr>
        <w:t>%</w:t>
      </w:r>
      <w:r>
        <w:rPr>
          <w:rFonts w:hint="eastAsia" w:ascii="仿宋_GB2312" w:eastAsia="仿宋_GB2312" w:cs="DengXian-Regular"/>
          <w:b w:val="0"/>
          <w:bCs w:val="0"/>
          <w:sz w:val="32"/>
          <w:szCs w:val="32"/>
          <w:highlight w:val="none"/>
        </w:rPr>
        <w:t>，</w:t>
      </w:r>
      <w:r>
        <w:rPr>
          <w:rFonts w:hint="eastAsia" w:ascii="仿宋_GB2312" w:eastAsia="仿宋_GB2312" w:cs="DengXian-Regular"/>
          <w:sz w:val="32"/>
          <w:szCs w:val="32"/>
          <w:highlight w:val="none"/>
        </w:rPr>
        <w:t>主要是认真贯彻落实中央</w:t>
      </w:r>
      <w:r>
        <w:rPr>
          <w:rFonts w:hint="eastAsia" w:ascii="仿宋_GB2312" w:eastAsia="仿宋_GB2312" w:cs="DengXian-Regular"/>
          <w:sz w:val="32"/>
          <w:szCs w:val="32"/>
          <w:highlight w:val="none"/>
          <w:lang w:eastAsia="zh-CN"/>
        </w:rPr>
        <w:t>八项规定</w:t>
      </w:r>
      <w:r>
        <w:rPr>
          <w:rFonts w:hint="eastAsia" w:ascii="仿宋_GB2312" w:eastAsia="仿宋_GB2312" w:cs="DengXian-Regular"/>
          <w:sz w:val="32"/>
          <w:szCs w:val="32"/>
          <w:highlight w:val="none"/>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楷体_GB2312" w:eastAsia="楷体_GB2312" w:cs="DengXian-Bold"/>
          <w:b/>
          <w:bCs/>
          <w:sz w:val="32"/>
          <w:szCs w:val="32"/>
          <w:highlight w:val="none"/>
        </w:rPr>
        <w:t>（</w:t>
      </w:r>
      <w:r>
        <w:rPr>
          <w:highlight w:val="none"/>
        </w:rPr>
        <w:pict>
          <v:group id="_x0000_s1106" o:spid="_x0000_s1106" o:spt="203" style="position:absolute;left:0pt;margin-left:-79.5pt;margin-top:29.3pt;height:43.95pt;width:301.85pt;mso-position-vertical-relative:page;z-index:251659264;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highlight w:val="none"/>
        </w:rPr>
        <w:t>一）因公出国（境）费支出0.00万元。</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年度因公出国（境）团组0个、共0人</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参加其他单位组织的因公出国（境）团组0个、共0人</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无本单位组织的出国（境）团组。因公出国（境）费支出较年初预算增加0万元，增长0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w:t>
      </w:r>
    </w:p>
    <w:p>
      <w:pPr>
        <w:adjustRightInd w:val="0"/>
        <w:snapToGrid w:val="0"/>
        <w:spacing w:after="0" w:line="580" w:lineRule="exact"/>
        <w:ind w:firstLine="643" w:firstLineChars="200"/>
        <w:rPr>
          <w:rFonts w:ascii="仿宋_GB2312" w:eastAsia="仿宋_GB2312" w:cs="DengXian-Bold"/>
          <w:b/>
          <w:bCs/>
          <w:sz w:val="32"/>
          <w:szCs w:val="32"/>
          <w:highlight w:val="none"/>
        </w:rPr>
      </w:pPr>
      <w:r>
        <w:rPr>
          <w:rFonts w:hint="eastAsia" w:ascii="楷体_GB2312" w:eastAsia="楷体_GB2312" w:cs="DengXian-Bold"/>
          <w:b/>
          <w:bCs/>
          <w:sz w:val="32"/>
          <w:szCs w:val="32"/>
          <w:highlight w:val="none"/>
        </w:rPr>
        <w:t>（二）公务用车购置及运行维护费支出</w:t>
      </w:r>
      <w:r>
        <w:rPr>
          <w:rFonts w:hint="eastAsia" w:ascii="楷体_GB2312" w:eastAsia="楷体_GB2312" w:cs="DengXian-Bold"/>
          <w:b/>
          <w:bCs/>
          <w:sz w:val="32"/>
          <w:szCs w:val="32"/>
          <w:highlight w:val="none"/>
          <w:lang w:val="en-US" w:eastAsia="zh-CN"/>
        </w:rPr>
        <w:t>2.43</w:t>
      </w:r>
      <w:r>
        <w:rPr>
          <w:rFonts w:hint="eastAsia" w:ascii="楷体_GB2312" w:eastAsia="楷体_GB2312" w:cs="DengXian-Bold"/>
          <w:b/>
          <w:bCs/>
          <w:sz w:val="32"/>
          <w:szCs w:val="32"/>
          <w:highlight w:val="none"/>
        </w:rPr>
        <w:t>万元。</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年度公务用车购置及运行维护费较年初预算减少</w:t>
      </w:r>
      <w:r>
        <w:rPr>
          <w:rFonts w:hint="eastAsia" w:ascii="仿宋_GB2312" w:eastAsia="仿宋_GB2312" w:cs="DengXian-Regular"/>
          <w:sz w:val="32"/>
          <w:szCs w:val="32"/>
          <w:highlight w:val="none"/>
          <w:lang w:val="en-US" w:eastAsia="zh-CN"/>
        </w:rPr>
        <w:t>2.57</w:t>
      </w:r>
      <w:r>
        <w:rPr>
          <w:rFonts w:hint="eastAsia" w:ascii="仿宋_GB2312" w:eastAsia="仿宋_GB2312" w:cs="DengXian-Regular"/>
          <w:sz w:val="32"/>
          <w:szCs w:val="32"/>
          <w:highlight w:val="none"/>
        </w:rPr>
        <w:t>万元，降低</w:t>
      </w:r>
      <w:r>
        <w:rPr>
          <w:rFonts w:hint="eastAsia" w:ascii="仿宋_GB2312" w:eastAsia="仿宋_GB2312" w:cs="DengXian-Regular"/>
          <w:sz w:val="32"/>
          <w:szCs w:val="32"/>
          <w:highlight w:val="none"/>
          <w:lang w:val="en-US" w:eastAsia="zh-CN"/>
        </w:rPr>
        <w:t>51.4</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主要是减少公务用车维修费用。</w:t>
      </w:r>
      <w:r>
        <w:rPr>
          <w:rFonts w:hint="eastAsia" w:ascii="仿宋_GB2312" w:eastAsia="仿宋_GB2312" w:cs="DengXian-Bold"/>
          <w:b/>
          <w:bCs/>
          <w:sz w:val="32"/>
          <w:szCs w:val="32"/>
          <w:highlight w:val="none"/>
        </w:rPr>
        <w:t>其中：</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仿宋_GB2312" w:eastAsia="仿宋_GB2312" w:cs="DengXian-Regular"/>
          <w:b/>
          <w:sz w:val="32"/>
          <w:szCs w:val="32"/>
          <w:highlight w:val="none"/>
        </w:rPr>
        <w:t>公务用车购置费：</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年度公务用车购置量0辆，发生“公务用车购置”经费支出0万元。公务用车购置费支出较年初预算增加0万元，增长0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主要是</w:t>
      </w:r>
      <w:r>
        <w:rPr>
          <w:rFonts w:hint="eastAsia" w:ascii="仿宋_GB2312" w:eastAsia="仿宋_GB2312" w:cs="DengXian-Regular"/>
          <w:color w:val="000000"/>
          <w:sz w:val="32"/>
          <w:szCs w:val="32"/>
          <w:highlight w:val="none"/>
        </w:rPr>
        <w:t>未发生‘公务用车购置’经费支出</w:t>
      </w:r>
      <w:r>
        <w:rPr>
          <w:rFonts w:hint="eastAsia" w:ascii="仿宋_GB2312" w:eastAsia="仿宋_GB2312" w:cs="DengXian-Regular"/>
          <w:sz w:val="32"/>
          <w:szCs w:val="32"/>
          <w:highlight w:val="none"/>
        </w:rPr>
        <w:t>。</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仿宋_GB2312" w:eastAsia="仿宋_GB2312" w:cs="DengXian-Regular"/>
          <w:b/>
          <w:sz w:val="32"/>
          <w:szCs w:val="32"/>
          <w:highlight w:val="none"/>
        </w:rPr>
        <w:t>公务用车运行维护费：</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年度单位公务用车保有量1辆。公车运行维护费支出较年初预算减少</w:t>
      </w:r>
      <w:r>
        <w:rPr>
          <w:rFonts w:hint="eastAsia" w:ascii="仿宋_GB2312" w:eastAsia="仿宋_GB2312" w:cs="DengXian-Regular"/>
          <w:sz w:val="32"/>
          <w:szCs w:val="32"/>
          <w:highlight w:val="none"/>
          <w:lang w:val="en-US" w:eastAsia="zh-CN"/>
        </w:rPr>
        <w:t>2.57</w:t>
      </w:r>
      <w:r>
        <w:rPr>
          <w:rFonts w:hint="eastAsia" w:ascii="仿宋_GB2312" w:eastAsia="仿宋_GB2312" w:cs="DengXian-Regular"/>
          <w:sz w:val="32"/>
          <w:szCs w:val="32"/>
          <w:highlight w:val="none"/>
        </w:rPr>
        <w:t>万元，降低</w:t>
      </w:r>
      <w:r>
        <w:rPr>
          <w:rFonts w:hint="eastAsia" w:ascii="仿宋_GB2312" w:eastAsia="仿宋_GB2312" w:cs="DengXian-Regular"/>
          <w:sz w:val="32"/>
          <w:szCs w:val="32"/>
          <w:highlight w:val="none"/>
          <w:lang w:val="en-US" w:eastAsia="zh-CN"/>
        </w:rPr>
        <w:t>51.40</w:t>
      </w:r>
      <w:r>
        <w:rPr>
          <w:rFonts w:ascii="仿宋_GB2312" w:eastAsia="仿宋_GB2312" w:cs="DengXian-Regular"/>
          <w:sz w:val="32"/>
          <w:szCs w:val="32"/>
          <w:highlight w:val="none"/>
        </w:rPr>
        <w:t>%,</w:t>
      </w:r>
      <w:bookmarkStart w:id="0" w:name="_GoBack"/>
      <w:bookmarkEnd w:id="0"/>
      <w:r>
        <w:rPr>
          <w:rFonts w:hint="eastAsia" w:ascii="仿宋_GB2312" w:eastAsia="仿宋_GB2312" w:cs="DengXian-Regular"/>
          <w:sz w:val="32"/>
          <w:szCs w:val="32"/>
          <w:highlight w:val="none"/>
        </w:rPr>
        <w:t>主要是减少公务用车维修费用。</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楷体_GB2312" w:eastAsia="楷体_GB2312" w:cs="DengXian-Bold"/>
          <w:b/>
          <w:bCs/>
          <w:sz w:val="32"/>
          <w:szCs w:val="32"/>
          <w:highlight w:val="none"/>
        </w:rPr>
        <w:t>（三）公务接待费支出0万元。</w:t>
      </w:r>
      <w:r>
        <w:rPr>
          <w:highlight w:val="none"/>
        </w:rPr>
        <w:pict>
          <v:group id="_x0000_s1109" o:spid="_x0000_s1109" o:spt="203" style="position:absolute;left:0pt;margin-left:-79.5pt;margin-top:29.3pt;height:43.95pt;width:301.85pt;mso-position-vertical-relative:page;z-index:251659264;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年度公务接待共0批次、0人次。公务接待费支出较年初预算增加0万元，增长0</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主要是由于严格执行中央八项规定，减少公务接待费用。</w:t>
      </w:r>
    </w:p>
    <w:p>
      <w:pPr>
        <w:adjustRightInd w:val="0"/>
        <w:snapToGrid w:val="0"/>
        <w:spacing w:after="0" w:line="580" w:lineRule="exact"/>
        <w:ind w:firstLine="640" w:firstLineChars="200"/>
        <w:rPr>
          <w:rFonts w:ascii="黑体" w:eastAsia="黑体"/>
          <w:sz w:val="32"/>
          <w:szCs w:val="40"/>
          <w:highlight w:val="none"/>
        </w:rPr>
      </w:pPr>
      <w:r>
        <w:rPr>
          <w:rFonts w:hint="eastAsia" w:ascii="黑体" w:eastAsia="黑体"/>
          <w:sz w:val="32"/>
          <w:szCs w:val="40"/>
          <w:highlight w:val="none"/>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highlight w:val="none"/>
        </w:rPr>
      </w:pPr>
      <w:r>
        <w:rPr>
          <w:rFonts w:ascii="仿宋_GB2312" w:hAnsi="仿宋_GB2312" w:eastAsia="仿宋_GB2312" w:cs="仿宋_GB2312"/>
          <w:b/>
          <w:bCs/>
          <w:sz w:val="32"/>
          <w:szCs w:val="32"/>
          <w:highlight w:val="none"/>
        </w:rPr>
        <w:t xml:space="preserve">1. </w:t>
      </w:r>
      <w:r>
        <w:rPr>
          <w:rFonts w:hint="eastAsia" w:ascii="仿宋_GB2312" w:hAnsi="仿宋_GB2312" w:eastAsia="仿宋_GB2312" w:cs="仿宋_GB2312"/>
          <w:b/>
          <w:bCs/>
          <w:sz w:val="32"/>
          <w:szCs w:val="32"/>
          <w:highlight w:val="none"/>
        </w:rPr>
        <w:t>预算绩效管理工作开展情况。</w:t>
      </w:r>
    </w:p>
    <w:p>
      <w:pPr>
        <w:ind w:firstLine="480" w:firstLineChars="15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根据预算绩效管理要求，本部门组织对</w:t>
      </w:r>
      <w:r>
        <w:rPr>
          <w:rFonts w:ascii="仿宋_GB2312" w:hAnsi="仿宋_GB2312" w:eastAsia="仿宋_GB2312" w:cs="仿宋_GB2312"/>
          <w:sz w:val="32"/>
          <w:szCs w:val="32"/>
          <w:highlight w:val="none"/>
        </w:rPr>
        <w:t>2019</w:t>
      </w:r>
      <w:r>
        <w:rPr>
          <w:rFonts w:hint="eastAsia" w:ascii="仿宋_GB2312" w:hAnsi="仿宋_GB2312" w:eastAsia="仿宋_GB2312" w:cs="仿宋_GB2312"/>
          <w:sz w:val="32"/>
          <w:szCs w:val="32"/>
          <w:highlight w:val="none"/>
        </w:rPr>
        <w:t>年度一般公共预算项目支出全面开展绩效自评，其中，一级项目4个，二级项目4个，共涉及资金147.94万元。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ind w:firstLine="482" w:firstLineChars="150"/>
        <w:rPr>
          <w:rFonts w:hint="eastAsia" w:ascii="仿宋_GB2312" w:hAnsi="仿宋_GB2312" w:eastAsia="仿宋_GB2312" w:cs="仿宋_GB2312"/>
          <w:sz w:val="32"/>
          <w:szCs w:val="32"/>
          <w:highlight w:val="none"/>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after="0" w:line="580" w:lineRule="exact"/>
        <w:ind w:firstLine="640" w:firstLineChars="200"/>
        <w:rPr>
          <w:rFonts w:hint="eastAsia" w:ascii="仿宋_GB2312" w:eastAsia="仿宋_GB2312" w:cs="DengXian-Regular"/>
          <w:sz w:val="32"/>
          <w:szCs w:val="32"/>
          <w:highlight w:val="none"/>
        </w:rPr>
      </w:pPr>
      <w:r>
        <w:rPr>
          <w:rFonts w:hint="eastAsia" w:ascii="仿宋_GB2312" w:eastAsia="仿宋_GB2312" w:cs="DengXian-Regular"/>
          <w:sz w:val="32"/>
          <w:szCs w:val="32"/>
          <w:highlight w:val="none"/>
        </w:rPr>
        <w:t>本部门在今年部门决算公开中没有项目及项目绩效自评结果。</w:t>
      </w:r>
    </w:p>
    <w:p>
      <w:pPr>
        <w:keepNext/>
        <w:keepLines/>
        <w:numPr>
          <w:ilvl w:val="0"/>
          <w:numId w:val="0"/>
        </w:numPr>
        <w:snapToGrid w:val="0"/>
        <w:spacing w:line="580" w:lineRule="exact"/>
        <w:ind w:leftChars="200" w:firstLine="321" w:firstLineChars="1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adjustRightInd w:val="0"/>
        <w:snapToGrid w:val="0"/>
        <w:spacing w:after="0" w:line="580" w:lineRule="exact"/>
        <w:ind w:firstLine="643" w:firstLineChars="200"/>
        <w:rPr>
          <w:rFonts w:hint="eastAsia" w:ascii="仿宋_GB2312" w:eastAsia="仿宋_GB2312" w:cs="DengXian-Regular"/>
          <w:sz w:val="32"/>
          <w:szCs w:val="32"/>
          <w:highlight w:val="none"/>
        </w:rPr>
      </w:pPr>
      <w:r>
        <w:rPr>
          <w:rFonts w:hint="eastAsia" w:ascii="仿宋_GB2312" w:hAnsi="仿宋_GB2312" w:eastAsia="仿宋_GB2312" w:cs="仿宋_GB2312"/>
          <w:b/>
          <w:bCs/>
          <w:sz w:val="32"/>
          <w:szCs w:val="32"/>
          <w:lang w:val="en-US" w:eastAsia="zh-CN"/>
        </w:rPr>
        <w:t>无</w:t>
      </w:r>
    </w:p>
    <w:p>
      <w:pPr>
        <w:pStyle w:val="3"/>
        <w:spacing w:before="0" w:after="0" w:line="580" w:lineRule="exact"/>
        <w:ind w:firstLine="640" w:firstLineChars="200"/>
        <w:rPr>
          <w:rFonts w:ascii="黑体" w:eastAsia="黑体"/>
          <w:b w:val="0"/>
          <w:bCs w:val="0"/>
          <w:highlight w:val="none"/>
        </w:rPr>
      </w:pPr>
      <w:r>
        <w:rPr>
          <w:rFonts w:hint="eastAsia" w:ascii="黑体" w:eastAsia="黑体"/>
          <w:b w:val="0"/>
          <w:bCs w:val="0"/>
          <w:highlight w:val="none"/>
        </w:rPr>
        <w:t>七、其他重要事项的说明</w:t>
      </w:r>
    </w:p>
    <w:p>
      <w:pPr>
        <w:pStyle w:val="4"/>
        <w:spacing w:before="0" w:after="0" w:line="580" w:lineRule="exact"/>
        <w:ind w:firstLine="643" w:firstLineChars="200"/>
        <w:rPr>
          <w:rFonts w:ascii="楷体_GB2312" w:eastAsia="楷体_GB2312" w:cs="DengXian-Bold"/>
          <w:highlight w:val="none"/>
        </w:rPr>
      </w:pPr>
      <w:r>
        <w:rPr>
          <w:rFonts w:hint="eastAsia" w:ascii="楷体_GB2312" w:eastAsia="楷体_GB2312" w:cs="DengXian-Bold"/>
          <w:highlight w:val="none"/>
        </w:rPr>
        <w:t>（一）机关运行经费情况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年度机关运行经费支出</w:t>
      </w:r>
      <w:r>
        <w:rPr>
          <w:rFonts w:hint="eastAsia" w:ascii="仿宋_GB2312" w:eastAsia="仿宋_GB2312" w:cs="DengXian-Regular"/>
          <w:sz w:val="32"/>
          <w:szCs w:val="32"/>
          <w:highlight w:val="none"/>
          <w:lang w:val="en-US" w:eastAsia="zh-CN"/>
        </w:rPr>
        <w:t>25.46</w:t>
      </w:r>
      <w:r>
        <w:rPr>
          <w:rFonts w:hint="eastAsia" w:ascii="仿宋_GB2312" w:eastAsia="仿宋_GB2312" w:cs="DengXian-Regular"/>
          <w:sz w:val="32"/>
          <w:szCs w:val="32"/>
          <w:highlight w:val="none"/>
        </w:rPr>
        <w:t>万元，比年初预算数增加</w:t>
      </w:r>
      <w:r>
        <w:rPr>
          <w:rFonts w:hint="eastAsia" w:ascii="仿宋_GB2312" w:eastAsia="仿宋_GB2312" w:cs="DengXian-Regular"/>
          <w:sz w:val="32"/>
          <w:szCs w:val="32"/>
          <w:highlight w:val="none"/>
          <w:lang w:val="en-US" w:eastAsia="zh-CN"/>
        </w:rPr>
        <w:t>8.02</w:t>
      </w:r>
      <w:r>
        <w:rPr>
          <w:rFonts w:hint="eastAsia" w:ascii="仿宋_GB2312" w:eastAsia="仿宋_GB2312" w:cs="DengXian-Regular"/>
          <w:sz w:val="32"/>
          <w:szCs w:val="32"/>
          <w:highlight w:val="none"/>
        </w:rPr>
        <w:t>万元，增长</w:t>
      </w:r>
      <w:r>
        <w:rPr>
          <w:rFonts w:hint="eastAsia" w:ascii="仿宋_GB2312" w:eastAsia="仿宋_GB2312" w:cs="DengXian-Regular"/>
          <w:sz w:val="32"/>
          <w:szCs w:val="32"/>
          <w:highlight w:val="none"/>
          <w:lang w:val="en-US" w:eastAsia="zh-CN"/>
        </w:rPr>
        <w:t>45.99</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。主要原因是专项增加。</w:t>
      </w:r>
    </w:p>
    <w:p>
      <w:pPr>
        <w:pStyle w:val="4"/>
        <w:spacing w:before="0" w:after="0" w:line="580" w:lineRule="exact"/>
        <w:ind w:firstLine="643" w:firstLineChars="200"/>
        <w:rPr>
          <w:rFonts w:ascii="楷体_GB2312" w:eastAsia="楷体_GB2312" w:cs="DengXian-Bold"/>
          <w:highlight w:val="none"/>
        </w:rPr>
      </w:pPr>
      <w:r>
        <w:rPr>
          <w:rFonts w:hint="eastAsia" w:ascii="楷体_GB2312" w:eastAsia="楷体_GB2312" w:cs="DengXian-Bold"/>
          <w:highlight w:val="none"/>
        </w:rPr>
        <w:t>（三）国有资产占用情况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截至</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w:t>
      </w:r>
      <w:r>
        <w:rPr>
          <w:rFonts w:ascii="仿宋_GB2312" w:eastAsia="仿宋_GB2312" w:cs="DengXian-Regular"/>
          <w:sz w:val="32"/>
          <w:szCs w:val="32"/>
          <w:highlight w:val="none"/>
        </w:rPr>
        <w:t>12</w:t>
      </w:r>
      <w:r>
        <w:rPr>
          <w:rFonts w:hint="eastAsia" w:ascii="仿宋_GB2312" w:eastAsia="仿宋_GB2312" w:cs="DengXian-Regular"/>
          <w:sz w:val="32"/>
          <w:szCs w:val="32"/>
          <w:highlight w:val="none"/>
        </w:rPr>
        <w:t>月</w:t>
      </w:r>
      <w:r>
        <w:rPr>
          <w:rFonts w:ascii="仿宋_GB2312" w:eastAsia="仿宋_GB2312" w:cs="DengXian-Regular"/>
          <w:sz w:val="32"/>
          <w:szCs w:val="32"/>
          <w:highlight w:val="none"/>
        </w:rPr>
        <w:t>31</w:t>
      </w:r>
      <w:r>
        <w:rPr>
          <w:rFonts w:hint="eastAsia" w:ascii="仿宋_GB2312" w:eastAsia="仿宋_GB2312" w:cs="DengXian-Regular"/>
          <w:sz w:val="32"/>
          <w:szCs w:val="32"/>
          <w:highlight w:val="none"/>
        </w:rPr>
        <w:t>日，本部门共有车辆</w:t>
      </w:r>
      <w:r>
        <w:rPr>
          <w:rFonts w:hint="eastAsia" w:ascii="仿宋_GB2312" w:eastAsia="仿宋_GB2312" w:cs="DengXian-Regular"/>
          <w:sz w:val="32"/>
          <w:szCs w:val="32"/>
          <w:highlight w:val="none"/>
          <w:lang w:val="en-US" w:eastAsia="zh-CN"/>
        </w:rPr>
        <w:t>2</w:t>
      </w:r>
      <w:r>
        <w:rPr>
          <w:rFonts w:hint="eastAsia" w:ascii="仿宋_GB2312" w:eastAsia="仿宋_GB2312" w:cs="DengXian-Regular"/>
          <w:sz w:val="32"/>
          <w:szCs w:val="32"/>
          <w:highlight w:val="none"/>
        </w:rPr>
        <w:t>辆，与上年无变化。其中，应急保障用车</w:t>
      </w:r>
      <w:r>
        <w:rPr>
          <w:rFonts w:hint="eastAsia" w:ascii="仿宋_GB2312" w:eastAsia="仿宋_GB2312" w:cs="DengXian-Regular"/>
          <w:sz w:val="32"/>
          <w:szCs w:val="32"/>
          <w:highlight w:val="none"/>
          <w:lang w:val="en-US" w:eastAsia="zh-CN"/>
        </w:rPr>
        <w:t>2</w:t>
      </w:r>
      <w:r>
        <w:rPr>
          <w:rFonts w:hint="eastAsia" w:ascii="仿宋_GB2312" w:eastAsia="仿宋_GB2312" w:cs="DengXian-Regular"/>
          <w:sz w:val="32"/>
          <w:szCs w:val="32"/>
          <w:highlight w:val="none"/>
        </w:rPr>
        <w:t>辆；单位价值</w:t>
      </w:r>
      <w:r>
        <w:rPr>
          <w:rFonts w:ascii="仿宋_GB2312" w:hAnsi="TimesNewRomanPSMT" w:eastAsia="仿宋_GB2312" w:cs="TimesNewRomanPSMT"/>
          <w:sz w:val="32"/>
          <w:szCs w:val="32"/>
          <w:highlight w:val="none"/>
        </w:rPr>
        <w:t>50</w:t>
      </w:r>
      <w:r>
        <w:rPr>
          <w:rFonts w:hint="eastAsia" w:ascii="仿宋_GB2312" w:eastAsia="仿宋_GB2312" w:cs="DengXian-Regular"/>
          <w:sz w:val="32"/>
          <w:szCs w:val="32"/>
          <w:highlight w:val="none"/>
        </w:rPr>
        <w:t>万元以上通用设备0台（套），与上年无变化。单位价值</w:t>
      </w:r>
      <w:r>
        <w:rPr>
          <w:rFonts w:ascii="仿宋_GB2312" w:hAnsi="TimesNewRomanPSMT" w:eastAsia="仿宋_GB2312" w:cs="TimesNewRomanPSMT"/>
          <w:sz w:val="32"/>
          <w:szCs w:val="32"/>
          <w:highlight w:val="none"/>
        </w:rPr>
        <w:t>100</w:t>
      </w:r>
      <w:r>
        <w:rPr>
          <w:rFonts w:hint="eastAsia" w:ascii="仿宋_GB2312" w:eastAsia="仿宋_GB2312" w:cs="DengXian-Regular"/>
          <w:sz w:val="32"/>
          <w:szCs w:val="32"/>
          <w:highlight w:val="none"/>
        </w:rPr>
        <w:t>万元以上专用设备0台（套），与上年无变化。</w:t>
      </w:r>
    </w:p>
    <w:p>
      <w:pPr>
        <w:pStyle w:val="4"/>
        <w:spacing w:before="0" w:after="0" w:line="580" w:lineRule="exact"/>
        <w:ind w:firstLine="643" w:firstLineChars="200"/>
        <w:rPr>
          <w:rFonts w:ascii="楷体_GB2312" w:eastAsia="楷体_GB2312" w:cs="DengXian-Bold"/>
          <w:highlight w:val="none"/>
        </w:rPr>
      </w:pPr>
      <w:r>
        <w:rPr>
          <w:rFonts w:hint="eastAsia" w:ascii="楷体_GB2312" w:eastAsia="楷体_GB2312" w:cs="DengXian-Bold"/>
          <w:highlight w:val="none"/>
        </w:rPr>
        <w:t>（四）其他需要说明的情况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ascii="仿宋_GB2312" w:eastAsia="仿宋_GB2312" w:cs="DengXian-Regular"/>
          <w:sz w:val="32"/>
          <w:szCs w:val="32"/>
          <w:highlight w:val="none"/>
        </w:rPr>
        <w:t>1</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年度政府性基金预算财政拨款收入支出决算表、国有资本经营预算财政拨款支出决算表、政府采购情况表无收支及结转结余情况，故</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年度政府性基金预算财政拨款收入支出决算表、国有资本经营预算财政拨款支出决算表、政府采购情况表以空表列示。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ascii="仿宋_GB2312" w:eastAsia="仿宋_GB2312" w:cs="DengXian-Regular"/>
          <w:sz w:val="32"/>
          <w:szCs w:val="32"/>
          <w:highlight w:val="none"/>
        </w:rPr>
        <w:t>2</w:t>
      </w:r>
      <w:r>
        <w:rPr>
          <w:rFonts w:hint="eastAsia" w:ascii="仿宋_GB2312" w:eastAsia="仿宋_GB2312" w:cs="DengXian-Regular"/>
          <w:sz w:val="32"/>
          <w:szCs w:val="32"/>
          <w:highlight w:val="none"/>
        </w:rPr>
        <w:t>、由于决算公开表格中金额数值应当保留两位小数，公开数据为四舍五入计算结</w:t>
      </w:r>
      <w:r>
        <w:rPr>
          <w:highlight w:val="none"/>
        </w:rPr>
        <w:pict>
          <v:group id="_x0000_s1115" o:spid="_x0000_s1115" o:spt="203" style="position:absolute;left:0pt;margin-left:-79.5pt;margin-top:29.3pt;height:43.95pt;width:301.85pt;mso-position-vertical-relative:page;z-index:251659264;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highlight w:val="none"/>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highlight w:val="none"/>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highlight w:val="none"/>
        </w:rPr>
        <w:sectPr>
          <w:pgSz w:w="11906" w:h="16838"/>
          <w:pgMar w:top="2098" w:right="1474" w:bottom="1984" w:left="1588" w:header="851" w:footer="992" w:gutter="0"/>
          <w:cols w:space="0" w:num="1"/>
          <w:docGrid w:type="lines" w:linePitch="312" w:charSpace="0"/>
        </w:sectPr>
      </w:pPr>
      <w:r>
        <w:rPr>
          <w:highlight w:val="none"/>
        </w:rPr>
        <w:pict>
          <v:shape id="图片 21" o:spid="_x0000_s1118"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rPr>
          <w:highlight w:val="none"/>
        </w:rPr>
        <w:pict>
          <v:shape id="文本框 22" o:spid="_x0000_s1119"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（一）财政拨款收入：</w:t>
      </w:r>
      <w:r>
        <w:rPr>
          <w:rFonts w:hint="eastAsia" w:ascii="仿宋_GB2312" w:hAnsi="宋体" w:eastAsia="仿宋_GB2312"/>
          <w:color w:val="000000"/>
          <w:kern w:val="0"/>
          <w:sz w:val="32"/>
          <w:szCs w:val="32"/>
          <w:highlight w:val="none"/>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（二）事业收入：</w:t>
      </w:r>
      <w:r>
        <w:rPr>
          <w:rFonts w:hint="eastAsia" w:ascii="仿宋_GB2312" w:hAnsi="宋体" w:eastAsia="仿宋_GB2312"/>
          <w:color w:val="000000"/>
          <w:kern w:val="0"/>
          <w:sz w:val="32"/>
          <w:szCs w:val="32"/>
          <w:highlight w:val="none"/>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（三）其他收入：</w:t>
      </w:r>
      <w:r>
        <w:rPr>
          <w:rFonts w:hint="eastAsia" w:ascii="仿宋_GB2312" w:hAnsi="宋体" w:eastAsia="仿宋_GB2312"/>
          <w:color w:val="000000"/>
          <w:kern w:val="0"/>
          <w:sz w:val="32"/>
          <w:szCs w:val="32"/>
          <w:highlight w:val="none"/>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（四）用事业基金弥补收支差额：</w:t>
      </w:r>
      <w:r>
        <w:rPr>
          <w:rFonts w:hint="eastAsia" w:ascii="仿宋_GB2312" w:hAnsi="宋体" w:eastAsia="仿宋_GB2312"/>
          <w:color w:val="000000"/>
          <w:kern w:val="0"/>
          <w:sz w:val="32"/>
          <w:szCs w:val="32"/>
          <w:highlight w:val="none"/>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（五）年初结转和结余：</w:t>
      </w:r>
      <w:r>
        <w:rPr>
          <w:rFonts w:hint="eastAsia" w:ascii="仿宋_GB2312" w:hAnsi="宋体" w:eastAsia="仿宋_GB2312"/>
          <w:color w:val="000000"/>
          <w:kern w:val="0"/>
          <w:sz w:val="32"/>
          <w:szCs w:val="32"/>
          <w:highlight w:val="none"/>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（六）结余分配：</w:t>
      </w:r>
      <w:r>
        <w:rPr>
          <w:rFonts w:hint="eastAsia" w:ascii="仿宋_GB2312" w:hAnsi="宋体" w:eastAsia="仿宋_GB2312"/>
          <w:color w:val="000000"/>
          <w:kern w:val="0"/>
          <w:sz w:val="32"/>
          <w:szCs w:val="32"/>
          <w:highlight w:val="none"/>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（七）年末结转和结</w:t>
      </w:r>
      <w:r>
        <w:rPr>
          <w:highlight w:val="none"/>
        </w:rPr>
        <w:pict>
          <v:group id="组合 149" o:spid="_x0000_s1120" o:spt="203" style="position:absolute;left:0pt;margin-left:-81.05pt;margin-top:39.65pt;height:43.95pt;width:264.85pt;mso-position-vertical-relative:page;z-index:251659264;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highlight w:val="none"/>
        </w:rPr>
        <w:t>余：</w:t>
      </w:r>
      <w:r>
        <w:rPr>
          <w:rFonts w:hint="eastAsia" w:ascii="仿宋_GB2312" w:hAnsi="宋体" w:eastAsia="仿宋_GB2312"/>
          <w:color w:val="000000"/>
          <w:kern w:val="0"/>
          <w:sz w:val="32"/>
          <w:szCs w:val="32"/>
          <w:highlight w:val="none"/>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（八）基本支出：</w:t>
      </w:r>
      <w:r>
        <w:rPr>
          <w:rFonts w:hint="eastAsia" w:ascii="仿宋_GB2312" w:hAnsi="宋体" w:eastAsia="仿宋_GB2312"/>
          <w:color w:val="000000"/>
          <w:kern w:val="0"/>
          <w:sz w:val="32"/>
          <w:szCs w:val="32"/>
          <w:highlight w:val="none"/>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（九）项目支出：</w:t>
      </w:r>
      <w:r>
        <w:rPr>
          <w:rFonts w:hint="eastAsia" w:ascii="仿宋_GB2312" w:hAnsi="宋体" w:eastAsia="仿宋_GB2312"/>
          <w:color w:val="000000"/>
          <w:kern w:val="0"/>
          <w:sz w:val="32"/>
          <w:szCs w:val="32"/>
          <w:highlight w:val="none"/>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（十）资本性支出（基本建设）：</w:t>
      </w:r>
      <w:r>
        <w:rPr>
          <w:rFonts w:hint="eastAsia" w:ascii="仿宋_GB2312" w:hAnsi="宋体" w:eastAsia="仿宋_GB2312"/>
          <w:color w:val="000000"/>
          <w:kern w:val="0"/>
          <w:sz w:val="32"/>
          <w:szCs w:val="32"/>
          <w:highlight w:val="none"/>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（十一）资本性支出：</w:t>
      </w:r>
      <w:r>
        <w:rPr>
          <w:rFonts w:hint="eastAsia" w:ascii="仿宋_GB2312" w:hAnsi="宋体" w:eastAsia="仿宋_GB2312"/>
          <w:color w:val="000000"/>
          <w:kern w:val="0"/>
          <w:sz w:val="32"/>
          <w:szCs w:val="32"/>
          <w:highlight w:val="none"/>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（十二）“三公”经费：</w:t>
      </w:r>
      <w:r>
        <w:rPr>
          <w:rFonts w:hint="eastAsia" w:ascii="仿宋_GB2312" w:hAnsi="宋体" w:eastAsia="仿宋_GB2312"/>
          <w:color w:val="000000"/>
          <w:kern w:val="0"/>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highlight w:val="none"/>
        </w:rPr>
        <w:pict>
          <v:group id="组合 94" o:spid="_x0000_s1123" o:spt="203" style="position:absolute;left:0pt;margin-left:-81.05pt;margin-top:39.65pt;height:43.95pt;width:264.85pt;mso-position-vertical-relative:page;z-index:25165926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highlight w:val="none"/>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（十三）其</w:t>
      </w:r>
      <w:r>
        <w:rPr>
          <w:highlight w:val="none"/>
        </w:rPr>
        <w:pict>
          <v:group id="组合 97" o:spid="_x0000_s1126" o:spt="203" style="position:absolute;left:0pt;margin-left:-81.05pt;margin-top:39.65pt;height:43.95pt;width:264.85pt;mso-position-vertical-relative:page;z-index:251659264;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highlight w:val="none"/>
        </w:rPr>
        <w:t>他交通费用：</w:t>
      </w:r>
      <w:r>
        <w:rPr>
          <w:rFonts w:hint="eastAsia" w:ascii="仿宋_GB2312" w:hAnsi="宋体" w:eastAsia="仿宋_GB2312"/>
          <w:color w:val="000000"/>
          <w:kern w:val="0"/>
          <w:sz w:val="32"/>
          <w:szCs w:val="32"/>
          <w:highlight w:val="none"/>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（十四）公务用车购置：</w:t>
      </w:r>
      <w:r>
        <w:rPr>
          <w:rFonts w:hint="eastAsia" w:ascii="仿宋_GB2312" w:hAnsi="宋体" w:eastAsia="仿宋_GB2312"/>
          <w:color w:val="000000"/>
          <w:kern w:val="0"/>
          <w:sz w:val="32"/>
          <w:szCs w:val="32"/>
          <w:highlight w:val="none"/>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（十五）其他交通工具购置：</w:t>
      </w:r>
      <w:r>
        <w:rPr>
          <w:rFonts w:hint="eastAsia" w:ascii="仿宋_GB2312" w:hAnsi="宋体" w:eastAsia="仿宋_GB2312"/>
          <w:color w:val="000000"/>
          <w:kern w:val="0"/>
          <w:sz w:val="32"/>
          <w:szCs w:val="32"/>
          <w:highlight w:val="none"/>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highlight w:val="none"/>
        </w:rPr>
      </w:pPr>
      <w:r>
        <w:rPr>
          <w:rFonts w:hint="eastAsia" w:ascii="仿宋_GB2312" w:hAnsi="宋体" w:eastAsia="仿宋_GB2312"/>
          <w:b/>
          <w:bCs/>
          <w:color w:val="000000"/>
          <w:kern w:val="0"/>
          <w:sz w:val="32"/>
          <w:szCs w:val="32"/>
          <w:highlight w:val="none"/>
        </w:rPr>
        <w:t>（十六）机关运行经费：</w:t>
      </w:r>
      <w:r>
        <w:rPr>
          <w:rFonts w:hint="eastAsia" w:ascii="仿宋_GB2312" w:hAnsi="宋体" w:eastAsia="仿宋_GB2312"/>
          <w:color w:val="000000"/>
          <w:kern w:val="0"/>
          <w:sz w:val="32"/>
          <w:szCs w:val="32"/>
          <w:highlight w:val="none"/>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highlight w:val="none"/>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highlight w:val="none"/>
        </w:rPr>
        <w:t>（十七）经费形式</w:t>
      </w:r>
      <w:r>
        <w:rPr>
          <w:rFonts w:ascii="仿宋_GB2312" w:hAnsi="宋体" w:eastAsia="仿宋_GB2312"/>
          <w:b/>
          <w:bCs/>
          <w:color w:val="000000"/>
          <w:kern w:val="0"/>
          <w:sz w:val="32"/>
          <w:szCs w:val="32"/>
          <w:highlight w:val="none"/>
        </w:rPr>
        <w:t>:</w:t>
      </w:r>
      <w:r>
        <w:rPr>
          <w:rFonts w:hint="eastAsia" w:ascii="仿宋_GB2312" w:hAnsi="宋体" w:eastAsia="仿宋_GB2312"/>
          <w:color w:val="000000"/>
          <w:kern w:val="0"/>
          <w:sz w:val="32"/>
          <w:szCs w:val="32"/>
          <w:highlight w:val="none"/>
        </w:rPr>
        <w:t>按照经费来源，</w:t>
      </w:r>
      <w:r>
        <w:rPr>
          <w:rFonts w:hint="eastAsia" w:ascii="仿宋_GB2312" w:hAnsi="Cambria" w:eastAsia="仿宋_GB2312" w:cs="ArialUnicodeMS"/>
          <w:kern w:val="0"/>
          <w:sz w:val="32"/>
          <w:szCs w:val="32"/>
          <w:highlight w:val="none"/>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highlight w:val="none"/>
        </w:rPr>
      </w:pPr>
      <w:r>
        <w:rPr>
          <w:highlight w:val="none"/>
        </w:rPr>
        <w:pict>
          <v:shape id="图片 101" o:spid="_x0000_s1129" o:spt="75" alt="3" type="#_x0000_t75" style="position:absolute;left:0pt;margin-left:-78pt;margin-top:-106.7pt;height:845.35pt;width:597.65pt;z-index:-251656192;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4017F2-3ABA-42C5-BB78-182D9AD28A97}"/>
  </w:font>
  <w:font w:name="Arial">
    <w:panose1 w:val="020B0604020202020204"/>
    <w:charset w:val="01"/>
    <w:family w:val="swiss"/>
    <w:pitch w:val="default"/>
    <w:sig w:usb0="E0002EFF" w:usb1="C000785B" w:usb2="00000009" w:usb3="00000000" w:csb0="400001FF" w:csb1="FFFF0000"/>
    <w:embedRegular r:id="rId2" w:fontKey="{A7C9A02E-0F86-4AB4-97C9-D215E2855606}"/>
  </w:font>
  <w:font w:name="黑体">
    <w:panose1 w:val="02010609060101010101"/>
    <w:charset w:val="86"/>
    <w:family w:val="auto"/>
    <w:pitch w:val="default"/>
    <w:sig w:usb0="800002BF" w:usb1="38CF7CFA" w:usb2="00000016" w:usb3="00000000" w:csb0="00040001" w:csb1="00000000"/>
    <w:embedRegular r:id="rId3" w:fontKey="{FB2645EE-DDBB-4E69-8414-4A550ADC5DC4}"/>
  </w:font>
  <w:font w:name="Courier New">
    <w:panose1 w:val="02070309020205020404"/>
    <w:charset w:val="01"/>
    <w:family w:val="modern"/>
    <w:pitch w:val="default"/>
    <w:sig w:usb0="E0002EFF" w:usb1="C0007843" w:usb2="00000009" w:usb3="00000000" w:csb0="400001FF" w:csb1="FFFF0000"/>
    <w:embedRegular r:id="rId4" w:fontKey="{8C5D7EA0-44FE-4598-A3E4-1C166C9C4475}"/>
  </w:font>
  <w:font w:name="Symbol">
    <w:panose1 w:val="05050102010706020507"/>
    <w:charset w:val="02"/>
    <w:family w:val="roman"/>
    <w:pitch w:val="default"/>
    <w:sig w:usb0="00000000" w:usb1="00000000" w:usb2="00000000" w:usb3="00000000" w:csb0="80000000" w:csb1="00000000"/>
    <w:embedRegular r:id="rId5" w:fontKey="{7BC78D93-B1F9-44B1-B9FD-0960120F2244}"/>
  </w:font>
  <w:font w:name="Calibri">
    <w:panose1 w:val="020F0502020204030204"/>
    <w:charset w:val="00"/>
    <w:family w:val="swiss"/>
    <w:pitch w:val="default"/>
    <w:sig w:usb0="E4002EFF" w:usb1="C000247B" w:usb2="00000009" w:usb3="00000000" w:csb0="200001FF" w:csb1="00000000"/>
    <w:embedRegular r:id="rId6" w:fontKey="{0B47486F-AA17-4F43-A97F-129F4A0BA65A}"/>
  </w:font>
  <w:font w:name="Cambria">
    <w:panose1 w:val="02040503050406030204"/>
    <w:charset w:val="00"/>
    <w:family w:val="roman"/>
    <w:pitch w:val="default"/>
    <w:sig w:usb0="E00006FF" w:usb1="420024FF" w:usb2="02000000" w:usb3="00000000" w:csb0="2000019F" w:csb1="00000000"/>
    <w:embedRegular r:id="rId7" w:fontKey="{D42C646E-CCA2-4612-9C8B-F9889E966A22}"/>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F3388813-237B-4E83-A734-4F41EE7288D0}"/>
  </w:font>
  <w:font w:name="仿宋_GB2312">
    <w:altName w:val="仿宋"/>
    <w:panose1 w:val="00000000000000000000"/>
    <w:charset w:val="86"/>
    <w:family w:val="modern"/>
    <w:pitch w:val="default"/>
    <w:sig w:usb0="00000000" w:usb1="00000000" w:usb2="00000010" w:usb3="00000000" w:csb0="00040000" w:csb1="00000000"/>
    <w:embedRegular r:id="rId9" w:fontKey="{8D41CB0B-9B56-45C0-AC61-BBB305796E75}"/>
  </w:font>
  <w:font w:name="MS Gothic">
    <w:panose1 w:val="020B0609070205080204"/>
    <w:charset w:val="80"/>
    <w:family w:val="modern"/>
    <w:pitch w:val="default"/>
    <w:sig w:usb0="E00002FF" w:usb1="6AC7FDFB" w:usb2="08000012" w:usb3="00000000" w:csb0="4002009F" w:csb1="DFD70000"/>
    <w:embedRegular r:id="rId10" w:fontKey="{B8799066-9286-4CE4-8CE9-EB8E4C2D7730}"/>
  </w:font>
  <w:font w:name="ArialUnicodeMS">
    <w:altName w:val="Malgun Gothic"/>
    <w:panose1 w:val="00000000000000000000"/>
    <w:charset w:val="81"/>
    <w:family w:val="auto"/>
    <w:pitch w:val="default"/>
    <w:sig w:usb0="00000000" w:usb1="00000000" w:usb2="00000010" w:usb3="00000000" w:csb0="00080000" w:csb1="00000000"/>
    <w:embedRegular r:id="rId11" w:fontKey="{B43107A1-D41B-4C06-A3F8-DFABA6F29FC2}"/>
  </w:font>
  <w:font w:name="MS-UIGothic,Bold">
    <w:altName w:val="Malgun Gothic"/>
    <w:panose1 w:val="00000000000000000000"/>
    <w:charset w:val="81"/>
    <w:family w:val="auto"/>
    <w:pitch w:val="default"/>
    <w:sig w:usb0="00000000" w:usb1="00000000" w:usb2="00000010" w:usb3="00000000" w:csb0="00080000" w:csb1="00000000"/>
    <w:embedRegular r:id="rId12" w:fontKey="{85D789BD-D85D-440B-8306-A1743EB15B6A}"/>
  </w:font>
  <w:font w:name="DengXian-Regular">
    <w:altName w:val="宋体"/>
    <w:panose1 w:val="00000000000000000000"/>
    <w:charset w:val="86"/>
    <w:family w:val="auto"/>
    <w:pitch w:val="default"/>
    <w:sig w:usb0="00000000" w:usb1="00000000" w:usb2="00000010" w:usb3="00000000" w:csb0="00040000" w:csb1="00000000"/>
    <w:embedRegular r:id="rId13" w:fontKey="{EE5E0290-10E2-48B4-AA49-AD39D870F18B}"/>
  </w:font>
  <w:font w:name="楷体_GB2312">
    <w:altName w:val="楷体"/>
    <w:panose1 w:val="00000000000000000000"/>
    <w:charset w:val="86"/>
    <w:family w:val="modern"/>
    <w:pitch w:val="default"/>
    <w:sig w:usb0="00000000" w:usb1="00000000" w:usb2="00000010" w:usb3="00000000" w:csb0="00040000" w:csb1="00000000"/>
    <w:embedRegular r:id="rId14" w:fontKey="{AA89F571-6F5C-43C2-9C2F-03B4BFD7D529}"/>
  </w:font>
  <w:font w:name="DengXian-Bold">
    <w:altName w:val="宋体"/>
    <w:panose1 w:val="00000000000000000000"/>
    <w:charset w:val="86"/>
    <w:family w:val="auto"/>
    <w:pitch w:val="default"/>
    <w:sig w:usb0="00000000" w:usb1="00000000" w:usb2="00000010" w:usb3="00000000" w:csb0="00040000" w:csb1="00000000"/>
    <w:embedRegular r:id="rId15" w:fontKey="{857CBCFE-7EBB-4B2A-A058-E783449F7425}"/>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68FD73E6"/>
    <w:multiLevelType w:val="singleLevel"/>
    <w:tmpl w:val="68FD73E6"/>
    <w:lvl w:ilvl="0" w:tentative="0">
      <w:start w:val="1"/>
      <w:numFmt w:val="chineseCounting"/>
      <w:suff w:val="nothing"/>
      <w:lvlText w:val="（%1）"/>
      <w:lvlJc w:val="left"/>
      <w:pPr>
        <w:ind w:left="960" w:leftChars="0" w:firstLine="0" w:firstLineChars="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gwMTQ2ODg1MTZkMzVlYWY5ZTQyMTEyMDU1NzJlMTIifQ=="/>
  </w:docVars>
  <w:rsids>
    <w:rsidRoot w:val="003C1413"/>
    <w:rsid w:val="00024E7F"/>
    <w:rsid w:val="00044322"/>
    <w:rsid w:val="000475A0"/>
    <w:rsid w:val="000514EF"/>
    <w:rsid w:val="000838C3"/>
    <w:rsid w:val="000A7E6F"/>
    <w:rsid w:val="000B2446"/>
    <w:rsid w:val="000D7C65"/>
    <w:rsid w:val="000E2F81"/>
    <w:rsid w:val="000E5D5B"/>
    <w:rsid w:val="000F190B"/>
    <w:rsid w:val="001003EA"/>
    <w:rsid w:val="00117946"/>
    <w:rsid w:val="00117E2C"/>
    <w:rsid w:val="00146C47"/>
    <w:rsid w:val="00152FB8"/>
    <w:rsid w:val="00176658"/>
    <w:rsid w:val="0018239E"/>
    <w:rsid w:val="001A29BD"/>
    <w:rsid w:val="001B3410"/>
    <w:rsid w:val="001B51B2"/>
    <w:rsid w:val="001C030D"/>
    <w:rsid w:val="001C4A84"/>
    <w:rsid w:val="001E5902"/>
    <w:rsid w:val="00233705"/>
    <w:rsid w:val="00241AE4"/>
    <w:rsid w:val="002455AB"/>
    <w:rsid w:val="00275CA2"/>
    <w:rsid w:val="00297AFD"/>
    <w:rsid w:val="002A65A5"/>
    <w:rsid w:val="002B41A4"/>
    <w:rsid w:val="002C04C4"/>
    <w:rsid w:val="002D08B0"/>
    <w:rsid w:val="002D1AE3"/>
    <w:rsid w:val="002F2ECE"/>
    <w:rsid w:val="00304241"/>
    <w:rsid w:val="0031479E"/>
    <w:rsid w:val="00341C8F"/>
    <w:rsid w:val="0035463A"/>
    <w:rsid w:val="00391D9D"/>
    <w:rsid w:val="003A168D"/>
    <w:rsid w:val="003B6C51"/>
    <w:rsid w:val="003C1413"/>
    <w:rsid w:val="003C549F"/>
    <w:rsid w:val="003D5A16"/>
    <w:rsid w:val="003D72A6"/>
    <w:rsid w:val="003E7DB3"/>
    <w:rsid w:val="003F694B"/>
    <w:rsid w:val="00400FFB"/>
    <w:rsid w:val="00431175"/>
    <w:rsid w:val="004376C2"/>
    <w:rsid w:val="004B0428"/>
    <w:rsid w:val="004B6E37"/>
    <w:rsid w:val="004C32BA"/>
    <w:rsid w:val="00575922"/>
    <w:rsid w:val="005A24F8"/>
    <w:rsid w:val="005A6C90"/>
    <w:rsid w:val="005E3FB0"/>
    <w:rsid w:val="005F4B66"/>
    <w:rsid w:val="005F5208"/>
    <w:rsid w:val="00623803"/>
    <w:rsid w:val="00641318"/>
    <w:rsid w:val="0064405D"/>
    <w:rsid w:val="00695557"/>
    <w:rsid w:val="006D4EA7"/>
    <w:rsid w:val="006E4959"/>
    <w:rsid w:val="0070012A"/>
    <w:rsid w:val="0070664B"/>
    <w:rsid w:val="007071B8"/>
    <w:rsid w:val="0073432D"/>
    <w:rsid w:val="007414DE"/>
    <w:rsid w:val="007905A9"/>
    <w:rsid w:val="007B0E8E"/>
    <w:rsid w:val="007E5500"/>
    <w:rsid w:val="007F055B"/>
    <w:rsid w:val="00811C2F"/>
    <w:rsid w:val="00833A0E"/>
    <w:rsid w:val="00833D46"/>
    <w:rsid w:val="00840A97"/>
    <w:rsid w:val="008C0149"/>
    <w:rsid w:val="008D5DED"/>
    <w:rsid w:val="008E25CA"/>
    <w:rsid w:val="008F34FC"/>
    <w:rsid w:val="00920EE8"/>
    <w:rsid w:val="00922643"/>
    <w:rsid w:val="00944CD7"/>
    <w:rsid w:val="009631BC"/>
    <w:rsid w:val="009831B2"/>
    <w:rsid w:val="009A1ABE"/>
    <w:rsid w:val="009E06E6"/>
    <w:rsid w:val="009E21A4"/>
    <w:rsid w:val="009F22C6"/>
    <w:rsid w:val="00A00AF6"/>
    <w:rsid w:val="00A07E50"/>
    <w:rsid w:val="00A15397"/>
    <w:rsid w:val="00A35CE0"/>
    <w:rsid w:val="00A4462E"/>
    <w:rsid w:val="00A44AA4"/>
    <w:rsid w:val="00A61623"/>
    <w:rsid w:val="00A84687"/>
    <w:rsid w:val="00A95DB3"/>
    <w:rsid w:val="00AB0A0E"/>
    <w:rsid w:val="00AD3B6E"/>
    <w:rsid w:val="00B071BD"/>
    <w:rsid w:val="00B1751F"/>
    <w:rsid w:val="00B3300C"/>
    <w:rsid w:val="00B456AA"/>
    <w:rsid w:val="00B56722"/>
    <w:rsid w:val="00B74D39"/>
    <w:rsid w:val="00B80B19"/>
    <w:rsid w:val="00B91DA4"/>
    <w:rsid w:val="00C12630"/>
    <w:rsid w:val="00C24743"/>
    <w:rsid w:val="00C34562"/>
    <w:rsid w:val="00C3774E"/>
    <w:rsid w:val="00C44103"/>
    <w:rsid w:val="00C57456"/>
    <w:rsid w:val="00C65387"/>
    <w:rsid w:val="00C801EA"/>
    <w:rsid w:val="00C87FAB"/>
    <w:rsid w:val="00C91FF7"/>
    <w:rsid w:val="00C94E53"/>
    <w:rsid w:val="00CC46BD"/>
    <w:rsid w:val="00CD3BA8"/>
    <w:rsid w:val="00CF79C9"/>
    <w:rsid w:val="00D0048E"/>
    <w:rsid w:val="00D23E7A"/>
    <w:rsid w:val="00D54093"/>
    <w:rsid w:val="00D61063"/>
    <w:rsid w:val="00D9469E"/>
    <w:rsid w:val="00D96924"/>
    <w:rsid w:val="00D96C56"/>
    <w:rsid w:val="00DA2992"/>
    <w:rsid w:val="00DB2B9D"/>
    <w:rsid w:val="00DB35AF"/>
    <w:rsid w:val="00DD72D7"/>
    <w:rsid w:val="00DF5B88"/>
    <w:rsid w:val="00E0589E"/>
    <w:rsid w:val="00E241FA"/>
    <w:rsid w:val="00E2595E"/>
    <w:rsid w:val="00E32060"/>
    <w:rsid w:val="00E35374"/>
    <w:rsid w:val="00E50C19"/>
    <w:rsid w:val="00E5697D"/>
    <w:rsid w:val="00E64655"/>
    <w:rsid w:val="00E652D0"/>
    <w:rsid w:val="00E73081"/>
    <w:rsid w:val="00E856C9"/>
    <w:rsid w:val="00EB6A8B"/>
    <w:rsid w:val="00EF38C6"/>
    <w:rsid w:val="00F111D2"/>
    <w:rsid w:val="00F353DE"/>
    <w:rsid w:val="00F56E19"/>
    <w:rsid w:val="00F615BD"/>
    <w:rsid w:val="00F679C7"/>
    <w:rsid w:val="00F7606F"/>
    <w:rsid w:val="00F7711A"/>
    <w:rsid w:val="00FA0D58"/>
    <w:rsid w:val="00FA56F4"/>
    <w:rsid w:val="00FB1EF6"/>
    <w:rsid w:val="00FB4EDA"/>
    <w:rsid w:val="00FC4766"/>
    <w:rsid w:val="00FC5707"/>
    <w:rsid w:val="00FD3BD5"/>
    <w:rsid w:val="00FE3069"/>
    <w:rsid w:val="00FE3DC8"/>
    <w:rsid w:val="014D76C8"/>
    <w:rsid w:val="04073F84"/>
    <w:rsid w:val="05C74F68"/>
    <w:rsid w:val="05E12A40"/>
    <w:rsid w:val="08DE5C69"/>
    <w:rsid w:val="0A6F522B"/>
    <w:rsid w:val="0B60750A"/>
    <w:rsid w:val="0C6A2301"/>
    <w:rsid w:val="0DB41090"/>
    <w:rsid w:val="0FE023D1"/>
    <w:rsid w:val="10686488"/>
    <w:rsid w:val="10DF728A"/>
    <w:rsid w:val="1241245E"/>
    <w:rsid w:val="1264200E"/>
    <w:rsid w:val="141C5B77"/>
    <w:rsid w:val="151447D2"/>
    <w:rsid w:val="157A1DD8"/>
    <w:rsid w:val="16F83C51"/>
    <w:rsid w:val="18D8339D"/>
    <w:rsid w:val="1A21388F"/>
    <w:rsid w:val="1A570D2F"/>
    <w:rsid w:val="249E3F4D"/>
    <w:rsid w:val="28FB0B8D"/>
    <w:rsid w:val="2D2B7942"/>
    <w:rsid w:val="2D46481D"/>
    <w:rsid w:val="2D7E7120"/>
    <w:rsid w:val="2E733B28"/>
    <w:rsid w:val="31455EE7"/>
    <w:rsid w:val="31852B5A"/>
    <w:rsid w:val="32D01238"/>
    <w:rsid w:val="397B489A"/>
    <w:rsid w:val="3BEC1AF9"/>
    <w:rsid w:val="3DFC59A8"/>
    <w:rsid w:val="3E100662"/>
    <w:rsid w:val="3ECF245E"/>
    <w:rsid w:val="3FB96314"/>
    <w:rsid w:val="402F4C8F"/>
    <w:rsid w:val="425C63DF"/>
    <w:rsid w:val="4B0F708B"/>
    <w:rsid w:val="4C871DA2"/>
    <w:rsid w:val="4E054FD7"/>
    <w:rsid w:val="4F074638"/>
    <w:rsid w:val="4F5C3DF3"/>
    <w:rsid w:val="500D446D"/>
    <w:rsid w:val="52377BC0"/>
    <w:rsid w:val="53A44FAF"/>
    <w:rsid w:val="594329EC"/>
    <w:rsid w:val="5A2672AF"/>
    <w:rsid w:val="5AEF2D9B"/>
    <w:rsid w:val="5BBF44B2"/>
    <w:rsid w:val="5BEE1540"/>
    <w:rsid w:val="5DE61A5D"/>
    <w:rsid w:val="60094366"/>
    <w:rsid w:val="61F35FBF"/>
    <w:rsid w:val="63C04243"/>
    <w:rsid w:val="649C01C7"/>
    <w:rsid w:val="66C14F4E"/>
    <w:rsid w:val="699A3F60"/>
    <w:rsid w:val="6AF81DBB"/>
    <w:rsid w:val="6B240275"/>
    <w:rsid w:val="70712C1C"/>
    <w:rsid w:val="72902E62"/>
    <w:rsid w:val="73C61104"/>
    <w:rsid w:val="776452EA"/>
    <w:rsid w:val="7B2040CD"/>
    <w:rsid w:val="7D124BD2"/>
    <w:rsid w:val="7D441FB6"/>
    <w:rsid w:val="7DC663B9"/>
    <w:rsid w:val="7DE04A02"/>
    <w:rsid w:val="7F3C7DDF"/>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autoRedefine/>
    <w:semiHidden/>
    <w:qFormat/>
    <w:uiPriority w:val="99"/>
    <w:pPr>
      <w:ind w:left="100" w:leftChars="2500"/>
    </w:pPr>
  </w:style>
  <w:style w:type="paragraph" w:styleId="7">
    <w:name w:val="Balloon Text"/>
    <w:basedOn w:val="1"/>
    <w:link w:val="20"/>
    <w:autoRedefine/>
    <w:semiHidden/>
    <w:qFormat/>
    <w:uiPriority w:val="99"/>
    <w:rPr>
      <w:sz w:val="18"/>
      <w:szCs w:val="18"/>
    </w:rPr>
  </w:style>
  <w:style w:type="paragraph" w:styleId="8">
    <w:name w:val="footer"/>
    <w:basedOn w:val="1"/>
    <w:link w:val="21"/>
    <w:autoRedefine/>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autoRedefine/>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autoRedefine/>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autoRedefine/>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autoRedefine/>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autoRedefine/>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autoRedefine/>
    <w:qFormat/>
    <w:locked/>
    <w:uiPriority w:val="99"/>
    <w:rPr>
      <w:rFonts w:ascii="Calibri" w:hAnsi="Calibri" w:eastAsia="宋体" w:cs="Times New Roman"/>
      <w:b/>
      <w:bCs/>
      <w:sz w:val="32"/>
      <w:szCs w:val="32"/>
    </w:rPr>
  </w:style>
  <w:style w:type="character" w:customStyle="1" w:styleId="17">
    <w:name w:val="标题 3 Char"/>
    <w:basedOn w:val="14"/>
    <w:link w:val="4"/>
    <w:autoRedefine/>
    <w:qFormat/>
    <w:locked/>
    <w:uiPriority w:val="99"/>
    <w:rPr>
      <w:rFonts w:ascii="Times New Roman" w:hAnsi="Times New Roman" w:eastAsia="宋体" w:cs="Times New Roman"/>
      <w:b/>
      <w:bCs/>
      <w:sz w:val="32"/>
      <w:szCs w:val="32"/>
    </w:rPr>
  </w:style>
  <w:style w:type="character" w:customStyle="1" w:styleId="18">
    <w:name w:val="标题 4 Char"/>
    <w:basedOn w:val="14"/>
    <w:link w:val="5"/>
    <w:autoRedefine/>
    <w:qFormat/>
    <w:locked/>
    <w:uiPriority w:val="99"/>
    <w:rPr>
      <w:rFonts w:ascii="Calibri" w:hAnsi="Calibri" w:eastAsia="宋体" w:cs="Times New Roman"/>
      <w:b/>
      <w:bCs/>
      <w:sz w:val="28"/>
      <w:szCs w:val="28"/>
    </w:rPr>
  </w:style>
  <w:style w:type="character" w:customStyle="1" w:styleId="19">
    <w:name w:val="日期 Char"/>
    <w:basedOn w:val="14"/>
    <w:link w:val="6"/>
    <w:autoRedefine/>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autoRedefine/>
    <w:semiHidden/>
    <w:qFormat/>
    <w:locked/>
    <w:uiPriority w:val="99"/>
    <w:rPr>
      <w:rFonts w:ascii="Times New Roman" w:hAnsi="Times New Roman" w:eastAsia="宋体" w:cs="Times New Roman"/>
      <w:sz w:val="18"/>
      <w:szCs w:val="18"/>
    </w:rPr>
  </w:style>
  <w:style w:type="character" w:customStyle="1" w:styleId="21">
    <w:name w:val="页脚 Char"/>
    <w:basedOn w:val="14"/>
    <w:link w:val="8"/>
    <w:autoRedefine/>
    <w:qFormat/>
    <w:locked/>
    <w:uiPriority w:val="99"/>
    <w:rPr>
      <w:rFonts w:cs="Times New Roman"/>
      <w:sz w:val="18"/>
      <w:szCs w:val="18"/>
    </w:rPr>
  </w:style>
  <w:style w:type="character" w:customStyle="1" w:styleId="22">
    <w:name w:val="页眉 Char"/>
    <w:basedOn w:val="14"/>
    <w:link w:val="9"/>
    <w:autoRedefine/>
    <w:qFormat/>
    <w:locked/>
    <w:uiPriority w:val="99"/>
    <w:rPr>
      <w:rFonts w:cs="Times New Roman"/>
      <w:sz w:val="18"/>
      <w:szCs w:val="18"/>
    </w:rPr>
  </w:style>
  <w:style w:type="character" w:customStyle="1" w:styleId="23">
    <w:name w:val="副标题 Char"/>
    <w:basedOn w:val="14"/>
    <w:link w:val="10"/>
    <w:autoRedefine/>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autoRedefine/>
    <w:qFormat/>
    <w:locked/>
    <w:uiPriority w:val="99"/>
    <w:rPr>
      <w:rFonts w:ascii="Calibri" w:hAnsi="Calibri" w:eastAsia="宋体" w:cs="Times New Roman"/>
      <w:color w:val="3A2C24"/>
      <w:spacing w:val="5"/>
      <w:kern w:val="28"/>
      <w:sz w:val="52"/>
      <w:szCs w:val="52"/>
    </w:rPr>
  </w:style>
  <w:style w:type="paragraph" w:styleId="25">
    <w:name w:val="No Spacing"/>
    <w:link w:val="26"/>
    <w:autoRedefine/>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autoRedefine/>
    <w:qFormat/>
    <w:locked/>
    <w:uiPriority w:val="99"/>
    <w:rPr>
      <w:sz w:val="22"/>
      <w:szCs w:val="22"/>
      <w:lang w:val="en-US" w:eastAsia="zh-CN" w:bidi="ar-SA"/>
    </w:rPr>
  </w:style>
  <w:style w:type="character" w:customStyle="1" w:styleId="27">
    <w:name w:val="Style1"/>
    <w:basedOn w:val="14"/>
    <w:autoRedefine/>
    <w:qFormat/>
    <w:uiPriority w:val="99"/>
    <w:rPr>
      <w:rFonts w:ascii="Cambria" w:hAnsi="黑体" w:eastAsia="黑体" w:cs="Times New Roman"/>
      <w:sz w:val="22"/>
      <w:szCs w:val="22"/>
      <w:lang w:eastAsia="zh-CN"/>
    </w:rPr>
  </w:style>
  <w:style w:type="character" w:customStyle="1" w:styleId="28">
    <w:name w:val="Style2"/>
    <w:basedOn w:val="14"/>
    <w:autoRedefine/>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autoRedefine/>
    <w:qFormat/>
    <w:uiPriority w:val="99"/>
    <w:rPr>
      <w:rFonts w:ascii="Cambria" w:hAnsi="黑体" w:eastAsia="黑体" w:cs="Times New Roman"/>
      <w:sz w:val="22"/>
      <w:szCs w:val="22"/>
      <w:lang w:eastAsia="zh-CN"/>
    </w:rPr>
  </w:style>
  <w:style w:type="character" w:customStyle="1" w:styleId="31">
    <w:name w:val="Style5"/>
    <w:basedOn w:val="14"/>
    <w:autoRedefine/>
    <w:qFormat/>
    <w:uiPriority w:val="99"/>
    <w:rPr>
      <w:rFonts w:ascii="Cambria" w:hAnsi="黑体" w:eastAsia="黑体" w:cs="Times New Roman"/>
      <w:sz w:val="22"/>
      <w:szCs w:val="22"/>
      <w:lang w:eastAsia="zh-CN"/>
    </w:rPr>
  </w:style>
  <w:style w:type="paragraph" w:styleId="32">
    <w:name w:val="List Paragraph"/>
    <w:basedOn w:val="1"/>
    <w:autoRedefine/>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7702</Words>
  <Characters>8974</Characters>
  <Lines>84</Lines>
  <Paragraphs>23</Paragraphs>
  <TotalTime>3</TotalTime>
  <ScaleCrop>false</ScaleCrop>
  <LinksUpToDate>false</LinksUpToDate>
  <CharactersWithSpaces>9253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晁宇</cp:lastModifiedBy>
  <cp:lastPrinted>2021-05-08T01:38:00Z</cp:lastPrinted>
  <dcterms:modified xsi:type="dcterms:W3CDTF">2024-05-31T02:51:09Z</dcterms:modified>
  <dc:subject>石家庄市xxx部门</dc:subject>
  <dc:title>2017年度部门决算</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E0D6CE230D494247B451551058DD00F2</vt:lpwstr>
  </property>
</Properties>
</file>