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9" w:name="_GoBack"/>
      <w:bookmarkEnd w:id="19"/>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p>
    <w:p>
      <w:pPr>
        <w:jc w:val="center"/>
      </w:pPr>
      <w:r>
        <w:rPr>
          <w:rFonts w:ascii="黑体" w:hAnsi="黑体" w:eastAsia="黑体" w:cs="黑体"/>
          <w:b/>
          <w:color w:val="000000"/>
          <w:sz w:val="30"/>
        </w:rPr>
        <w:t xml:space="preserve">第一部分  </w:t>
      </w:r>
      <w:r>
        <w:rPr>
          <w:rFonts w:hint="eastAsia" w:ascii="黑体" w:hAnsi="黑体" w:eastAsia="黑体" w:cs="黑体"/>
          <w:b/>
          <w:color w:val="000000"/>
          <w:sz w:val="30"/>
          <w:lang w:eastAsia="zh-CN"/>
        </w:rPr>
        <w:t>单位</w:t>
      </w:r>
      <w:r>
        <w:rPr>
          <w:rFonts w:ascii="黑体" w:hAnsi="黑体" w:eastAsia="黑体" w:cs="黑体"/>
          <w:b/>
          <w:color w:val="000000"/>
          <w:sz w:val="30"/>
        </w:rPr>
        <w:t>预算</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3</w:t>
      </w:r>
      <w:r>
        <w:fldChar w:fldCharType="end"/>
      </w:r>
      <w:r>
        <w:fldChar w:fldCharType="end"/>
      </w:r>
    </w:p>
    <w:p>
      <w:pPr>
        <w:pStyle w:val="33"/>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5</w:t>
      </w:r>
      <w:r>
        <w:fldChar w:fldCharType="end"/>
      </w:r>
      <w:r>
        <w:fldChar w:fldCharType="end"/>
      </w:r>
    </w:p>
    <w:p>
      <w:pPr>
        <w:pStyle w:val="33"/>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7</w:t>
      </w:r>
      <w:r>
        <w:fldChar w:fldCharType="end"/>
      </w:r>
      <w:r>
        <w:fldChar w:fldCharType="end"/>
      </w:r>
    </w:p>
    <w:p>
      <w:pPr>
        <w:pStyle w:val="33"/>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33"/>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11</w:t>
      </w:r>
      <w:r>
        <w:fldChar w:fldCharType="end"/>
      </w:r>
      <w:r>
        <w:fldChar w:fldCharType="end"/>
      </w:r>
    </w:p>
    <w:p>
      <w:pPr>
        <w:pStyle w:val="33"/>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3"/>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3"/>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3"/>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3"/>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18</w:t>
      </w:r>
      <w:r>
        <w:fldChar w:fldCharType="end"/>
      </w:r>
      <w:r>
        <w:fldChar w:fldCharType="end"/>
      </w:r>
    </w:p>
    <w:p>
      <w:pPr>
        <w:pStyle w:val="3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20</w:t>
      </w:r>
      <w:r>
        <w:fldChar w:fldCharType="end"/>
      </w:r>
      <w:r>
        <w:fldChar w:fldCharType="end"/>
      </w:r>
    </w:p>
    <w:p>
      <w:pPr>
        <w:pStyle w:val="3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20</w:t>
      </w:r>
      <w:r>
        <w:fldChar w:fldCharType="end"/>
      </w:r>
      <w:r>
        <w:fldChar w:fldCharType="end"/>
      </w:r>
    </w:p>
    <w:p>
      <w:pPr>
        <w:pStyle w:val="3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20</w:t>
      </w:r>
      <w:r>
        <w:fldChar w:fldCharType="end"/>
      </w:r>
      <w:r>
        <w:fldChar w:fldCharType="end"/>
      </w:r>
    </w:p>
    <w:p>
      <w:pPr>
        <w:pStyle w:val="3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28</w:t>
      </w:r>
      <w:r>
        <w:fldChar w:fldCharType="end"/>
      </w:r>
      <w:r>
        <w:fldChar w:fldCharType="end"/>
      </w:r>
    </w:p>
    <w:p>
      <w:pPr>
        <w:pStyle w:val="3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28</w:t>
      </w:r>
      <w:r>
        <w:fldChar w:fldCharType="end"/>
      </w:r>
      <w:r>
        <w:fldChar w:fldCharType="end"/>
      </w:r>
    </w:p>
    <w:p>
      <w:pPr>
        <w:pStyle w:val="3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29</w:t>
      </w:r>
      <w:r>
        <w:fldChar w:fldCharType="end"/>
      </w:r>
      <w:r>
        <w:fldChar w:fldCharType="end"/>
      </w:r>
    </w:p>
    <w:p>
      <w:pPr>
        <w:pStyle w:val="3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9</w:t>
      </w:r>
    </w:p>
    <w:p>
      <w:r>
        <w:fldChar w:fldCharType="end"/>
      </w:r>
    </w:p>
    <w:p>
      <w:pPr>
        <w:sectPr>
          <w:pgSz w:w="16840" w:h="11900" w:orient="landscape"/>
          <w:pgMar w:top="1587" w:right="1134" w:bottom="1361" w:left="1134" w:header="720" w:footer="720" w:gutter="0"/>
          <w:pgNumType w:start="1"/>
          <w:cols w:space="720" w:num="1"/>
          <w:docGrid w:linePitch="0" w:charSpace="0"/>
        </w:sectPr>
      </w:pPr>
    </w:p>
    <w:p>
      <w:pPr>
        <w:jc w:val="center"/>
        <w:outlineLvl w:val="1"/>
      </w:pPr>
      <w:bookmarkStart w:id="0" w:name="_Toc_2_2_0000000001"/>
      <w:bookmarkEnd w:id="0"/>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rPr>
                <w:rFonts w:hint="eastAsia" w:eastAsia="方正小标宋_GBK"/>
                <w:lang w:val="en-US" w:eastAsia="zh-CN"/>
              </w:rPr>
            </w:pPr>
            <w:r>
              <w:t>213001中共保定市满城区委统战部</w:t>
            </w:r>
            <w:r>
              <w:rPr>
                <w:rFonts w:hint="eastAsia"/>
                <w:lang w:val="en-US" w:eastAsia="zh-CN"/>
              </w:rPr>
              <w:t>本级</w:t>
            </w:r>
          </w:p>
        </w:tc>
        <w:tc>
          <w:tcPr>
            <w:tcW w:w="2126" w:type="dxa"/>
            <w:tcBorders>
              <w:top w:val="single" w:color="FFFFFF" w:sz="6" w:space="0"/>
              <w:left w:val="single" w:color="FFFFFF" w:sz="6" w:space="0"/>
              <w:right w:val="single" w:color="FFFFFF" w:sz="6" w:space="0"/>
            </w:tcBorders>
            <w:vAlign w:val="center"/>
          </w:tcPr>
          <w:p>
            <w:pPr>
              <w:pStyle w:val="9"/>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143.50</w:t>
            </w:r>
          </w:p>
        </w:tc>
        <w:tc>
          <w:tcPr>
            <w:tcW w:w="4535" w:type="dxa"/>
            <w:vAlign w:val="center"/>
          </w:tcPr>
          <w:p>
            <w:pPr>
              <w:pStyle w:val="13"/>
            </w:pPr>
            <w:r>
              <w:t>一、一般公共服务支出</w:t>
            </w:r>
          </w:p>
        </w:tc>
        <w:tc>
          <w:tcPr>
            <w:tcW w:w="2126" w:type="dxa"/>
            <w:vAlign w:val="center"/>
          </w:tcPr>
          <w:p>
            <w:pPr>
              <w:pStyle w:val="12"/>
            </w:pPr>
            <w:r>
              <w:t>110.17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五、事业收入</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r>
              <w:t>六、事业单位经营收入</w:t>
            </w: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r>
              <w:t>七、上级补助收入</w:t>
            </w: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r>
              <w:t>八、附属单位上缴收入</w:t>
            </w: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21.01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r>
              <w:t>九、其他收入</w:t>
            </w: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4.85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7.46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三十一、往来性支出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143.50</w:t>
            </w:r>
          </w:p>
        </w:tc>
        <w:tc>
          <w:tcPr>
            <w:tcW w:w="4535" w:type="dxa"/>
            <w:vAlign w:val="center"/>
          </w:tcPr>
          <w:p>
            <w:pPr>
              <w:pStyle w:val="15"/>
            </w:pPr>
            <w:r>
              <w:t>本年支出合计</w:t>
            </w:r>
          </w:p>
        </w:tc>
        <w:tc>
          <w:tcPr>
            <w:tcW w:w="2126" w:type="dxa"/>
            <w:vAlign w:val="center"/>
          </w:tcPr>
          <w:p>
            <w:pPr>
              <w:pStyle w:val="16"/>
            </w:pPr>
            <w:r>
              <w:t>143.50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143.50</w:t>
            </w:r>
          </w:p>
        </w:tc>
        <w:tc>
          <w:tcPr>
            <w:tcW w:w="4535" w:type="dxa"/>
            <w:vAlign w:val="center"/>
          </w:tcPr>
          <w:p>
            <w:pPr>
              <w:pStyle w:val="15"/>
            </w:pPr>
            <w:r>
              <w:t>支出总计</w:t>
            </w:r>
          </w:p>
        </w:tc>
        <w:tc>
          <w:tcPr>
            <w:tcW w:w="2126" w:type="dxa"/>
            <w:vAlign w:val="center"/>
          </w:tcPr>
          <w:p>
            <w:pPr>
              <w:pStyle w:val="16"/>
            </w:pPr>
            <w:r>
              <w:t>143.50</w:t>
            </w:r>
          </w:p>
        </w:tc>
      </w:tr>
    </w:tbl>
    <w:p>
      <w:pPr>
        <w:sectPr>
          <w:footerReference r:id="rId3" w:type="default"/>
          <w:footerReference r:id="rId4" w:type="even"/>
          <w:pgSz w:w="16840" w:h="11900" w:orient="landscape"/>
          <w:pgMar w:top="1361" w:right="1020" w:bottom="1134" w:left="1020" w:header="720" w:footer="720" w:gutter="0"/>
          <w:cols w:space="720" w:num="1"/>
          <w:docGrid w:linePitch="0" w:charSpace="0"/>
        </w:sectPr>
      </w:pPr>
    </w:p>
    <w:p>
      <w:pPr>
        <w:jc w:val="center"/>
        <w:outlineLvl w:val="1"/>
      </w:pPr>
      <w:bookmarkStart w:id="1" w:name="_Toc_2_2_0000000002"/>
      <w:bookmarkEnd w:id="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rPr>
                <w:rFonts w:hint="eastAsia" w:eastAsia="方正小标宋_GBK"/>
                <w:lang w:val="en-US" w:eastAsia="zh-CN"/>
              </w:rPr>
            </w:pPr>
            <w:r>
              <w:t>213001中共保定市满城区委统战部</w:t>
            </w:r>
            <w:r>
              <w:rPr>
                <w:rFonts w:hint="eastAsia"/>
                <w:lang w:val="en-US" w:eastAsia="zh-CN"/>
              </w:rPr>
              <w:t>本级</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143.50</w:t>
            </w:r>
          </w:p>
        </w:tc>
        <w:tc>
          <w:tcPr>
            <w:tcW w:w="1134" w:type="dxa"/>
            <w:vAlign w:val="center"/>
          </w:tcPr>
          <w:p>
            <w:pPr>
              <w:pStyle w:val="16"/>
            </w:pPr>
            <w:r>
              <w:t>143.50</w:t>
            </w:r>
          </w:p>
        </w:tc>
        <w:tc>
          <w:tcPr>
            <w:tcW w:w="1134" w:type="dxa"/>
            <w:vAlign w:val="center"/>
          </w:tcPr>
          <w:p>
            <w:pPr>
              <w:pStyle w:val="16"/>
            </w:pPr>
            <w:r>
              <w:t>143.50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201</w:t>
            </w:r>
          </w:p>
        </w:tc>
        <w:tc>
          <w:tcPr>
            <w:tcW w:w="1559" w:type="dxa"/>
            <w:vAlign w:val="center"/>
          </w:tcPr>
          <w:p>
            <w:pPr>
              <w:pStyle w:val="13"/>
            </w:pPr>
            <w:r>
              <w:t>一般公共服务支出</w:t>
            </w:r>
          </w:p>
        </w:tc>
        <w:tc>
          <w:tcPr>
            <w:tcW w:w="1134" w:type="dxa"/>
            <w:vAlign w:val="center"/>
          </w:tcPr>
          <w:p>
            <w:pPr>
              <w:pStyle w:val="12"/>
            </w:pPr>
            <w:r>
              <w:t>110.17</w:t>
            </w:r>
          </w:p>
        </w:tc>
        <w:tc>
          <w:tcPr>
            <w:tcW w:w="1134" w:type="dxa"/>
            <w:vAlign w:val="center"/>
          </w:tcPr>
          <w:p>
            <w:pPr>
              <w:pStyle w:val="12"/>
            </w:pPr>
            <w:r>
              <w:t>110.17</w:t>
            </w:r>
          </w:p>
        </w:tc>
        <w:tc>
          <w:tcPr>
            <w:tcW w:w="1134" w:type="dxa"/>
            <w:vAlign w:val="center"/>
          </w:tcPr>
          <w:p>
            <w:pPr>
              <w:pStyle w:val="12"/>
            </w:pPr>
            <w:r>
              <w:t>110.17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20114</w:t>
            </w:r>
          </w:p>
        </w:tc>
        <w:tc>
          <w:tcPr>
            <w:tcW w:w="1559" w:type="dxa"/>
            <w:vAlign w:val="center"/>
          </w:tcPr>
          <w:p>
            <w:pPr>
              <w:pStyle w:val="13"/>
            </w:pPr>
            <w:r>
              <w:t>知识产权事务</w:t>
            </w:r>
          </w:p>
        </w:tc>
        <w:tc>
          <w:tcPr>
            <w:tcW w:w="1134" w:type="dxa"/>
            <w:vAlign w:val="center"/>
          </w:tcPr>
          <w:p>
            <w:pPr>
              <w:pStyle w:val="12"/>
            </w:pPr>
            <w:r>
              <w:t>10.00</w:t>
            </w:r>
          </w:p>
        </w:tc>
        <w:tc>
          <w:tcPr>
            <w:tcW w:w="1134" w:type="dxa"/>
            <w:vAlign w:val="center"/>
          </w:tcPr>
          <w:p>
            <w:pPr>
              <w:pStyle w:val="12"/>
            </w:pPr>
            <w:r>
              <w:t>10.00</w:t>
            </w:r>
          </w:p>
        </w:tc>
        <w:tc>
          <w:tcPr>
            <w:tcW w:w="1134" w:type="dxa"/>
            <w:vAlign w:val="center"/>
          </w:tcPr>
          <w:p>
            <w:pPr>
              <w:pStyle w:val="12"/>
            </w:pPr>
            <w:r>
              <w:t>10.00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2011402</w:t>
            </w:r>
          </w:p>
        </w:tc>
        <w:tc>
          <w:tcPr>
            <w:tcW w:w="1559" w:type="dxa"/>
            <w:vAlign w:val="center"/>
          </w:tcPr>
          <w:p>
            <w:pPr>
              <w:pStyle w:val="13"/>
            </w:pPr>
            <w:r>
              <w:t>一般行政管理事务</w:t>
            </w:r>
          </w:p>
        </w:tc>
        <w:tc>
          <w:tcPr>
            <w:tcW w:w="1134" w:type="dxa"/>
            <w:vAlign w:val="center"/>
          </w:tcPr>
          <w:p>
            <w:pPr>
              <w:pStyle w:val="12"/>
            </w:pPr>
            <w:r>
              <w:t>10.00</w:t>
            </w:r>
          </w:p>
        </w:tc>
        <w:tc>
          <w:tcPr>
            <w:tcW w:w="1134" w:type="dxa"/>
            <w:vAlign w:val="center"/>
          </w:tcPr>
          <w:p>
            <w:pPr>
              <w:pStyle w:val="12"/>
            </w:pPr>
            <w:r>
              <w:t>10.00</w:t>
            </w:r>
          </w:p>
        </w:tc>
        <w:tc>
          <w:tcPr>
            <w:tcW w:w="1134" w:type="dxa"/>
            <w:vAlign w:val="center"/>
          </w:tcPr>
          <w:p>
            <w:pPr>
              <w:pStyle w:val="12"/>
            </w:pPr>
            <w:r>
              <w:t>10.00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20123</w:t>
            </w:r>
          </w:p>
        </w:tc>
        <w:tc>
          <w:tcPr>
            <w:tcW w:w="1559" w:type="dxa"/>
            <w:vAlign w:val="center"/>
          </w:tcPr>
          <w:p>
            <w:pPr>
              <w:pStyle w:val="13"/>
            </w:pPr>
            <w:r>
              <w:t>民族事务</w:t>
            </w:r>
          </w:p>
        </w:tc>
        <w:tc>
          <w:tcPr>
            <w:tcW w:w="1134" w:type="dxa"/>
            <w:vAlign w:val="center"/>
          </w:tcPr>
          <w:p>
            <w:pPr>
              <w:pStyle w:val="12"/>
            </w:pPr>
            <w:r>
              <w:t>2.00</w:t>
            </w:r>
          </w:p>
        </w:tc>
        <w:tc>
          <w:tcPr>
            <w:tcW w:w="1134" w:type="dxa"/>
            <w:vAlign w:val="center"/>
          </w:tcPr>
          <w:p>
            <w:pPr>
              <w:pStyle w:val="12"/>
            </w:pPr>
            <w:r>
              <w:t>2.00</w:t>
            </w:r>
          </w:p>
        </w:tc>
        <w:tc>
          <w:tcPr>
            <w:tcW w:w="1134" w:type="dxa"/>
            <w:vAlign w:val="center"/>
          </w:tcPr>
          <w:p>
            <w:pPr>
              <w:pStyle w:val="12"/>
            </w:pPr>
            <w:r>
              <w:t>2.00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2012304</w:t>
            </w:r>
          </w:p>
        </w:tc>
        <w:tc>
          <w:tcPr>
            <w:tcW w:w="1559" w:type="dxa"/>
            <w:vAlign w:val="center"/>
          </w:tcPr>
          <w:p>
            <w:pPr>
              <w:pStyle w:val="13"/>
            </w:pPr>
            <w:r>
              <w:t>民族工作专项</w:t>
            </w:r>
          </w:p>
        </w:tc>
        <w:tc>
          <w:tcPr>
            <w:tcW w:w="1134" w:type="dxa"/>
            <w:vAlign w:val="center"/>
          </w:tcPr>
          <w:p>
            <w:pPr>
              <w:pStyle w:val="12"/>
            </w:pPr>
            <w:r>
              <w:t>2.00</w:t>
            </w:r>
          </w:p>
        </w:tc>
        <w:tc>
          <w:tcPr>
            <w:tcW w:w="1134" w:type="dxa"/>
            <w:vAlign w:val="center"/>
          </w:tcPr>
          <w:p>
            <w:pPr>
              <w:pStyle w:val="12"/>
            </w:pPr>
            <w:r>
              <w:t>2.00</w:t>
            </w:r>
          </w:p>
        </w:tc>
        <w:tc>
          <w:tcPr>
            <w:tcW w:w="1134" w:type="dxa"/>
            <w:vAlign w:val="center"/>
          </w:tcPr>
          <w:p>
            <w:pPr>
              <w:pStyle w:val="12"/>
            </w:pPr>
            <w:r>
              <w:t>2.00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20134</w:t>
            </w:r>
          </w:p>
        </w:tc>
        <w:tc>
          <w:tcPr>
            <w:tcW w:w="1559" w:type="dxa"/>
            <w:vAlign w:val="center"/>
          </w:tcPr>
          <w:p>
            <w:pPr>
              <w:pStyle w:val="13"/>
            </w:pPr>
            <w:r>
              <w:t>统战事务</w:t>
            </w:r>
          </w:p>
        </w:tc>
        <w:tc>
          <w:tcPr>
            <w:tcW w:w="1134" w:type="dxa"/>
            <w:vAlign w:val="center"/>
          </w:tcPr>
          <w:p>
            <w:pPr>
              <w:pStyle w:val="12"/>
            </w:pPr>
            <w:r>
              <w:t>98.17</w:t>
            </w:r>
          </w:p>
        </w:tc>
        <w:tc>
          <w:tcPr>
            <w:tcW w:w="1134" w:type="dxa"/>
            <w:vAlign w:val="center"/>
          </w:tcPr>
          <w:p>
            <w:pPr>
              <w:pStyle w:val="12"/>
            </w:pPr>
            <w:r>
              <w:t>98.17</w:t>
            </w:r>
          </w:p>
        </w:tc>
        <w:tc>
          <w:tcPr>
            <w:tcW w:w="1134" w:type="dxa"/>
            <w:vAlign w:val="center"/>
          </w:tcPr>
          <w:p>
            <w:pPr>
              <w:pStyle w:val="12"/>
            </w:pPr>
            <w:r>
              <w:t>98.17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2013401</w:t>
            </w:r>
          </w:p>
        </w:tc>
        <w:tc>
          <w:tcPr>
            <w:tcW w:w="1559" w:type="dxa"/>
            <w:vAlign w:val="center"/>
          </w:tcPr>
          <w:p>
            <w:pPr>
              <w:pStyle w:val="13"/>
            </w:pPr>
            <w:r>
              <w:t>行政运行</w:t>
            </w:r>
          </w:p>
        </w:tc>
        <w:tc>
          <w:tcPr>
            <w:tcW w:w="1134" w:type="dxa"/>
            <w:vAlign w:val="center"/>
          </w:tcPr>
          <w:p>
            <w:pPr>
              <w:pStyle w:val="12"/>
            </w:pPr>
            <w:r>
              <w:t>95.17</w:t>
            </w:r>
          </w:p>
        </w:tc>
        <w:tc>
          <w:tcPr>
            <w:tcW w:w="1134" w:type="dxa"/>
            <w:vAlign w:val="center"/>
          </w:tcPr>
          <w:p>
            <w:pPr>
              <w:pStyle w:val="12"/>
            </w:pPr>
            <w:r>
              <w:t>95.17</w:t>
            </w:r>
          </w:p>
        </w:tc>
        <w:tc>
          <w:tcPr>
            <w:tcW w:w="1134" w:type="dxa"/>
            <w:vAlign w:val="center"/>
          </w:tcPr>
          <w:p>
            <w:pPr>
              <w:pStyle w:val="12"/>
            </w:pPr>
            <w:r>
              <w:t>95.17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2013404</w:t>
            </w:r>
          </w:p>
        </w:tc>
        <w:tc>
          <w:tcPr>
            <w:tcW w:w="1559" w:type="dxa"/>
            <w:vAlign w:val="center"/>
          </w:tcPr>
          <w:p>
            <w:pPr>
              <w:pStyle w:val="13"/>
            </w:pPr>
            <w:r>
              <w:t>宗教事务</w:t>
            </w:r>
          </w:p>
        </w:tc>
        <w:tc>
          <w:tcPr>
            <w:tcW w:w="1134" w:type="dxa"/>
            <w:vAlign w:val="center"/>
          </w:tcPr>
          <w:p>
            <w:pPr>
              <w:pStyle w:val="12"/>
            </w:pPr>
            <w:r>
              <w:t>3.00</w:t>
            </w:r>
          </w:p>
        </w:tc>
        <w:tc>
          <w:tcPr>
            <w:tcW w:w="1134" w:type="dxa"/>
            <w:vAlign w:val="center"/>
          </w:tcPr>
          <w:p>
            <w:pPr>
              <w:pStyle w:val="12"/>
            </w:pPr>
            <w:r>
              <w:t>3.00</w:t>
            </w:r>
          </w:p>
        </w:tc>
        <w:tc>
          <w:tcPr>
            <w:tcW w:w="1134" w:type="dxa"/>
            <w:vAlign w:val="center"/>
          </w:tcPr>
          <w:p>
            <w:pPr>
              <w:pStyle w:val="12"/>
            </w:pPr>
            <w:r>
              <w:t>3.00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21.01</w:t>
            </w:r>
          </w:p>
        </w:tc>
        <w:tc>
          <w:tcPr>
            <w:tcW w:w="1134" w:type="dxa"/>
            <w:vAlign w:val="center"/>
          </w:tcPr>
          <w:p>
            <w:pPr>
              <w:pStyle w:val="12"/>
            </w:pPr>
            <w:r>
              <w:t>21.01</w:t>
            </w:r>
          </w:p>
        </w:tc>
        <w:tc>
          <w:tcPr>
            <w:tcW w:w="1134" w:type="dxa"/>
            <w:vAlign w:val="center"/>
          </w:tcPr>
          <w:p>
            <w:pPr>
              <w:pStyle w:val="12"/>
            </w:pPr>
            <w:r>
              <w:t>21.01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21.01</w:t>
            </w:r>
          </w:p>
        </w:tc>
        <w:tc>
          <w:tcPr>
            <w:tcW w:w="1134" w:type="dxa"/>
            <w:vAlign w:val="center"/>
          </w:tcPr>
          <w:p>
            <w:pPr>
              <w:pStyle w:val="12"/>
            </w:pPr>
            <w:r>
              <w:t>21.01</w:t>
            </w:r>
          </w:p>
        </w:tc>
        <w:tc>
          <w:tcPr>
            <w:tcW w:w="1134" w:type="dxa"/>
            <w:vAlign w:val="center"/>
          </w:tcPr>
          <w:p>
            <w:pPr>
              <w:pStyle w:val="12"/>
            </w:pPr>
            <w:r>
              <w:t>21.01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2080501</w:t>
            </w:r>
          </w:p>
        </w:tc>
        <w:tc>
          <w:tcPr>
            <w:tcW w:w="1559" w:type="dxa"/>
            <w:vAlign w:val="center"/>
          </w:tcPr>
          <w:p>
            <w:pPr>
              <w:pStyle w:val="13"/>
            </w:pPr>
            <w:r>
              <w:t>行政单位离退休</w:t>
            </w:r>
          </w:p>
        </w:tc>
        <w:tc>
          <w:tcPr>
            <w:tcW w:w="1134" w:type="dxa"/>
            <w:vAlign w:val="center"/>
          </w:tcPr>
          <w:p>
            <w:pPr>
              <w:pStyle w:val="12"/>
            </w:pPr>
            <w:r>
              <w:t>8.69</w:t>
            </w:r>
          </w:p>
        </w:tc>
        <w:tc>
          <w:tcPr>
            <w:tcW w:w="1134" w:type="dxa"/>
            <w:vAlign w:val="center"/>
          </w:tcPr>
          <w:p>
            <w:pPr>
              <w:pStyle w:val="12"/>
            </w:pPr>
            <w:r>
              <w:t>8.69</w:t>
            </w:r>
          </w:p>
        </w:tc>
        <w:tc>
          <w:tcPr>
            <w:tcW w:w="1134" w:type="dxa"/>
            <w:vAlign w:val="center"/>
          </w:tcPr>
          <w:p>
            <w:pPr>
              <w:pStyle w:val="12"/>
            </w:pPr>
            <w:r>
              <w:t>8.69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12.31</w:t>
            </w:r>
          </w:p>
        </w:tc>
        <w:tc>
          <w:tcPr>
            <w:tcW w:w="1134" w:type="dxa"/>
            <w:vAlign w:val="center"/>
          </w:tcPr>
          <w:p>
            <w:pPr>
              <w:pStyle w:val="12"/>
            </w:pPr>
            <w:r>
              <w:t>12.31</w:t>
            </w:r>
          </w:p>
        </w:tc>
        <w:tc>
          <w:tcPr>
            <w:tcW w:w="1134" w:type="dxa"/>
            <w:vAlign w:val="center"/>
          </w:tcPr>
          <w:p>
            <w:pPr>
              <w:pStyle w:val="12"/>
            </w:pPr>
            <w:r>
              <w:t>12.31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4.85</w:t>
            </w:r>
          </w:p>
        </w:tc>
        <w:tc>
          <w:tcPr>
            <w:tcW w:w="1134" w:type="dxa"/>
            <w:vAlign w:val="center"/>
          </w:tcPr>
          <w:p>
            <w:pPr>
              <w:pStyle w:val="12"/>
            </w:pPr>
            <w:r>
              <w:t>4.85</w:t>
            </w:r>
          </w:p>
        </w:tc>
        <w:tc>
          <w:tcPr>
            <w:tcW w:w="1134" w:type="dxa"/>
            <w:vAlign w:val="center"/>
          </w:tcPr>
          <w:p>
            <w:pPr>
              <w:pStyle w:val="12"/>
            </w:pPr>
            <w:r>
              <w:t>4.85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15</w:t>
            </w:r>
          </w:p>
        </w:tc>
        <w:tc>
          <w:tcPr>
            <w:tcW w:w="992" w:type="dxa"/>
            <w:vAlign w:val="center"/>
          </w:tcPr>
          <w:p>
            <w:pPr>
              <w:pStyle w:val="13"/>
            </w:pPr>
            <w:r>
              <w:t>21011</w:t>
            </w:r>
          </w:p>
        </w:tc>
        <w:tc>
          <w:tcPr>
            <w:tcW w:w="1559" w:type="dxa"/>
            <w:vAlign w:val="center"/>
          </w:tcPr>
          <w:p>
            <w:pPr>
              <w:pStyle w:val="13"/>
            </w:pPr>
            <w:r>
              <w:t>行政事业单位医疗</w:t>
            </w:r>
          </w:p>
        </w:tc>
        <w:tc>
          <w:tcPr>
            <w:tcW w:w="1134" w:type="dxa"/>
            <w:vAlign w:val="center"/>
          </w:tcPr>
          <w:p>
            <w:pPr>
              <w:pStyle w:val="12"/>
            </w:pPr>
            <w:r>
              <w:t>4.85</w:t>
            </w:r>
          </w:p>
        </w:tc>
        <w:tc>
          <w:tcPr>
            <w:tcW w:w="1134" w:type="dxa"/>
            <w:vAlign w:val="center"/>
          </w:tcPr>
          <w:p>
            <w:pPr>
              <w:pStyle w:val="12"/>
            </w:pPr>
            <w:r>
              <w:t>4.85</w:t>
            </w:r>
          </w:p>
        </w:tc>
        <w:tc>
          <w:tcPr>
            <w:tcW w:w="1134" w:type="dxa"/>
            <w:vAlign w:val="center"/>
          </w:tcPr>
          <w:p>
            <w:pPr>
              <w:pStyle w:val="12"/>
            </w:pPr>
            <w:r>
              <w:t>4.85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16</w:t>
            </w:r>
          </w:p>
        </w:tc>
        <w:tc>
          <w:tcPr>
            <w:tcW w:w="992" w:type="dxa"/>
            <w:vAlign w:val="center"/>
          </w:tcPr>
          <w:p>
            <w:pPr>
              <w:pStyle w:val="13"/>
            </w:pPr>
            <w:r>
              <w:t>2101101</w:t>
            </w:r>
          </w:p>
        </w:tc>
        <w:tc>
          <w:tcPr>
            <w:tcW w:w="1559" w:type="dxa"/>
            <w:vAlign w:val="center"/>
          </w:tcPr>
          <w:p>
            <w:pPr>
              <w:pStyle w:val="13"/>
            </w:pPr>
            <w:r>
              <w:t>行政单位医疗</w:t>
            </w:r>
          </w:p>
        </w:tc>
        <w:tc>
          <w:tcPr>
            <w:tcW w:w="1134" w:type="dxa"/>
            <w:vAlign w:val="center"/>
          </w:tcPr>
          <w:p>
            <w:pPr>
              <w:pStyle w:val="12"/>
            </w:pPr>
            <w:r>
              <w:t>4.85</w:t>
            </w:r>
          </w:p>
        </w:tc>
        <w:tc>
          <w:tcPr>
            <w:tcW w:w="1134" w:type="dxa"/>
            <w:vAlign w:val="center"/>
          </w:tcPr>
          <w:p>
            <w:pPr>
              <w:pStyle w:val="12"/>
            </w:pPr>
            <w:r>
              <w:t>4.85</w:t>
            </w:r>
          </w:p>
        </w:tc>
        <w:tc>
          <w:tcPr>
            <w:tcW w:w="1134" w:type="dxa"/>
            <w:vAlign w:val="center"/>
          </w:tcPr>
          <w:p>
            <w:pPr>
              <w:pStyle w:val="12"/>
            </w:pPr>
            <w:r>
              <w:t>4.85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17</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7.46</w:t>
            </w:r>
          </w:p>
        </w:tc>
        <w:tc>
          <w:tcPr>
            <w:tcW w:w="1134" w:type="dxa"/>
            <w:vAlign w:val="center"/>
          </w:tcPr>
          <w:p>
            <w:pPr>
              <w:pStyle w:val="12"/>
            </w:pPr>
            <w:r>
              <w:t>7.46</w:t>
            </w:r>
          </w:p>
        </w:tc>
        <w:tc>
          <w:tcPr>
            <w:tcW w:w="1134" w:type="dxa"/>
            <w:vAlign w:val="center"/>
          </w:tcPr>
          <w:p>
            <w:pPr>
              <w:pStyle w:val="12"/>
            </w:pPr>
            <w:r>
              <w:t>7.46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18</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7.46</w:t>
            </w:r>
          </w:p>
        </w:tc>
        <w:tc>
          <w:tcPr>
            <w:tcW w:w="1134" w:type="dxa"/>
            <w:vAlign w:val="center"/>
          </w:tcPr>
          <w:p>
            <w:pPr>
              <w:pStyle w:val="12"/>
            </w:pPr>
            <w:r>
              <w:t>7.46</w:t>
            </w:r>
          </w:p>
        </w:tc>
        <w:tc>
          <w:tcPr>
            <w:tcW w:w="1134" w:type="dxa"/>
            <w:vAlign w:val="center"/>
          </w:tcPr>
          <w:p>
            <w:pPr>
              <w:pStyle w:val="12"/>
            </w:pPr>
            <w:r>
              <w:t>7.46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19</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7.46</w:t>
            </w:r>
          </w:p>
        </w:tc>
        <w:tc>
          <w:tcPr>
            <w:tcW w:w="1134" w:type="dxa"/>
            <w:vAlign w:val="center"/>
          </w:tcPr>
          <w:p>
            <w:pPr>
              <w:pStyle w:val="12"/>
            </w:pPr>
            <w:r>
              <w:t>7.46</w:t>
            </w:r>
          </w:p>
        </w:tc>
        <w:tc>
          <w:tcPr>
            <w:tcW w:w="1134" w:type="dxa"/>
            <w:vAlign w:val="center"/>
          </w:tcPr>
          <w:p>
            <w:pPr>
              <w:pStyle w:val="12"/>
            </w:pPr>
            <w:r>
              <w:t>7.46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docGrid w:linePitch="0" w:charSpace="0"/>
        </w:sectPr>
      </w:pPr>
    </w:p>
    <w:p>
      <w:pPr>
        <w:jc w:val="center"/>
        <w:outlineLvl w:val="1"/>
      </w:pPr>
      <w:bookmarkStart w:id="2" w:name="_Toc_2_2_0000000003"/>
      <w:bookmarkEnd w:id="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rPr>
                <w:rFonts w:hint="eastAsia" w:eastAsia="方正小标宋_GBK"/>
                <w:lang w:val="en-US" w:eastAsia="zh-CN"/>
              </w:rPr>
            </w:pPr>
            <w:r>
              <w:t>213001中共保定市满城区委统战部</w:t>
            </w:r>
            <w:r>
              <w:rPr>
                <w:rFonts w:hint="eastAsia"/>
                <w:lang w:val="en-US" w:eastAsia="zh-CN"/>
              </w:rPr>
              <w:t>本级</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143.50</w:t>
            </w:r>
          </w:p>
        </w:tc>
        <w:tc>
          <w:tcPr>
            <w:tcW w:w="1361" w:type="dxa"/>
            <w:vAlign w:val="center"/>
          </w:tcPr>
          <w:p>
            <w:pPr>
              <w:pStyle w:val="16"/>
            </w:pPr>
            <w:r>
              <w:t>128.50</w:t>
            </w:r>
          </w:p>
        </w:tc>
        <w:tc>
          <w:tcPr>
            <w:tcW w:w="1361" w:type="dxa"/>
            <w:vAlign w:val="center"/>
          </w:tcPr>
          <w:p>
            <w:pPr>
              <w:pStyle w:val="16"/>
            </w:pPr>
            <w:r>
              <w:t>15.00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201</w:t>
            </w:r>
          </w:p>
        </w:tc>
        <w:tc>
          <w:tcPr>
            <w:tcW w:w="4535" w:type="dxa"/>
            <w:vAlign w:val="center"/>
          </w:tcPr>
          <w:p>
            <w:pPr>
              <w:pStyle w:val="13"/>
            </w:pPr>
            <w:r>
              <w:t>一般公共服务支出</w:t>
            </w:r>
          </w:p>
        </w:tc>
        <w:tc>
          <w:tcPr>
            <w:tcW w:w="1361" w:type="dxa"/>
            <w:vAlign w:val="center"/>
          </w:tcPr>
          <w:p>
            <w:pPr>
              <w:pStyle w:val="12"/>
            </w:pPr>
            <w:r>
              <w:t>110.17</w:t>
            </w:r>
          </w:p>
        </w:tc>
        <w:tc>
          <w:tcPr>
            <w:tcW w:w="1361" w:type="dxa"/>
            <w:vAlign w:val="center"/>
          </w:tcPr>
          <w:p>
            <w:pPr>
              <w:pStyle w:val="12"/>
            </w:pPr>
            <w:r>
              <w:t>95.17</w:t>
            </w:r>
          </w:p>
        </w:tc>
        <w:tc>
          <w:tcPr>
            <w:tcW w:w="1361" w:type="dxa"/>
            <w:vAlign w:val="center"/>
          </w:tcPr>
          <w:p>
            <w:pPr>
              <w:pStyle w:val="12"/>
            </w:pPr>
            <w:r>
              <w:t>15.00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20114</w:t>
            </w:r>
          </w:p>
        </w:tc>
        <w:tc>
          <w:tcPr>
            <w:tcW w:w="4535" w:type="dxa"/>
            <w:vAlign w:val="center"/>
          </w:tcPr>
          <w:p>
            <w:pPr>
              <w:pStyle w:val="13"/>
            </w:pPr>
            <w:r>
              <w:t>知识产权事务</w:t>
            </w:r>
          </w:p>
        </w:tc>
        <w:tc>
          <w:tcPr>
            <w:tcW w:w="1361" w:type="dxa"/>
            <w:vAlign w:val="center"/>
          </w:tcPr>
          <w:p>
            <w:pPr>
              <w:pStyle w:val="12"/>
            </w:pPr>
            <w:r>
              <w:t>10.00</w:t>
            </w:r>
          </w:p>
        </w:tc>
        <w:tc>
          <w:tcPr>
            <w:tcW w:w="1361" w:type="dxa"/>
            <w:vAlign w:val="center"/>
          </w:tcPr>
          <w:p>
            <w:pPr>
              <w:pStyle w:val="12"/>
            </w:pPr>
          </w:p>
        </w:tc>
        <w:tc>
          <w:tcPr>
            <w:tcW w:w="1361" w:type="dxa"/>
            <w:vAlign w:val="center"/>
          </w:tcPr>
          <w:p>
            <w:pPr>
              <w:pStyle w:val="12"/>
            </w:pPr>
            <w:r>
              <w:t>10.00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2011402</w:t>
            </w:r>
          </w:p>
        </w:tc>
        <w:tc>
          <w:tcPr>
            <w:tcW w:w="4535" w:type="dxa"/>
            <w:vAlign w:val="center"/>
          </w:tcPr>
          <w:p>
            <w:pPr>
              <w:pStyle w:val="13"/>
            </w:pPr>
            <w:r>
              <w:t>一般行政管理事务</w:t>
            </w:r>
          </w:p>
        </w:tc>
        <w:tc>
          <w:tcPr>
            <w:tcW w:w="1361" w:type="dxa"/>
            <w:vAlign w:val="center"/>
          </w:tcPr>
          <w:p>
            <w:pPr>
              <w:pStyle w:val="12"/>
            </w:pPr>
            <w:r>
              <w:t>10.00</w:t>
            </w:r>
          </w:p>
        </w:tc>
        <w:tc>
          <w:tcPr>
            <w:tcW w:w="1361" w:type="dxa"/>
            <w:vAlign w:val="center"/>
          </w:tcPr>
          <w:p>
            <w:pPr>
              <w:pStyle w:val="12"/>
            </w:pPr>
          </w:p>
        </w:tc>
        <w:tc>
          <w:tcPr>
            <w:tcW w:w="1361" w:type="dxa"/>
            <w:vAlign w:val="center"/>
          </w:tcPr>
          <w:p>
            <w:pPr>
              <w:pStyle w:val="12"/>
            </w:pPr>
            <w:r>
              <w:t>10.00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20123</w:t>
            </w:r>
          </w:p>
        </w:tc>
        <w:tc>
          <w:tcPr>
            <w:tcW w:w="4535" w:type="dxa"/>
            <w:vAlign w:val="center"/>
          </w:tcPr>
          <w:p>
            <w:pPr>
              <w:pStyle w:val="13"/>
            </w:pPr>
            <w:r>
              <w:t>民族事务</w:t>
            </w:r>
          </w:p>
        </w:tc>
        <w:tc>
          <w:tcPr>
            <w:tcW w:w="1361" w:type="dxa"/>
            <w:vAlign w:val="center"/>
          </w:tcPr>
          <w:p>
            <w:pPr>
              <w:pStyle w:val="12"/>
            </w:pPr>
            <w:r>
              <w:t>2.00</w:t>
            </w:r>
          </w:p>
        </w:tc>
        <w:tc>
          <w:tcPr>
            <w:tcW w:w="1361" w:type="dxa"/>
            <w:vAlign w:val="center"/>
          </w:tcPr>
          <w:p>
            <w:pPr>
              <w:pStyle w:val="12"/>
            </w:pPr>
          </w:p>
        </w:tc>
        <w:tc>
          <w:tcPr>
            <w:tcW w:w="1361" w:type="dxa"/>
            <w:vAlign w:val="center"/>
          </w:tcPr>
          <w:p>
            <w:pPr>
              <w:pStyle w:val="12"/>
            </w:pPr>
            <w:r>
              <w:t>2.00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2012304</w:t>
            </w:r>
          </w:p>
        </w:tc>
        <w:tc>
          <w:tcPr>
            <w:tcW w:w="4535" w:type="dxa"/>
            <w:vAlign w:val="center"/>
          </w:tcPr>
          <w:p>
            <w:pPr>
              <w:pStyle w:val="13"/>
            </w:pPr>
            <w:r>
              <w:t>民族工作专项</w:t>
            </w:r>
          </w:p>
        </w:tc>
        <w:tc>
          <w:tcPr>
            <w:tcW w:w="1361" w:type="dxa"/>
            <w:vAlign w:val="center"/>
          </w:tcPr>
          <w:p>
            <w:pPr>
              <w:pStyle w:val="12"/>
            </w:pPr>
            <w:r>
              <w:t>2.00</w:t>
            </w:r>
          </w:p>
        </w:tc>
        <w:tc>
          <w:tcPr>
            <w:tcW w:w="1361" w:type="dxa"/>
            <w:vAlign w:val="center"/>
          </w:tcPr>
          <w:p>
            <w:pPr>
              <w:pStyle w:val="12"/>
            </w:pPr>
          </w:p>
        </w:tc>
        <w:tc>
          <w:tcPr>
            <w:tcW w:w="1361" w:type="dxa"/>
            <w:vAlign w:val="center"/>
          </w:tcPr>
          <w:p>
            <w:pPr>
              <w:pStyle w:val="12"/>
            </w:pPr>
            <w:r>
              <w:t>2.00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20134</w:t>
            </w:r>
          </w:p>
        </w:tc>
        <w:tc>
          <w:tcPr>
            <w:tcW w:w="4535" w:type="dxa"/>
            <w:vAlign w:val="center"/>
          </w:tcPr>
          <w:p>
            <w:pPr>
              <w:pStyle w:val="13"/>
            </w:pPr>
            <w:r>
              <w:t>统战事务</w:t>
            </w:r>
          </w:p>
        </w:tc>
        <w:tc>
          <w:tcPr>
            <w:tcW w:w="1361" w:type="dxa"/>
            <w:vAlign w:val="center"/>
          </w:tcPr>
          <w:p>
            <w:pPr>
              <w:pStyle w:val="12"/>
            </w:pPr>
            <w:r>
              <w:t>98.17</w:t>
            </w:r>
          </w:p>
        </w:tc>
        <w:tc>
          <w:tcPr>
            <w:tcW w:w="1361" w:type="dxa"/>
            <w:vAlign w:val="center"/>
          </w:tcPr>
          <w:p>
            <w:pPr>
              <w:pStyle w:val="12"/>
            </w:pPr>
            <w:r>
              <w:t>95.17</w:t>
            </w:r>
          </w:p>
        </w:tc>
        <w:tc>
          <w:tcPr>
            <w:tcW w:w="1361" w:type="dxa"/>
            <w:vAlign w:val="center"/>
          </w:tcPr>
          <w:p>
            <w:pPr>
              <w:pStyle w:val="12"/>
            </w:pPr>
            <w:r>
              <w:t>3.00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2013401</w:t>
            </w:r>
          </w:p>
        </w:tc>
        <w:tc>
          <w:tcPr>
            <w:tcW w:w="4535" w:type="dxa"/>
            <w:vAlign w:val="center"/>
          </w:tcPr>
          <w:p>
            <w:pPr>
              <w:pStyle w:val="13"/>
            </w:pPr>
            <w:r>
              <w:t>行政运行</w:t>
            </w:r>
          </w:p>
        </w:tc>
        <w:tc>
          <w:tcPr>
            <w:tcW w:w="1361" w:type="dxa"/>
            <w:vAlign w:val="center"/>
          </w:tcPr>
          <w:p>
            <w:pPr>
              <w:pStyle w:val="12"/>
            </w:pPr>
            <w:r>
              <w:t>95.17</w:t>
            </w:r>
          </w:p>
        </w:tc>
        <w:tc>
          <w:tcPr>
            <w:tcW w:w="1361" w:type="dxa"/>
            <w:vAlign w:val="center"/>
          </w:tcPr>
          <w:p>
            <w:pPr>
              <w:pStyle w:val="12"/>
            </w:pPr>
            <w:r>
              <w:t>95.17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2013404</w:t>
            </w:r>
          </w:p>
        </w:tc>
        <w:tc>
          <w:tcPr>
            <w:tcW w:w="4535" w:type="dxa"/>
            <w:vAlign w:val="center"/>
          </w:tcPr>
          <w:p>
            <w:pPr>
              <w:pStyle w:val="13"/>
            </w:pPr>
            <w:r>
              <w:t>宗教事务</w:t>
            </w:r>
          </w:p>
        </w:tc>
        <w:tc>
          <w:tcPr>
            <w:tcW w:w="1361" w:type="dxa"/>
            <w:vAlign w:val="center"/>
          </w:tcPr>
          <w:p>
            <w:pPr>
              <w:pStyle w:val="12"/>
            </w:pPr>
            <w:r>
              <w:t>3.00</w:t>
            </w:r>
          </w:p>
        </w:tc>
        <w:tc>
          <w:tcPr>
            <w:tcW w:w="1361" w:type="dxa"/>
            <w:vAlign w:val="center"/>
          </w:tcPr>
          <w:p>
            <w:pPr>
              <w:pStyle w:val="12"/>
            </w:pPr>
          </w:p>
        </w:tc>
        <w:tc>
          <w:tcPr>
            <w:tcW w:w="1361" w:type="dxa"/>
            <w:vAlign w:val="center"/>
          </w:tcPr>
          <w:p>
            <w:pPr>
              <w:pStyle w:val="12"/>
            </w:pPr>
            <w:r>
              <w:t>3.00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21.01</w:t>
            </w:r>
          </w:p>
        </w:tc>
        <w:tc>
          <w:tcPr>
            <w:tcW w:w="1361" w:type="dxa"/>
            <w:vAlign w:val="center"/>
          </w:tcPr>
          <w:p>
            <w:pPr>
              <w:pStyle w:val="12"/>
            </w:pPr>
            <w:r>
              <w:t>21.01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21.01</w:t>
            </w:r>
          </w:p>
        </w:tc>
        <w:tc>
          <w:tcPr>
            <w:tcW w:w="1361" w:type="dxa"/>
            <w:vAlign w:val="center"/>
          </w:tcPr>
          <w:p>
            <w:pPr>
              <w:pStyle w:val="12"/>
            </w:pPr>
            <w:r>
              <w:t>21.01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2080501</w:t>
            </w:r>
          </w:p>
        </w:tc>
        <w:tc>
          <w:tcPr>
            <w:tcW w:w="4535" w:type="dxa"/>
            <w:vAlign w:val="center"/>
          </w:tcPr>
          <w:p>
            <w:pPr>
              <w:pStyle w:val="13"/>
            </w:pPr>
            <w:r>
              <w:t>行政单位离退休</w:t>
            </w:r>
          </w:p>
        </w:tc>
        <w:tc>
          <w:tcPr>
            <w:tcW w:w="1361" w:type="dxa"/>
            <w:vAlign w:val="center"/>
          </w:tcPr>
          <w:p>
            <w:pPr>
              <w:pStyle w:val="12"/>
            </w:pPr>
            <w:r>
              <w:t>8.69</w:t>
            </w:r>
          </w:p>
        </w:tc>
        <w:tc>
          <w:tcPr>
            <w:tcW w:w="1361" w:type="dxa"/>
            <w:vAlign w:val="center"/>
          </w:tcPr>
          <w:p>
            <w:pPr>
              <w:pStyle w:val="12"/>
            </w:pPr>
            <w:r>
              <w:t>8.69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12.31</w:t>
            </w:r>
          </w:p>
        </w:tc>
        <w:tc>
          <w:tcPr>
            <w:tcW w:w="1361" w:type="dxa"/>
            <w:vAlign w:val="center"/>
          </w:tcPr>
          <w:p>
            <w:pPr>
              <w:pStyle w:val="12"/>
            </w:pPr>
            <w:r>
              <w:t>12.31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4.85</w:t>
            </w:r>
          </w:p>
        </w:tc>
        <w:tc>
          <w:tcPr>
            <w:tcW w:w="1361" w:type="dxa"/>
            <w:vAlign w:val="center"/>
          </w:tcPr>
          <w:p>
            <w:pPr>
              <w:pStyle w:val="12"/>
            </w:pPr>
            <w:r>
              <w:t>4.85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992" w:type="dxa"/>
            <w:vAlign w:val="center"/>
          </w:tcPr>
          <w:p>
            <w:pPr>
              <w:pStyle w:val="13"/>
            </w:pPr>
            <w:r>
              <w:t>21011</w:t>
            </w:r>
          </w:p>
        </w:tc>
        <w:tc>
          <w:tcPr>
            <w:tcW w:w="4535" w:type="dxa"/>
            <w:vAlign w:val="center"/>
          </w:tcPr>
          <w:p>
            <w:pPr>
              <w:pStyle w:val="13"/>
            </w:pPr>
            <w:r>
              <w:t>行政事业单位医疗</w:t>
            </w:r>
          </w:p>
        </w:tc>
        <w:tc>
          <w:tcPr>
            <w:tcW w:w="1361" w:type="dxa"/>
            <w:vAlign w:val="center"/>
          </w:tcPr>
          <w:p>
            <w:pPr>
              <w:pStyle w:val="12"/>
            </w:pPr>
            <w:r>
              <w:t>4.85</w:t>
            </w:r>
          </w:p>
        </w:tc>
        <w:tc>
          <w:tcPr>
            <w:tcW w:w="1361" w:type="dxa"/>
            <w:vAlign w:val="center"/>
          </w:tcPr>
          <w:p>
            <w:pPr>
              <w:pStyle w:val="12"/>
            </w:pPr>
            <w:r>
              <w:t>4.85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992" w:type="dxa"/>
            <w:vAlign w:val="center"/>
          </w:tcPr>
          <w:p>
            <w:pPr>
              <w:pStyle w:val="13"/>
            </w:pPr>
            <w:r>
              <w:t>2101101</w:t>
            </w:r>
          </w:p>
        </w:tc>
        <w:tc>
          <w:tcPr>
            <w:tcW w:w="4535" w:type="dxa"/>
            <w:vAlign w:val="center"/>
          </w:tcPr>
          <w:p>
            <w:pPr>
              <w:pStyle w:val="13"/>
            </w:pPr>
            <w:r>
              <w:t>行政单位医疗</w:t>
            </w:r>
          </w:p>
        </w:tc>
        <w:tc>
          <w:tcPr>
            <w:tcW w:w="1361" w:type="dxa"/>
            <w:vAlign w:val="center"/>
          </w:tcPr>
          <w:p>
            <w:pPr>
              <w:pStyle w:val="12"/>
            </w:pPr>
            <w:r>
              <w:t>4.85</w:t>
            </w:r>
          </w:p>
        </w:tc>
        <w:tc>
          <w:tcPr>
            <w:tcW w:w="1361" w:type="dxa"/>
            <w:vAlign w:val="center"/>
          </w:tcPr>
          <w:p>
            <w:pPr>
              <w:pStyle w:val="12"/>
            </w:pPr>
            <w:r>
              <w:t>4.85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7.46</w:t>
            </w:r>
          </w:p>
        </w:tc>
        <w:tc>
          <w:tcPr>
            <w:tcW w:w="1361" w:type="dxa"/>
            <w:vAlign w:val="center"/>
          </w:tcPr>
          <w:p>
            <w:pPr>
              <w:pStyle w:val="12"/>
            </w:pPr>
            <w:r>
              <w:t>7.46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7.46</w:t>
            </w:r>
          </w:p>
        </w:tc>
        <w:tc>
          <w:tcPr>
            <w:tcW w:w="1361" w:type="dxa"/>
            <w:vAlign w:val="center"/>
          </w:tcPr>
          <w:p>
            <w:pPr>
              <w:pStyle w:val="12"/>
            </w:pPr>
            <w:r>
              <w:t>7.46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7.46</w:t>
            </w:r>
          </w:p>
        </w:tc>
        <w:tc>
          <w:tcPr>
            <w:tcW w:w="1361" w:type="dxa"/>
            <w:vAlign w:val="center"/>
          </w:tcPr>
          <w:p>
            <w:pPr>
              <w:pStyle w:val="12"/>
            </w:pPr>
            <w:r>
              <w:t>7.46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docGrid w:linePitch="0" w:charSpace="0"/>
        </w:sectPr>
      </w:pPr>
    </w:p>
    <w:p>
      <w:pPr>
        <w:jc w:val="center"/>
        <w:outlineLvl w:val="1"/>
      </w:pPr>
      <w:bookmarkStart w:id="3" w:name="_Toc_2_2_0000000004"/>
      <w:bookmarkEnd w:id="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rPr>
                <w:rFonts w:hint="eastAsia" w:eastAsia="方正小标宋_GBK"/>
                <w:lang w:val="en-US" w:eastAsia="zh-CN"/>
              </w:rPr>
            </w:pPr>
            <w:r>
              <w:t>213001中共保定市满城区委统战部</w:t>
            </w:r>
            <w:r>
              <w:rPr>
                <w:rFonts w:hint="eastAsia"/>
                <w:lang w:val="en-US" w:eastAsia="zh-CN"/>
              </w:rPr>
              <w:t>本级</w:t>
            </w:r>
          </w:p>
        </w:tc>
        <w:tc>
          <w:tcPr>
            <w:tcW w:w="3402" w:type="dxa"/>
            <w:tcBorders>
              <w:top w:val="single" w:color="FFFFFF" w:sz="6" w:space="0"/>
              <w:left w:val="single" w:color="FFFFFF" w:sz="6" w:space="0"/>
              <w:right w:val="single" w:color="FFFFFF" w:sz="6" w:space="0"/>
            </w:tcBorders>
            <w:vAlign w:val="center"/>
          </w:tcPr>
          <w:p>
            <w:pPr>
              <w:pStyle w:val="9"/>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143.50</w:t>
            </w:r>
          </w:p>
        </w:tc>
        <w:tc>
          <w:tcPr>
            <w:tcW w:w="3402" w:type="dxa"/>
            <w:vAlign w:val="center"/>
          </w:tcPr>
          <w:p>
            <w:pPr>
              <w:pStyle w:val="13"/>
            </w:pPr>
            <w:r>
              <w:t>一、一般公共服务支出</w:t>
            </w:r>
          </w:p>
        </w:tc>
        <w:tc>
          <w:tcPr>
            <w:tcW w:w="1474" w:type="dxa"/>
            <w:vAlign w:val="center"/>
          </w:tcPr>
          <w:p>
            <w:pPr>
              <w:pStyle w:val="12"/>
            </w:pPr>
            <w:r>
              <w:t>110.17</w:t>
            </w:r>
          </w:p>
        </w:tc>
        <w:tc>
          <w:tcPr>
            <w:tcW w:w="1474" w:type="dxa"/>
            <w:vAlign w:val="center"/>
          </w:tcPr>
          <w:p>
            <w:pPr>
              <w:pStyle w:val="12"/>
            </w:pPr>
            <w:r>
              <w:t>110.17</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21.01</w:t>
            </w:r>
          </w:p>
        </w:tc>
        <w:tc>
          <w:tcPr>
            <w:tcW w:w="1474" w:type="dxa"/>
            <w:vAlign w:val="center"/>
          </w:tcPr>
          <w:p>
            <w:pPr>
              <w:pStyle w:val="12"/>
            </w:pPr>
            <w:r>
              <w:t>21.01</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4.85</w:t>
            </w:r>
          </w:p>
        </w:tc>
        <w:tc>
          <w:tcPr>
            <w:tcW w:w="1474" w:type="dxa"/>
            <w:vAlign w:val="center"/>
          </w:tcPr>
          <w:p>
            <w:pPr>
              <w:pStyle w:val="12"/>
            </w:pPr>
            <w:r>
              <w:t>4.85</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7.46</w:t>
            </w:r>
          </w:p>
        </w:tc>
        <w:tc>
          <w:tcPr>
            <w:tcW w:w="1474" w:type="dxa"/>
            <w:vAlign w:val="center"/>
          </w:tcPr>
          <w:p>
            <w:pPr>
              <w:pStyle w:val="12"/>
            </w:pPr>
            <w:r>
              <w:t>7.46</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三十一、往来性支出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143.50</w:t>
            </w:r>
          </w:p>
        </w:tc>
        <w:tc>
          <w:tcPr>
            <w:tcW w:w="3402" w:type="dxa"/>
            <w:vAlign w:val="center"/>
          </w:tcPr>
          <w:p>
            <w:pPr>
              <w:pStyle w:val="15"/>
            </w:pPr>
            <w:r>
              <w:t>本年支出合计</w:t>
            </w:r>
          </w:p>
        </w:tc>
        <w:tc>
          <w:tcPr>
            <w:tcW w:w="1474" w:type="dxa"/>
            <w:vAlign w:val="center"/>
          </w:tcPr>
          <w:p>
            <w:pPr>
              <w:pStyle w:val="16"/>
            </w:pPr>
            <w:r>
              <w:t>143.50</w:t>
            </w:r>
          </w:p>
        </w:tc>
        <w:tc>
          <w:tcPr>
            <w:tcW w:w="1474" w:type="dxa"/>
            <w:vAlign w:val="center"/>
          </w:tcPr>
          <w:p>
            <w:pPr>
              <w:pStyle w:val="16"/>
            </w:pPr>
            <w:r>
              <w:t>143.50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143.50</w:t>
            </w:r>
          </w:p>
        </w:tc>
        <w:tc>
          <w:tcPr>
            <w:tcW w:w="3402" w:type="dxa"/>
            <w:vAlign w:val="center"/>
          </w:tcPr>
          <w:p>
            <w:pPr>
              <w:pStyle w:val="15"/>
            </w:pPr>
            <w:r>
              <w:t>支出总计</w:t>
            </w:r>
          </w:p>
        </w:tc>
        <w:tc>
          <w:tcPr>
            <w:tcW w:w="1474" w:type="dxa"/>
            <w:vAlign w:val="center"/>
          </w:tcPr>
          <w:p>
            <w:pPr>
              <w:pStyle w:val="16"/>
            </w:pPr>
            <w:r>
              <w:t>143.50</w:t>
            </w:r>
          </w:p>
        </w:tc>
        <w:tc>
          <w:tcPr>
            <w:tcW w:w="1474" w:type="dxa"/>
            <w:vAlign w:val="center"/>
          </w:tcPr>
          <w:p>
            <w:pPr>
              <w:pStyle w:val="16"/>
            </w:pPr>
            <w:r>
              <w:t>143.50</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docGrid w:linePitch="0" w:charSpace="0"/>
        </w:sectPr>
      </w:pPr>
    </w:p>
    <w:p>
      <w:pPr>
        <w:jc w:val="center"/>
        <w:outlineLvl w:val="1"/>
      </w:pPr>
      <w:bookmarkStart w:id="4" w:name="_Toc_2_2_0000000005"/>
      <w:bookmarkEnd w:id="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rPr>
                <w:rFonts w:hint="eastAsia" w:eastAsia="方正小标宋_GBK"/>
                <w:lang w:val="en-US" w:eastAsia="zh-CN"/>
              </w:rPr>
            </w:pPr>
            <w:r>
              <w:t>213001中共保定市满城区委统战部</w:t>
            </w:r>
            <w:r>
              <w:rPr>
                <w:rFonts w:hint="eastAsia"/>
                <w:lang w:val="en-US" w:eastAsia="zh-CN"/>
              </w:rPr>
              <w:t>本级</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143.50</w:t>
            </w:r>
          </w:p>
        </w:tc>
        <w:tc>
          <w:tcPr>
            <w:tcW w:w="2551" w:type="dxa"/>
            <w:vAlign w:val="center"/>
          </w:tcPr>
          <w:p>
            <w:pPr>
              <w:pStyle w:val="16"/>
            </w:pPr>
            <w:r>
              <w:t>128.50</w:t>
            </w:r>
          </w:p>
        </w:tc>
        <w:tc>
          <w:tcPr>
            <w:tcW w:w="2551" w:type="dxa"/>
            <w:vAlign w:val="center"/>
          </w:tcPr>
          <w:p>
            <w:pPr>
              <w:pStyle w:val="16"/>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201</w:t>
            </w:r>
          </w:p>
        </w:tc>
        <w:tc>
          <w:tcPr>
            <w:tcW w:w="4535" w:type="dxa"/>
            <w:vAlign w:val="center"/>
          </w:tcPr>
          <w:p>
            <w:pPr>
              <w:pStyle w:val="13"/>
            </w:pPr>
            <w:r>
              <w:t>一般公共服务支出</w:t>
            </w:r>
          </w:p>
        </w:tc>
        <w:tc>
          <w:tcPr>
            <w:tcW w:w="2551" w:type="dxa"/>
            <w:vAlign w:val="center"/>
          </w:tcPr>
          <w:p>
            <w:pPr>
              <w:pStyle w:val="12"/>
            </w:pPr>
            <w:r>
              <w:t>110.17</w:t>
            </w:r>
          </w:p>
        </w:tc>
        <w:tc>
          <w:tcPr>
            <w:tcW w:w="2551" w:type="dxa"/>
            <w:vAlign w:val="center"/>
          </w:tcPr>
          <w:p>
            <w:pPr>
              <w:pStyle w:val="12"/>
            </w:pPr>
            <w:r>
              <w:t>95.17</w:t>
            </w:r>
          </w:p>
        </w:tc>
        <w:tc>
          <w:tcPr>
            <w:tcW w:w="2551" w:type="dxa"/>
            <w:vAlign w:val="center"/>
          </w:tcPr>
          <w:p>
            <w:pPr>
              <w:pStyle w:val="12"/>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20114</w:t>
            </w:r>
          </w:p>
        </w:tc>
        <w:tc>
          <w:tcPr>
            <w:tcW w:w="4535" w:type="dxa"/>
            <w:vAlign w:val="center"/>
          </w:tcPr>
          <w:p>
            <w:pPr>
              <w:pStyle w:val="13"/>
            </w:pPr>
            <w:r>
              <w:t>知识产权事务</w:t>
            </w:r>
          </w:p>
        </w:tc>
        <w:tc>
          <w:tcPr>
            <w:tcW w:w="2551" w:type="dxa"/>
            <w:vAlign w:val="center"/>
          </w:tcPr>
          <w:p>
            <w:pPr>
              <w:pStyle w:val="12"/>
            </w:pPr>
            <w:r>
              <w:t>10.00</w:t>
            </w:r>
          </w:p>
        </w:tc>
        <w:tc>
          <w:tcPr>
            <w:tcW w:w="2551" w:type="dxa"/>
            <w:vAlign w:val="center"/>
          </w:tcPr>
          <w:p>
            <w:pPr>
              <w:pStyle w:val="12"/>
            </w:pPr>
          </w:p>
        </w:tc>
        <w:tc>
          <w:tcPr>
            <w:tcW w:w="2551" w:type="dxa"/>
            <w:vAlign w:val="center"/>
          </w:tcPr>
          <w:p>
            <w:pPr>
              <w:pStyle w:val="12"/>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2011402</w:t>
            </w:r>
          </w:p>
        </w:tc>
        <w:tc>
          <w:tcPr>
            <w:tcW w:w="4535" w:type="dxa"/>
            <w:vAlign w:val="center"/>
          </w:tcPr>
          <w:p>
            <w:pPr>
              <w:pStyle w:val="13"/>
            </w:pPr>
            <w:r>
              <w:t>一般行政管理事务</w:t>
            </w:r>
          </w:p>
        </w:tc>
        <w:tc>
          <w:tcPr>
            <w:tcW w:w="2551" w:type="dxa"/>
            <w:vAlign w:val="center"/>
          </w:tcPr>
          <w:p>
            <w:pPr>
              <w:pStyle w:val="12"/>
            </w:pPr>
            <w:r>
              <w:t>10.00</w:t>
            </w:r>
          </w:p>
        </w:tc>
        <w:tc>
          <w:tcPr>
            <w:tcW w:w="2551" w:type="dxa"/>
            <w:vAlign w:val="center"/>
          </w:tcPr>
          <w:p>
            <w:pPr>
              <w:pStyle w:val="12"/>
            </w:pPr>
          </w:p>
        </w:tc>
        <w:tc>
          <w:tcPr>
            <w:tcW w:w="2551" w:type="dxa"/>
            <w:vAlign w:val="center"/>
          </w:tcPr>
          <w:p>
            <w:pPr>
              <w:pStyle w:val="12"/>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20123</w:t>
            </w:r>
          </w:p>
        </w:tc>
        <w:tc>
          <w:tcPr>
            <w:tcW w:w="4535" w:type="dxa"/>
            <w:vAlign w:val="center"/>
          </w:tcPr>
          <w:p>
            <w:pPr>
              <w:pStyle w:val="13"/>
            </w:pPr>
            <w:r>
              <w:t>民族事务</w:t>
            </w:r>
          </w:p>
        </w:tc>
        <w:tc>
          <w:tcPr>
            <w:tcW w:w="2551" w:type="dxa"/>
            <w:vAlign w:val="center"/>
          </w:tcPr>
          <w:p>
            <w:pPr>
              <w:pStyle w:val="12"/>
            </w:pPr>
            <w:r>
              <w:t>2.00</w:t>
            </w:r>
          </w:p>
        </w:tc>
        <w:tc>
          <w:tcPr>
            <w:tcW w:w="2551" w:type="dxa"/>
            <w:vAlign w:val="center"/>
          </w:tcPr>
          <w:p>
            <w:pPr>
              <w:pStyle w:val="12"/>
            </w:pPr>
          </w:p>
        </w:tc>
        <w:tc>
          <w:tcPr>
            <w:tcW w:w="2551"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2012304</w:t>
            </w:r>
          </w:p>
        </w:tc>
        <w:tc>
          <w:tcPr>
            <w:tcW w:w="4535" w:type="dxa"/>
            <w:vAlign w:val="center"/>
          </w:tcPr>
          <w:p>
            <w:pPr>
              <w:pStyle w:val="13"/>
            </w:pPr>
            <w:r>
              <w:t>民族工作专项</w:t>
            </w:r>
          </w:p>
        </w:tc>
        <w:tc>
          <w:tcPr>
            <w:tcW w:w="2551" w:type="dxa"/>
            <w:vAlign w:val="center"/>
          </w:tcPr>
          <w:p>
            <w:pPr>
              <w:pStyle w:val="12"/>
            </w:pPr>
            <w:r>
              <w:t>2.00</w:t>
            </w:r>
          </w:p>
        </w:tc>
        <w:tc>
          <w:tcPr>
            <w:tcW w:w="2551" w:type="dxa"/>
            <w:vAlign w:val="center"/>
          </w:tcPr>
          <w:p>
            <w:pPr>
              <w:pStyle w:val="12"/>
            </w:pPr>
          </w:p>
        </w:tc>
        <w:tc>
          <w:tcPr>
            <w:tcW w:w="2551"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20134</w:t>
            </w:r>
          </w:p>
        </w:tc>
        <w:tc>
          <w:tcPr>
            <w:tcW w:w="4535" w:type="dxa"/>
            <w:vAlign w:val="center"/>
          </w:tcPr>
          <w:p>
            <w:pPr>
              <w:pStyle w:val="13"/>
            </w:pPr>
            <w:r>
              <w:t>统战事务</w:t>
            </w:r>
          </w:p>
        </w:tc>
        <w:tc>
          <w:tcPr>
            <w:tcW w:w="2551" w:type="dxa"/>
            <w:vAlign w:val="center"/>
          </w:tcPr>
          <w:p>
            <w:pPr>
              <w:pStyle w:val="12"/>
            </w:pPr>
            <w:r>
              <w:t>98.17</w:t>
            </w:r>
          </w:p>
        </w:tc>
        <w:tc>
          <w:tcPr>
            <w:tcW w:w="2551" w:type="dxa"/>
            <w:vAlign w:val="center"/>
          </w:tcPr>
          <w:p>
            <w:pPr>
              <w:pStyle w:val="12"/>
            </w:pPr>
            <w:r>
              <w:t>95.17</w:t>
            </w:r>
          </w:p>
        </w:tc>
        <w:tc>
          <w:tcPr>
            <w:tcW w:w="2551"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2013401</w:t>
            </w:r>
          </w:p>
        </w:tc>
        <w:tc>
          <w:tcPr>
            <w:tcW w:w="4535" w:type="dxa"/>
            <w:vAlign w:val="center"/>
          </w:tcPr>
          <w:p>
            <w:pPr>
              <w:pStyle w:val="13"/>
            </w:pPr>
            <w:r>
              <w:t>行政运行</w:t>
            </w:r>
          </w:p>
        </w:tc>
        <w:tc>
          <w:tcPr>
            <w:tcW w:w="2551" w:type="dxa"/>
            <w:vAlign w:val="center"/>
          </w:tcPr>
          <w:p>
            <w:pPr>
              <w:pStyle w:val="12"/>
            </w:pPr>
            <w:r>
              <w:t>95.17</w:t>
            </w:r>
          </w:p>
        </w:tc>
        <w:tc>
          <w:tcPr>
            <w:tcW w:w="2551" w:type="dxa"/>
            <w:vAlign w:val="center"/>
          </w:tcPr>
          <w:p>
            <w:pPr>
              <w:pStyle w:val="12"/>
            </w:pPr>
            <w:r>
              <w:t>95.17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2013404</w:t>
            </w:r>
          </w:p>
        </w:tc>
        <w:tc>
          <w:tcPr>
            <w:tcW w:w="4535" w:type="dxa"/>
            <w:vAlign w:val="center"/>
          </w:tcPr>
          <w:p>
            <w:pPr>
              <w:pStyle w:val="13"/>
            </w:pPr>
            <w:r>
              <w:t>宗教事务</w:t>
            </w:r>
          </w:p>
        </w:tc>
        <w:tc>
          <w:tcPr>
            <w:tcW w:w="2551" w:type="dxa"/>
            <w:vAlign w:val="center"/>
          </w:tcPr>
          <w:p>
            <w:pPr>
              <w:pStyle w:val="12"/>
            </w:pPr>
            <w:r>
              <w:t>3.00</w:t>
            </w:r>
          </w:p>
        </w:tc>
        <w:tc>
          <w:tcPr>
            <w:tcW w:w="2551" w:type="dxa"/>
            <w:vAlign w:val="center"/>
          </w:tcPr>
          <w:p>
            <w:pPr>
              <w:pStyle w:val="12"/>
            </w:pPr>
          </w:p>
        </w:tc>
        <w:tc>
          <w:tcPr>
            <w:tcW w:w="2551"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21.01</w:t>
            </w:r>
          </w:p>
        </w:tc>
        <w:tc>
          <w:tcPr>
            <w:tcW w:w="2551" w:type="dxa"/>
            <w:vAlign w:val="center"/>
          </w:tcPr>
          <w:p>
            <w:pPr>
              <w:pStyle w:val="12"/>
            </w:pPr>
            <w:r>
              <w:t>21.01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21.01</w:t>
            </w:r>
          </w:p>
        </w:tc>
        <w:tc>
          <w:tcPr>
            <w:tcW w:w="2551" w:type="dxa"/>
            <w:vAlign w:val="center"/>
          </w:tcPr>
          <w:p>
            <w:pPr>
              <w:pStyle w:val="12"/>
            </w:pPr>
            <w:r>
              <w:t>21.01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2080501</w:t>
            </w:r>
          </w:p>
        </w:tc>
        <w:tc>
          <w:tcPr>
            <w:tcW w:w="4535" w:type="dxa"/>
            <w:vAlign w:val="center"/>
          </w:tcPr>
          <w:p>
            <w:pPr>
              <w:pStyle w:val="13"/>
            </w:pPr>
            <w:r>
              <w:t>行政单位离退休</w:t>
            </w:r>
          </w:p>
        </w:tc>
        <w:tc>
          <w:tcPr>
            <w:tcW w:w="2551" w:type="dxa"/>
            <w:vAlign w:val="center"/>
          </w:tcPr>
          <w:p>
            <w:pPr>
              <w:pStyle w:val="12"/>
            </w:pPr>
            <w:r>
              <w:t>8.69</w:t>
            </w:r>
          </w:p>
        </w:tc>
        <w:tc>
          <w:tcPr>
            <w:tcW w:w="2551" w:type="dxa"/>
            <w:vAlign w:val="center"/>
          </w:tcPr>
          <w:p>
            <w:pPr>
              <w:pStyle w:val="12"/>
            </w:pPr>
            <w:r>
              <w:t>8.69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12.31</w:t>
            </w:r>
          </w:p>
        </w:tc>
        <w:tc>
          <w:tcPr>
            <w:tcW w:w="2551" w:type="dxa"/>
            <w:vAlign w:val="center"/>
          </w:tcPr>
          <w:p>
            <w:pPr>
              <w:pStyle w:val="12"/>
            </w:pPr>
            <w:r>
              <w:t>12.31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4.85</w:t>
            </w:r>
          </w:p>
        </w:tc>
        <w:tc>
          <w:tcPr>
            <w:tcW w:w="2551" w:type="dxa"/>
            <w:vAlign w:val="center"/>
          </w:tcPr>
          <w:p>
            <w:pPr>
              <w:pStyle w:val="12"/>
            </w:pPr>
            <w:r>
              <w:t>4.85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21011</w:t>
            </w:r>
          </w:p>
        </w:tc>
        <w:tc>
          <w:tcPr>
            <w:tcW w:w="4535" w:type="dxa"/>
            <w:vAlign w:val="center"/>
          </w:tcPr>
          <w:p>
            <w:pPr>
              <w:pStyle w:val="13"/>
            </w:pPr>
            <w:r>
              <w:t>行政事业单位医疗</w:t>
            </w:r>
          </w:p>
        </w:tc>
        <w:tc>
          <w:tcPr>
            <w:tcW w:w="2551" w:type="dxa"/>
            <w:vAlign w:val="center"/>
          </w:tcPr>
          <w:p>
            <w:pPr>
              <w:pStyle w:val="12"/>
            </w:pPr>
            <w:r>
              <w:t>4.85</w:t>
            </w:r>
          </w:p>
        </w:tc>
        <w:tc>
          <w:tcPr>
            <w:tcW w:w="2551" w:type="dxa"/>
            <w:vAlign w:val="center"/>
          </w:tcPr>
          <w:p>
            <w:pPr>
              <w:pStyle w:val="12"/>
            </w:pPr>
            <w:r>
              <w:t>4.85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2101101</w:t>
            </w:r>
          </w:p>
        </w:tc>
        <w:tc>
          <w:tcPr>
            <w:tcW w:w="4535" w:type="dxa"/>
            <w:vAlign w:val="center"/>
          </w:tcPr>
          <w:p>
            <w:pPr>
              <w:pStyle w:val="13"/>
            </w:pPr>
            <w:r>
              <w:t>行政单位医疗</w:t>
            </w:r>
          </w:p>
        </w:tc>
        <w:tc>
          <w:tcPr>
            <w:tcW w:w="2551" w:type="dxa"/>
            <w:vAlign w:val="center"/>
          </w:tcPr>
          <w:p>
            <w:pPr>
              <w:pStyle w:val="12"/>
            </w:pPr>
            <w:r>
              <w:t>4.85</w:t>
            </w:r>
          </w:p>
        </w:tc>
        <w:tc>
          <w:tcPr>
            <w:tcW w:w="2551" w:type="dxa"/>
            <w:vAlign w:val="center"/>
          </w:tcPr>
          <w:p>
            <w:pPr>
              <w:pStyle w:val="12"/>
            </w:pPr>
            <w:r>
              <w:t>4.85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7.46</w:t>
            </w:r>
          </w:p>
        </w:tc>
        <w:tc>
          <w:tcPr>
            <w:tcW w:w="2551" w:type="dxa"/>
            <w:vAlign w:val="center"/>
          </w:tcPr>
          <w:p>
            <w:pPr>
              <w:pStyle w:val="12"/>
            </w:pPr>
            <w:r>
              <w:t>7.46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7.46</w:t>
            </w:r>
          </w:p>
        </w:tc>
        <w:tc>
          <w:tcPr>
            <w:tcW w:w="2551" w:type="dxa"/>
            <w:vAlign w:val="center"/>
          </w:tcPr>
          <w:p>
            <w:pPr>
              <w:pStyle w:val="12"/>
            </w:pPr>
            <w:r>
              <w:t>7.46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7.46</w:t>
            </w:r>
          </w:p>
        </w:tc>
        <w:tc>
          <w:tcPr>
            <w:tcW w:w="2551" w:type="dxa"/>
            <w:vAlign w:val="center"/>
          </w:tcPr>
          <w:p>
            <w:pPr>
              <w:pStyle w:val="12"/>
            </w:pPr>
            <w:r>
              <w:t>7.46</w:t>
            </w:r>
          </w:p>
        </w:tc>
        <w:tc>
          <w:tcPr>
            <w:tcW w:w="2551" w:type="dxa"/>
            <w:vAlign w:val="center"/>
          </w:tcPr>
          <w:p>
            <w:pPr>
              <w:pStyle w:val="12"/>
            </w:pPr>
          </w:p>
        </w:tc>
      </w:tr>
    </w:tbl>
    <w:p>
      <w:pPr>
        <w:sectPr>
          <w:pgSz w:w="16840" w:h="11900" w:orient="landscape"/>
          <w:pgMar w:top="1361" w:right="1020" w:bottom="1134" w:left="1020" w:header="720" w:footer="720" w:gutter="0"/>
          <w:cols w:space="720" w:num="1"/>
          <w:docGrid w:linePitch="0" w:charSpace="0"/>
        </w:sectPr>
      </w:pPr>
    </w:p>
    <w:p>
      <w:pPr>
        <w:jc w:val="center"/>
        <w:outlineLvl w:val="1"/>
      </w:pPr>
      <w:bookmarkStart w:id="5" w:name="_Toc_2_2_0000000006"/>
      <w:bookmarkEnd w:id="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rPr>
                <w:rFonts w:hint="eastAsia" w:eastAsia="方正小标宋_GBK"/>
                <w:lang w:val="en-US" w:eastAsia="zh-CN"/>
              </w:rPr>
            </w:pPr>
            <w:r>
              <w:t>213001中共保定市满城区委统战部</w:t>
            </w:r>
            <w:r>
              <w:rPr>
                <w:rFonts w:hint="eastAsia"/>
                <w:lang w:val="en-US" w:eastAsia="zh-CN"/>
              </w:rPr>
              <w:t>本级</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w:t>
            </w:r>
            <w:r>
              <w:rPr>
                <w:rFonts w:hint="eastAsia"/>
                <w:lang w:eastAsia="zh-CN"/>
              </w:rPr>
              <w:t>单位</w:t>
            </w:r>
            <w:r>
              <w:t>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128.50</w:t>
            </w:r>
          </w:p>
        </w:tc>
        <w:tc>
          <w:tcPr>
            <w:tcW w:w="2551" w:type="dxa"/>
            <w:vAlign w:val="center"/>
          </w:tcPr>
          <w:p>
            <w:pPr>
              <w:pStyle w:val="16"/>
            </w:pPr>
            <w:r>
              <w:t>113.81</w:t>
            </w:r>
          </w:p>
        </w:tc>
        <w:tc>
          <w:tcPr>
            <w:tcW w:w="2551" w:type="dxa"/>
            <w:vAlign w:val="center"/>
          </w:tcPr>
          <w:p>
            <w:pPr>
              <w:pStyle w:val="16"/>
            </w:pPr>
            <w:r>
              <w:t>14.69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101.97</w:t>
            </w:r>
          </w:p>
        </w:tc>
        <w:tc>
          <w:tcPr>
            <w:tcW w:w="2551" w:type="dxa"/>
            <w:vAlign w:val="center"/>
          </w:tcPr>
          <w:p>
            <w:pPr>
              <w:pStyle w:val="12"/>
            </w:pPr>
            <w:r>
              <w:t>101.97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36.56</w:t>
            </w:r>
          </w:p>
        </w:tc>
        <w:tc>
          <w:tcPr>
            <w:tcW w:w="2551" w:type="dxa"/>
            <w:vAlign w:val="center"/>
          </w:tcPr>
          <w:p>
            <w:pPr>
              <w:pStyle w:val="12"/>
            </w:pPr>
            <w:r>
              <w:t>36.56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27.27</w:t>
            </w:r>
          </w:p>
        </w:tc>
        <w:tc>
          <w:tcPr>
            <w:tcW w:w="2551" w:type="dxa"/>
            <w:vAlign w:val="center"/>
          </w:tcPr>
          <w:p>
            <w:pPr>
              <w:pStyle w:val="12"/>
            </w:pPr>
            <w:r>
              <w:t>27.27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13.52</w:t>
            </w:r>
          </w:p>
        </w:tc>
        <w:tc>
          <w:tcPr>
            <w:tcW w:w="2551" w:type="dxa"/>
            <w:vAlign w:val="center"/>
          </w:tcPr>
          <w:p>
            <w:pPr>
              <w:pStyle w:val="12"/>
            </w:pPr>
            <w:r>
              <w:t>13.52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11.94</w:t>
            </w:r>
          </w:p>
        </w:tc>
        <w:tc>
          <w:tcPr>
            <w:tcW w:w="2551" w:type="dxa"/>
            <w:vAlign w:val="center"/>
          </w:tcPr>
          <w:p>
            <w:pPr>
              <w:pStyle w:val="12"/>
            </w:pPr>
            <w:r>
              <w:t>11.94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4.78</w:t>
            </w:r>
          </w:p>
        </w:tc>
        <w:tc>
          <w:tcPr>
            <w:tcW w:w="2551" w:type="dxa"/>
            <w:vAlign w:val="center"/>
          </w:tcPr>
          <w:p>
            <w:pPr>
              <w:pStyle w:val="12"/>
            </w:pPr>
            <w:r>
              <w:t>4.78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0.45</w:t>
            </w:r>
          </w:p>
        </w:tc>
        <w:tc>
          <w:tcPr>
            <w:tcW w:w="2551" w:type="dxa"/>
            <w:vAlign w:val="center"/>
          </w:tcPr>
          <w:p>
            <w:pPr>
              <w:pStyle w:val="12"/>
            </w:pPr>
            <w:r>
              <w:t>0.45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7.46</w:t>
            </w:r>
          </w:p>
        </w:tc>
        <w:tc>
          <w:tcPr>
            <w:tcW w:w="2551" w:type="dxa"/>
            <w:vAlign w:val="center"/>
          </w:tcPr>
          <w:p>
            <w:pPr>
              <w:pStyle w:val="12"/>
            </w:pPr>
            <w:r>
              <w:t>7.46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14.69</w:t>
            </w:r>
          </w:p>
        </w:tc>
        <w:tc>
          <w:tcPr>
            <w:tcW w:w="2551" w:type="dxa"/>
            <w:vAlign w:val="center"/>
          </w:tcPr>
          <w:p>
            <w:pPr>
              <w:pStyle w:val="12"/>
            </w:pPr>
          </w:p>
        </w:tc>
        <w:tc>
          <w:tcPr>
            <w:tcW w:w="2551" w:type="dxa"/>
            <w:vAlign w:val="center"/>
          </w:tcPr>
          <w:p>
            <w:pPr>
              <w:pStyle w:val="12"/>
            </w:pPr>
            <w:r>
              <w:t>14.69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0.56</w:t>
            </w:r>
          </w:p>
        </w:tc>
        <w:tc>
          <w:tcPr>
            <w:tcW w:w="2551" w:type="dxa"/>
            <w:vAlign w:val="center"/>
          </w:tcPr>
          <w:p>
            <w:pPr>
              <w:pStyle w:val="12"/>
            </w:pPr>
          </w:p>
        </w:tc>
        <w:tc>
          <w:tcPr>
            <w:tcW w:w="2551" w:type="dxa"/>
            <w:vAlign w:val="center"/>
          </w:tcPr>
          <w:p>
            <w:pPr>
              <w:pStyle w:val="12"/>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30205</w:t>
            </w:r>
          </w:p>
        </w:tc>
        <w:tc>
          <w:tcPr>
            <w:tcW w:w="4535" w:type="dxa"/>
            <w:vAlign w:val="center"/>
          </w:tcPr>
          <w:p>
            <w:pPr>
              <w:pStyle w:val="13"/>
            </w:pPr>
            <w:r>
              <w:t>水费</w:t>
            </w:r>
          </w:p>
        </w:tc>
        <w:tc>
          <w:tcPr>
            <w:tcW w:w="2551" w:type="dxa"/>
            <w:vAlign w:val="center"/>
          </w:tcPr>
          <w:p>
            <w:pPr>
              <w:pStyle w:val="12"/>
            </w:pPr>
            <w:r>
              <w:t>0.12</w:t>
            </w:r>
          </w:p>
        </w:tc>
        <w:tc>
          <w:tcPr>
            <w:tcW w:w="2551" w:type="dxa"/>
            <w:vAlign w:val="center"/>
          </w:tcPr>
          <w:p>
            <w:pPr>
              <w:pStyle w:val="12"/>
            </w:pPr>
          </w:p>
        </w:tc>
        <w:tc>
          <w:tcPr>
            <w:tcW w:w="2551" w:type="dxa"/>
            <w:vAlign w:val="center"/>
          </w:tcPr>
          <w:p>
            <w:pPr>
              <w:pStyle w:val="12"/>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30206</w:t>
            </w:r>
          </w:p>
        </w:tc>
        <w:tc>
          <w:tcPr>
            <w:tcW w:w="4535" w:type="dxa"/>
            <w:vAlign w:val="center"/>
          </w:tcPr>
          <w:p>
            <w:pPr>
              <w:pStyle w:val="13"/>
            </w:pPr>
            <w:r>
              <w:t>电费</w:t>
            </w:r>
          </w:p>
        </w:tc>
        <w:tc>
          <w:tcPr>
            <w:tcW w:w="2551" w:type="dxa"/>
            <w:vAlign w:val="center"/>
          </w:tcPr>
          <w:p>
            <w:pPr>
              <w:pStyle w:val="12"/>
            </w:pPr>
            <w:r>
              <w:t>0.40</w:t>
            </w:r>
          </w:p>
        </w:tc>
        <w:tc>
          <w:tcPr>
            <w:tcW w:w="2551" w:type="dxa"/>
            <w:vAlign w:val="center"/>
          </w:tcPr>
          <w:p>
            <w:pPr>
              <w:pStyle w:val="12"/>
            </w:pPr>
          </w:p>
        </w:tc>
        <w:tc>
          <w:tcPr>
            <w:tcW w:w="2551" w:type="dxa"/>
            <w:vAlign w:val="center"/>
          </w:tcPr>
          <w:p>
            <w:pPr>
              <w:pStyle w:val="12"/>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pPr>
            <w:r>
              <w:t>3.98</w:t>
            </w:r>
          </w:p>
        </w:tc>
        <w:tc>
          <w:tcPr>
            <w:tcW w:w="2551" w:type="dxa"/>
            <w:vAlign w:val="center"/>
          </w:tcPr>
          <w:p>
            <w:pPr>
              <w:pStyle w:val="12"/>
            </w:pPr>
          </w:p>
        </w:tc>
        <w:tc>
          <w:tcPr>
            <w:tcW w:w="2551" w:type="dxa"/>
            <w:vAlign w:val="center"/>
          </w:tcPr>
          <w:p>
            <w:pPr>
              <w:pStyle w:val="12"/>
            </w:pPr>
            <w:r>
              <w:t>3.98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30211</w:t>
            </w:r>
          </w:p>
        </w:tc>
        <w:tc>
          <w:tcPr>
            <w:tcW w:w="4535" w:type="dxa"/>
            <w:vAlign w:val="center"/>
          </w:tcPr>
          <w:p>
            <w:pPr>
              <w:pStyle w:val="13"/>
            </w:pPr>
            <w:r>
              <w:t>差旅费</w:t>
            </w:r>
          </w:p>
        </w:tc>
        <w:tc>
          <w:tcPr>
            <w:tcW w:w="2551" w:type="dxa"/>
            <w:vAlign w:val="center"/>
          </w:tcPr>
          <w:p>
            <w:pPr>
              <w:pStyle w:val="12"/>
            </w:pPr>
            <w:r>
              <w:t>0.08</w:t>
            </w:r>
          </w:p>
        </w:tc>
        <w:tc>
          <w:tcPr>
            <w:tcW w:w="2551" w:type="dxa"/>
            <w:vAlign w:val="center"/>
          </w:tcPr>
          <w:p>
            <w:pPr>
              <w:pStyle w:val="12"/>
            </w:pPr>
          </w:p>
        </w:tc>
        <w:tc>
          <w:tcPr>
            <w:tcW w:w="2551" w:type="dxa"/>
            <w:vAlign w:val="center"/>
          </w:tcPr>
          <w:p>
            <w:pPr>
              <w:pStyle w:val="12"/>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30216</w:t>
            </w:r>
          </w:p>
        </w:tc>
        <w:tc>
          <w:tcPr>
            <w:tcW w:w="4535" w:type="dxa"/>
            <w:vAlign w:val="center"/>
          </w:tcPr>
          <w:p>
            <w:pPr>
              <w:pStyle w:val="13"/>
            </w:pPr>
            <w:r>
              <w:t>培训费</w:t>
            </w:r>
          </w:p>
        </w:tc>
        <w:tc>
          <w:tcPr>
            <w:tcW w:w="2551" w:type="dxa"/>
            <w:vAlign w:val="center"/>
          </w:tcPr>
          <w:p>
            <w:pPr>
              <w:pStyle w:val="12"/>
            </w:pPr>
            <w:r>
              <w:t>0.04</w:t>
            </w:r>
          </w:p>
        </w:tc>
        <w:tc>
          <w:tcPr>
            <w:tcW w:w="2551" w:type="dxa"/>
            <w:vAlign w:val="center"/>
          </w:tcPr>
          <w:p>
            <w:pPr>
              <w:pStyle w:val="12"/>
            </w:pPr>
          </w:p>
        </w:tc>
        <w:tc>
          <w:tcPr>
            <w:tcW w:w="2551" w:type="dxa"/>
            <w:vAlign w:val="center"/>
          </w:tcPr>
          <w:p>
            <w:pPr>
              <w:pStyle w:val="12"/>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30217</w:t>
            </w:r>
          </w:p>
        </w:tc>
        <w:tc>
          <w:tcPr>
            <w:tcW w:w="4535" w:type="dxa"/>
            <w:vAlign w:val="center"/>
          </w:tcPr>
          <w:p>
            <w:pPr>
              <w:pStyle w:val="13"/>
            </w:pPr>
            <w:r>
              <w:t>公务接待费</w:t>
            </w:r>
          </w:p>
        </w:tc>
        <w:tc>
          <w:tcPr>
            <w:tcW w:w="2551" w:type="dxa"/>
            <w:vAlign w:val="center"/>
          </w:tcPr>
          <w:p>
            <w:pPr>
              <w:pStyle w:val="12"/>
            </w:pPr>
            <w:r>
              <w:t>0.28</w:t>
            </w:r>
          </w:p>
        </w:tc>
        <w:tc>
          <w:tcPr>
            <w:tcW w:w="2551" w:type="dxa"/>
            <w:vAlign w:val="center"/>
          </w:tcPr>
          <w:p>
            <w:pPr>
              <w:pStyle w:val="12"/>
            </w:pPr>
          </w:p>
        </w:tc>
        <w:tc>
          <w:tcPr>
            <w:tcW w:w="2551" w:type="dxa"/>
            <w:vAlign w:val="center"/>
          </w:tcPr>
          <w:p>
            <w:pPr>
              <w:pStyle w:val="12"/>
            </w:pPr>
            <w: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0.44</w:t>
            </w:r>
          </w:p>
        </w:tc>
        <w:tc>
          <w:tcPr>
            <w:tcW w:w="2551" w:type="dxa"/>
            <w:vAlign w:val="center"/>
          </w:tcPr>
          <w:p>
            <w:pPr>
              <w:pStyle w:val="12"/>
            </w:pPr>
          </w:p>
        </w:tc>
        <w:tc>
          <w:tcPr>
            <w:tcW w:w="2551" w:type="dxa"/>
            <w:vAlign w:val="center"/>
          </w:tcPr>
          <w:p>
            <w:pPr>
              <w:pStyle w:val="12"/>
            </w:pPr>
            <w: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pPr>
            <w:r>
              <w:t>0.37</w:t>
            </w:r>
          </w:p>
        </w:tc>
        <w:tc>
          <w:tcPr>
            <w:tcW w:w="2551" w:type="dxa"/>
            <w:vAlign w:val="center"/>
          </w:tcPr>
          <w:p>
            <w:pPr>
              <w:pStyle w:val="12"/>
            </w:pPr>
          </w:p>
        </w:tc>
        <w:tc>
          <w:tcPr>
            <w:tcW w:w="2551" w:type="dxa"/>
            <w:vAlign w:val="center"/>
          </w:tcPr>
          <w:p>
            <w:pPr>
              <w:pStyle w:val="12"/>
            </w:pPr>
            <w:r>
              <w:t>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pPr>
            <w:r>
              <w:t>3.00</w:t>
            </w:r>
          </w:p>
        </w:tc>
        <w:tc>
          <w:tcPr>
            <w:tcW w:w="2551" w:type="dxa"/>
            <w:vAlign w:val="center"/>
          </w:tcPr>
          <w:p>
            <w:pPr>
              <w:pStyle w:val="12"/>
            </w:pPr>
          </w:p>
        </w:tc>
        <w:tc>
          <w:tcPr>
            <w:tcW w:w="2551"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5.22</w:t>
            </w:r>
          </w:p>
        </w:tc>
        <w:tc>
          <w:tcPr>
            <w:tcW w:w="2551" w:type="dxa"/>
            <w:vAlign w:val="center"/>
          </w:tcPr>
          <w:p>
            <w:pPr>
              <w:pStyle w:val="12"/>
            </w:pPr>
          </w:p>
        </w:tc>
        <w:tc>
          <w:tcPr>
            <w:tcW w:w="2551" w:type="dxa"/>
            <w:vAlign w:val="center"/>
          </w:tcPr>
          <w:p>
            <w:pPr>
              <w:pStyle w:val="12"/>
            </w:pPr>
            <w:r>
              <w:t>5.22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0.20</w:t>
            </w:r>
          </w:p>
        </w:tc>
        <w:tc>
          <w:tcPr>
            <w:tcW w:w="2551" w:type="dxa"/>
            <w:vAlign w:val="center"/>
          </w:tcPr>
          <w:p>
            <w:pPr>
              <w:pStyle w:val="12"/>
            </w:pPr>
          </w:p>
        </w:tc>
        <w:tc>
          <w:tcPr>
            <w:tcW w:w="2551" w:type="dxa"/>
            <w:vAlign w:val="center"/>
          </w:tcPr>
          <w:p>
            <w:pPr>
              <w:pStyle w:val="12"/>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11.83</w:t>
            </w:r>
          </w:p>
        </w:tc>
        <w:tc>
          <w:tcPr>
            <w:tcW w:w="2551" w:type="dxa"/>
            <w:vAlign w:val="center"/>
          </w:tcPr>
          <w:p>
            <w:pPr>
              <w:pStyle w:val="12"/>
            </w:pPr>
            <w:r>
              <w:t>11.83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8.49</w:t>
            </w:r>
          </w:p>
        </w:tc>
        <w:tc>
          <w:tcPr>
            <w:tcW w:w="2551" w:type="dxa"/>
            <w:vAlign w:val="center"/>
          </w:tcPr>
          <w:p>
            <w:pPr>
              <w:pStyle w:val="12"/>
            </w:pPr>
            <w:r>
              <w:t>8.49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3"/>
            </w:pPr>
            <w:r>
              <w:t>30309</w:t>
            </w:r>
          </w:p>
        </w:tc>
        <w:tc>
          <w:tcPr>
            <w:tcW w:w="4535" w:type="dxa"/>
            <w:vAlign w:val="center"/>
          </w:tcPr>
          <w:p>
            <w:pPr>
              <w:pStyle w:val="13"/>
            </w:pPr>
            <w:r>
              <w:t>奖励金</w:t>
            </w:r>
          </w:p>
        </w:tc>
        <w:tc>
          <w:tcPr>
            <w:tcW w:w="2551" w:type="dxa"/>
            <w:vAlign w:val="center"/>
          </w:tcPr>
          <w:p>
            <w:pPr>
              <w:pStyle w:val="12"/>
            </w:pPr>
            <w:r>
              <w:t>3.34</w:t>
            </w:r>
          </w:p>
        </w:tc>
        <w:tc>
          <w:tcPr>
            <w:tcW w:w="2551" w:type="dxa"/>
            <w:vAlign w:val="center"/>
          </w:tcPr>
          <w:p>
            <w:pPr>
              <w:pStyle w:val="12"/>
            </w:pPr>
            <w:r>
              <w:t>3.34</w:t>
            </w:r>
          </w:p>
        </w:tc>
        <w:tc>
          <w:tcPr>
            <w:tcW w:w="2551" w:type="dxa"/>
            <w:vAlign w:val="center"/>
          </w:tcPr>
          <w:p>
            <w:pPr>
              <w:pStyle w:val="12"/>
            </w:pPr>
          </w:p>
        </w:tc>
      </w:tr>
    </w:tbl>
    <w:p>
      <w:pPr>
        <w:sectPr>
          <w:pgSz w:w="16840" w:h="11900" w:orient="landscape"/>
          <w:pgMar w:top="1361" w:right="1020" w:bottom="1134" w:left="1020" w:header="720" w:footer="720" w:gutter="0"/>
          <w:cols w:space="720" w:num="1"/>
          <w:docGrid w:linePitch="0" w:charSpace="0"/>
        </w:sectPr>
      </w:pPr>
    </w:p>
    <w:p>
      <w:pPr>
        <w:jc w:val="center"/>
        <w:outlineLvl w:val="1"/>
      </w:pPr>
      <w:bookmarkStart w:id="6" w:name="_Toc_2_2_0000000007"/>
      <w:bookmarkEnd w:id="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rPr>
                <w:rFonts w:hint="eastAsia" w:eastAsia="方正小标宋_GBK"/>
                <w:lang w:val="en-US" w:eastAsia="zh-CN"/>
              </w:rPr>
            </w:pPr>
            <w:r>
              <w:t>213001中共保定市满城区委统战部</w:t>
            </w:r>
            <w:r>
              <w:rPr>
                <w:rFonts w:hint="eastAsia"/>
                <w:lang w:val="en-US" w:eastAsia="zh-CN"/>
              </w:rPr>
              <w:t>本级</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docGrid w:linePitch="0" w:charSpace="0"/>
        </w:sect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我单位</w:t>
      </w:r>
      <w:r>
        <w:rPr>
          <w:rFonts w:ascii="方正书宋_GBK" w:hAnsi="方正书宋_GBK" w:eastAsia="方正书宋_GBK" w:cs="方正书宋_GBK"/>
          <w:color w:val="000000"/>
          <w:sz w:val="21"/>
        </w:rPr>
        <w:t>无政府基金预算财政拨款预算，空表列示。</w:t>
      </w:r>
    </w:p>
    <w:p>
      <w:pPr>
        <w:jc w:val="center"/>
        <w:outlineLvl w:val="1"/>
      </w:pPr>
      <w:bookmarkStart w:id="7" w:name="_Toc_2_2_0000000008"/>
      <w:bookmarkEnd w:id="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rPr>
                <w:rFonts w:hint="eastAsia" w:eastAsia="方正小标宋_GBK"/>
                <w:lang w:val="en-US" w:eastAsia="zh-CN"/>
              </w:rPr>
            </w:pPr>
            <w:r>
              <w:t>213001中共保定市满城区委统战部</w:t>
            </w:r>
            <w:r>
              <w:rPr>
                <w:rFonts w:hint="eastAsia"/>
                <w:lang w:val="en-US" w:eastAsia="zh-CN"/>
              </w:rPr>
              <w:t>本级</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docGrid w:linePitch="0" w:charSpace="0"/>
        </w:sect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我单位</w:t>
      </w:r>
      <w:r>
        <w:rPr>
          <w:rFonts w:ascii="方正书宋_GBK" w:hAnsi="方正书宋_GBK" w:eastAsia="方正书宋_GBK" w:cs="方正书宋_GBK"/>
          <w:color w:val="000000"/>
          <w:sz w:val="21"/>
        </w:rPr>
        <w:t>无国有资本经营预算财政拨款预算，空表列示。</w:t>
      </w:r>
    </w:p>
    <w:p>
      <w:pPr>
        <w:jc w:val="center"/>
        <w:outlineLvl w:val="1"/>
      </w:pPr>
      <w:bookmarkStart w:id="8" w:name="_Toc_2_2_0000000009"/>
      <w:bookmarkEnd w:id="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rPr>
                <w:rFonts w:hint="eastAsia" w:eastAsia="方正小标宋_GBK"/>
                <w:lang w:val="en-US" w:eastAsia="zh-CN"/>
              </w:rPr>
            </w:pPr>
            <w:r>
              <w:t>213001中共保定市满城区委统战部</w:t>
            </w:r>
            <w:r>
              <w:rPr>
                <w:rFonts w:hint="eastAsia"/>
                <w:lang w:val="en-US" w:eastAsia="zh-CN"/>
              </w:rPr>
              <w:t>本级</w:t>
            </w:r>
          </w:p>
        </w:tc>
        <w:tc>
          <w:tcPr>
            <w:tcW w:w="2381" w:type="dxa"/>
            <w:tcBorders>
              <w:top w:val="single" w:color="FFFFFF" w:sz="6" w:space="0"/>
              <w:left w:val="single" w:color="FFFFFF" w:sz="6" w:space="0"/>
              <w:right w:val="single" w:color="FFFFFF" w:sz="6" w:space="0"/>
            </w:tcBorders>
            <w:vAlign w:val="center"/>
          </w:tcPr>
          <w:p>
            <w:pPr>
              <w:pStyle w:val="9"/>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default"/>
                <w:lang w:val="en-US"/>
              </w:rPr>
            </w:pPr>
            <w:r>
              <w:rPr>
                <w:rFonts w:hint="default"/>
                <w:lang w:val="en-US"/>
              </w:rPr>
              <w:t>1</w:t>
            </w:r>
          </w:p>
        </w:tc>
        <w:tc>
          <w:tcPr>
            <w:tcW w:w="3798" w:type="dxa"/>
            <w:vAlign w:val="center"/>
          </w:tcPr>
          <w:p>
            <w:pPr>
              <w:pStyle w:val="13"/>
              <w:jc w:val="center"/>
            </w:pPr>
            <w:r>
              <w:rPr>
                <w:rFonts w:hint="eastAsia" w:ascii="微软雅黑" w:eastAsia="微软雅黑"/>
                <w:b/>
                <w:i w:val="0"/>
                <w:spacing w:val="0"/>
                <w:w w:val="100"/>
                <w:sz w:val="21"/>
              </w:rPr>
              <w:t>合计</w:t>
            </w:r>
          </w:p>
        </w:tc>
        <w:tc>
          <w:tcPr>
            <w:tcW w:w="2381" w:type="dxa"/>
            <w:vAlign w:val="center"/>
          </w:tcPr>
          <w:p>
            <w:pPr>
              <w:pStyle w:val="12"/>
              <w:jc w:val="center"/>
              <w:rPr>
                <w:rFonts w:hint="default"/>
                <w:lang w:val="en-US"/>
              </w:rPr>
            </w:pPr>
            <w:r>
              <w:rPr>
                <w:rFonts w:hint="default"/>
                <w:lang w:val="en-US"/>
              </w:rPr>
              <w:t>3.28</w:t>
            </w:r>
          </w:p>
        </w:tc>
        <w:tc>
          <w:tcPr>
            <w:tcW w:w="2381" w:type="dxa"/>
            <w:vAlign w:val="center"/>
          </w:tcPr>
          <w:p>
            <w:pPr>
              <w:pStyle w:val="12"/>
              <w:jc w:val="center"/>
              <w:rPr>
                <w:rFonts w:hint="default"/>
                <w:lang w:val="en-US"/>
              </w:rPr>
            </w:pPr>
            <w:r>
              <w:rPr>
                <w:rFonts w:hint="default"/>
                <w:lang w:val="en-US"/>
              </w:rPr>
              <w:t>3.28</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default"/>
                <w:lang w:val="en-US"/>
              </w:rPr>
            </w:pPr>
            <w:r>
              <w:rPr>
                <w:rFonts w:hint="default"/>
                <w:lang w:val="en-US"/>
              </w:rPr>
              <w:t>2</w:t>
            </w:r>
          </w:p>
        </w:tc>
        <w:tc>
          <w:tcPr>
            <w:tcW w:w="3798" w:type="dxa"/>
            <w:vAlign w:val="center"/>
          </w:tcPr>
          <w:p>
            <w:pPr>
              <w:pStyle w:val="13"/>
            </w:pPr>
            <w:r>
              <w:rPr>
                <w:rFonts w:hint="eastAsia" w:ascii="微软雅黑" w:eastAsia="微软雅黑"/>
                <w:b w:val="0"/>
                <w:i w:val="0"/>
                <w:spacing w:val="0"/>
                <w:w w:val="100"/>
                <w:sz w:val="21"/>
              </w:rPr>
              <w:t>一、因公出国（境）费</w:t>
            </w:r>
          </w:p>
        </w:tc>
        <w:tc>
          <w:tcPr>
            <w:tcW w:w="2381" w:type="dxa"/>
            <w:vAlign w:val="center"/>
          </w:tcPr>
          <w:p>
            <w:pPr>
              <w:pStyle w:val="12"/>
              <w:jc w:val="center"/>
            </w:pPr>
          </w:p>
        </w:tc>
        <w:tc>
          <w:tcPr>
            <w:tcW w:w="2381" w:type="dxa"/>
            <w:vAlign w:val="center"/>
          </w:tcPr>
          <w:p>
            <w:pPr>
              <w:pStyle w:val="12"/>
              <w:jc w:val="center"/>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default"/>
                <w:lang w:val="en-US"/>
              </w:rPr>
            </w:pPr>
            <w:r>
              <w:rPr>
                <w:rFonts w:hint="default"/>
                <w:lang w:val="en-US"/>
              </w:rPr>
              <w:t>3</w:t>
            </w:r>
          </w:p>
        </w:tc>
        <w:tc>
          <w:tcPr>
            <w:tcW w:w="3798" w:type="dxa"/>
            <w:vAlign w:val="center"/>
          </w:tcPr>
          <w:p>
            <w:pPr>
              <w:pStyle w:val="13"/>
            </w:pPr>
            <w:r>
              <w:rPr>
                <w:rFonts w:hint="eastAsia" w:ascii="微软雅黑" w:eastAsia="微软雅黑"/>
                <w:b w:val="0"/>
                <w:i w:val="0"/>
                <w:spacing w:val="0"/>
                <w:w w:val="100"/>
                <w:sz w:val="21"/>
              </w:rPr>
              <w:t>二、公务用车购置及运维费</w:t>
            </w:r>
          </w:p>
        </w:tc>
        <w:tc>
          <w:tcPr>
            <w:tcW w:w="2381" w:type="dxa"/>
            <w:vAlign w:val="center"/>
          </w:tcPr>
          <w:p>
            <w:pPr>
              <w:pStyle w:val="12"/>
              <w:jc w:val="center"/>
              <w:rPr>
                <w:rFonts w:hint="default"/>
                <w:lang w:val="en-US"/>
              </w:rPr>
            </w:pPr>
            <w:r>
              <w:rPr>
                <w:rFonts w:hint="default"/>
                <w:lang w:val="en-US"/>
              </w:rPr>
              <w:t>3.00</w:t>
            </w:r>
          </w:p>
        </w:tc>
        <w:tc>
          <w:tcPr>
            <w:tcW w:w="2381" w:type="dxa"/>
            <w:vAlign w:val="center"/>
          </w:tcPr>
          <w:p>
            <w:pPr>
              <w:pStyle w:val="12"/>
              <w:jc w:val="center"/>
              <w:rPr>
                <w:rFonts w:hint="default"/>
                <w:lang w:val="en-US"/>
              </w:rPr>
            </w:pPr>
            <w:r>
              <w:rPr>
                <w:rFonts w:hint="default"/>
                <w:lang w:val="en-US"/>
              </w:rPr>
              <w:t>3.00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default"/>
                <w:lang w:val="en-US"/>
              </w:rPr>
            </w:pPr>
            <w:r>
              <w:rPr>
                <w:rFonts w:hint="default"/>
                <w:lang w:val="en-US"/>
              </w:rPr>
              <w:t>4</w:t>
            </w:r>
          </w:p>
        </w:tc>
        <w:tc>
          <w:tcPr>
            <w:tcW w:w="3798" w:type="dxa"/>
            <w:vAlign w:val="center"/>
          </w:tcPr>
          <w:p>
            <w:pPr>
              <w:pStyle w:val="13"/>
              <w:rPr>
                <w:rFonts w:hint="eastAsia" w:ascii="微软雅黑" w:eastAsia="微软雅黑"/>
                <w:b w:val="0"/>
                <w:i w:val="0"/>
                <w:spacing w:val="0"/>
                <w:w w:val="100"/>
                <w:sz w:val="21"/>
              </w:rPr>
            </w:pPr>
            <w:r>
              <w:rPr>
                <w:rFonts w:hint="eastAsia" w:ascii="微软雅黑" w:eastAsia="微软雅黑"/>
                <w:b w:val="0"/>
                <w:i w:val="0"/>
                <w:spacing w:val="0"/>
                <w:w w:val="100"/>
                <w:sz w:val="21"/>
              </w:rPr>
              <w:t>其中：公务用车购置费</w:t>
            </w:r>
          </w:p>
        </w:tc>
        <w:tc>
          <w:tcPr>
            <w:tcW w:w="2381" w:type="dxa"/>
            <w:vAlign w:val="center"/>
          </w:tcPr>
          <w:p>
            <w:pPr>
              <w:pStyle w:val="12"/>
              <w:jc w:val="center"/>
            </w:pPr>
          </w:p>
        </w:tc>
        <w:tc>
          <w:tcPr>
            <w:tcW w:w="2381" w:type="dxa"/>
            <w:vAlign w:val="center"/>
          </w:tcPr>
          <w:p>
            <w:pPr>
              <w:pStyle w:val="12"/>
              <w:jc w:val="center"/>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default"/>
                <w:lang w:val="en-US"/>
              </w:rPr>
            </w:pPr>
            <w:r>
              <w:rPr>
                <w:rFonts w:hint="default"/>
                <w:lang w:val="en-US"/>
              </w:rPr>
              <w:t>5</w:t>
            </w:r>
          </w:p>
        </w:tc>
        <w:tc>
          <w:tcPr>
            <w:tcW w:w="3798" w:type="dxa"/>
            <w:vAlign w:val="center"/>
          </w:tcPr>
          <w:p>
            <w:pPr>
              <w:pStyle w:val="13"/>
              <w:rPr>
                <w:rFonts w:hint="eastAsia" w:ascii="微软雅黑" w:eastAsia="微软雅黑"/>
                <w:b w:val="0"/>
                <w:i w:val="0"/>
                <w:spacing w:val="0"/>
                <w:w w:val="100"/>
                <w:sz w:val="21"/>
              </w:rPr>
            </w:pPr>
            <w:r>
              <w:rPr>
                <w:rFonts w:hint="eastAsia" w:ascii="微软雅黑" w:eastAsia="微软雅黑"/>
                <w:b w:val="0"/>
                <w:i w:val="0"/>
                <w:spacing w:val="0"/>
                <w:w w:val="100"/>
                <w:sz w:val="21"/>
              </w:rPr>
              <w:t>公务用车运行维护费</w:t>
            </w:r>
          </w:p>
        </w:tc>
        <w:tc>
          <w:tcPr>
            <w:tcW w:w="2381" w:type="dxa"/>
            <w:vAlign w:val="center"/>
          </w:tcPr>
          <w:p>
            <w:pPr>
              <w:pStyle w:val="12"/>
              <w:jc w:val="center"/>
              <w:rPr>
                <w:rFonts w:hint="default"/>
                <w:lang w:val="en-US"/>
              </w:rPr>
            </w:pPr>
            <w:r>
              <w:rPr>
                <w:rFonts w:hint="default"/>
                <w:lang w:val="en-US"/>
              </w:rPr>
              <w:t>3.00</w:t>
            </w:r>
          </w:p>
        </w:tc>
        <w:tc>
          <w:tcPr>
            <w:tcW w:w="2381" w:type="dxa"/>
            <w:vAlign w:val="center"/>
          </w:tcPr>
          <w:p>
            <w:pPr>
              <w:pStyle w:val="12"/>
              <w:jc w:val="center"/>
              <w:rPr>
                <w:rFonts w:hint="default"/>
                <w:lang w:val="en-US"/>
              </w:rPr>
            </w:pPr>
            <w:r>
              <w:rPr>
                <w:rFonts w:hint="default"/>
                <w:lang w:val="en-US"/>
              </w:rPr>
              <w:t>3.00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default"/>
                <w:lang w:val="en-US"/>
              </w:rPr>
            </w:pPr>
            <w:r>
              <w:rPr>
                <w:rFonts w:hint="default"/>
                <w:lang w:val="en-US"/>
              </w:rPr>
              <w:t>6</w:t>
            </w:r>
          </w:p>
        </w:tc>
        <w:tc>
          <w:tcPr>
            <w:tcW w:w="3798" w:type="dxa"/>
            <w:vAlign w:val="center"/>
          </w:tcPr>
          <w:p>
            <w:pPr>
              <w:pStyle w:val="13"/>
              <w:rPr>
                <w:rFonts w:hint="eastAsia" w:ascii="微软雅黑" w:eastAsia="微软雅黑"/>
                <w:b w:val="0"/>
                <w:i w:val="0"/>
                <w:spacing w:val="0"/>
                <w:w w:val="100"/>
                <w:sz w:val="21"/>
              </w:rPr>
            </w:pPr>
            <w:r>
              <w:rPr>
                <w:rFonts w:hint="eastAsia" w:ascii="微软雅黑" w:eastAsia="微软雅黑"/>
                <w:b w:val="0"/>
                <w:i w:val="0"/>
                <w:spacing w:val="0"/>
                <w:w w:val="100"/>
                <w:sz w:val="21"/>
              </w:rPr>
              <w:t>三、公务接待费</w:t>
            </w:r>
          </w:p>
        </w:tc>
        <w:tc>
          <w:tcPr>
            <w:tcW w:w="2381" w:type="dxa"/>
            <w:vAlign w:val="center"/>
          </w:tcPr>
          <w:p>
            <w:pPr>
              <w:pStyle w:val="12"/>
              <w:jc w:val="center"/>
              <w:rPr>
                <w:rFonts w:hint="default"/>
                <w:lang w:val="en-US"/>
              </w:rPr>
            </w:pPr>
            <w:r>
              <w:rPr>
                <w:rFonts w:hint="default"/>
                <w:lang w:val="en-US"/>
              </w:rPr>
              <w:t>0.28</w:t>
            </w:r>
          </w:p>
        </w:tc>
        <w:tc>
          <w:tcPr>
            <w:tcW w:w="2381" w:type="dxa"/>
            <w:vAlign w:val="center"/>
          </w:tcPr>
          <w:p>
            <w:pPr>
              <w:pStyle w:val="12"/>
              <w:jc w:val="center"/>
              <w:rPr>
                <w:rFonts w:hint="default"/>
                <w:lang w:val="en-US"/>
              </w:rPr>
            </w:pPr>
            <w:r>
              <w:rPr>
                <w:rFonts w:hint="default"/>
                <w:lang w:val="en-US"/>
              </w:rPr>
              <w:t>0.28</w:t>
            </w:r>
          </w:p>
        </w:tc>
        <w:tc>
          <w:tcPr>
            <w:tcW w:w="2381" w:type="dxa"/>
            <w:vAlign w:val="center"/>
          </w:tcPr>
          <w:p>
            <w:pPr>
              <w:pStyle w:val="12"/>
            </w:pPr>
          </w:p>
        </w:tc>
        <w:tc>
          <w:tcPr>
            <w:tcW w:w="2381" w:type="dxa"/>
            <w:vAlign w:val="center"/>
          </w:tcPr>
          <w:p>
            <w:pPr>
              <w:pStyle w:val="12"/>
            </w:pPr>
          </w:p>
        </w:tc>
      </w:tr>
    </w:tbl>
    <w:p>
      <w:pPr>
        <w:jc w:val="center"/>
        <w:outlineLvl w:val="0"/>
        <w:rPr>
          <w:rFonts w:ascii="方正书宋_GBK" w:hAnsi="方正书宋_GBK" w:eastAsia="方正书宋_GBK" w:cs="方正书宋_GBK"/>
          <w:color w:val="FFFFFF"/>
          <w:sz w:val="21"/>
        </w:rPr>
      </w:pPr>
      <w:r>
        <w:rPr>
          <w:rFonts w:ascii="方正书宋_GBK" w:hAnsi="方正书宋_GBK" w:eastAsia="方正书宋_GBK" w:cs="方正书宋_GBK"/>
          <w:color w:val="FFFFFF"/>
          <w:sz w:val="21"/>
        </w:rPr>
        <w:t>第一部分  中</w:t>
      </w:r>
    </w:p>
    <w:p>
      <w:pPr>
        <w:jc w:val="center"/>
        <w:outlineLvl w:val="0"/>
        <w:sectPr>
          <w:pgSz w:w="16840" w:h="11900" w:orient="landscape"/>
          <w:pgMar w:top="1361" w:right="1020" w:bottom="1361" w:left="1020" w:header="720" w:footer="720" w:gutter="0"/>
          <w:cols w:space="720" w:num="1"/>
          <w:docGrid w:linePitch="0" w:charSpace="0"/>
        </w:sectPr>
      </w:pPr>
      <w:r>
        <w:rPr>
          <w:rFonts w:ascii="方正书宋_GBK" w:hAnsi="方正书宋_GBK" w:eastAsia="方正书宋_GBK" w:cs="方正书宋_GBK"/>
          <w:color w:val="FFFFFF"/>
          <w:sz w:val="21"/>
        </w:rPr>
        <w:t>共保定市满城区委统战部2023年</w:t>
      </w:r>
      <w:r>
        <w:rPr>
          <w:rFonts w:hint="eastAsia" w:ascii="方正书宋_GBK" w:hAnsi="方正书宋_GBK" w:eastAsia="方正书宋_GBK" w:cs="方正书宋_GBK"/>
          <w:color w:val="FFFFFF"/>
          <w:sz w:val="21"/>
          <w:lang w:eastAsia="zh-CN"/>
        </w:rPr>
        <w:t>单位</w:t>
      </w:r>
      <w:r>
        <w:rPr>
          <w:rFonts w:ascii="方正书宋_GBK" w:hAnsi="方正书宋_GBK" w:eastAsia="方正书宋_GBK" w:cs="方正书宋_GBK"/>
          <w:color w:val="FFFFFF"/>
          <w:sz w:val="21"/>
        </w:rPr>
        <w:t>预算信息公开情况说明</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jc w:val="center"/>
      </w:pPr>
      <w:r>
        <w:rPr>
          <w:rFonts w:ascii="方正小标宋_GBK" w:hAnsi="方正小标宋_GBK" w:eastAsia="方正小标宋_GBK" w:cs="方正小标宋_GBK"/>
          <w:color w:val="000000"/>
          <w:sz w:val="44"/>
        </w:rPr>
        <w:t>中共保定市满城区委统战部2023年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》、《地方预决算公开操作规程》和《关于进一步推进预算公开工作的实施意见》规定，现将中共保定市满城区委统战部2023年</w:t>
      </w:r>
      <w:r>
        <w:rPr>
          <w:rFonts w:hint="eastAsia" w:eastAsia="方正仿宋_GBK"/>
          <w:color w:val="000000"/>
          <w:sz w:val="28"/>
          <w:lang w:eastAsia="zh-CN"/>
        </w:rPr>
        <w:t>单位</w:t>
      </w:r>
      <w:r>
        <w:rPr>
          <w:rFonts w:eastAsia="方正仿宋_GBK"/>
          <w:color w:val="000000"/>
          <w:sz w:val="28"/>
        </w:rPr>
        <w:t>预算公开如下：</w:t>
      </w:r>
    </w:p>
    <w:p>
      <w:pPr>
        <w:keepNext w:val="0"/>
        <w:keepLines w:val="0"/>
        <w:pageBreakBefore w:val="0"/>
        <w:widowControl/>
        <w:kinsoku/>
        <w:wordWrap/>
        <w:overflowPunct/>
        <w:topLinePunct w:val="0"/>
        <w:autoSpaceDE/>
        <w:autoSpaceDN/>
        <w:bidi w:val="0"/>
        <w:adjustRightInd/>
        <w:snapToGrid/>
        <w:spacing w:before="10" w:beforeAutospacing="0" w:after="10" w:afterAutospacing="0" w:line="520" w:lineRule="exact"/>
        <w:ind w:firstLine="640"/>
        <w:outlineLvl w:val="2"/>
      </w:pPr>
      <w:bookmarkStart w:id="9" w:name="_Toc_3_3_0000000010"/>
      <w:bookmarkEnd w:id="9"/>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18"/>
        <w:keepNext w:val="0"/>
        <w:keepLines w:val="0"/>
        <w:pageBreakBefore w:val="0"/>
        <w:widowControl/>
        <w:kinsoku/>
        <w:wordWrap/>
        <w:overflowPunct/>
        <w:topLinePunct w:val="0"/>
        <w:autoSpaceDE/>
        <w:autoSpaceDN/>
        <w:bidi w:val="0"/>
        <w:adjustRightInd/>
        <w:snapToGrid/>
        <w:spacing w:beforeAutospacing="0" w:afterAutospacing="0" w:line="520" w:lineRule="exact"/>
        <w:ind w:left="0" w:leftChars="0" w:firstLine="0" w:firstLineChars="0"/>
      </w:pPr>
      <w:r>
        <w:tab/>
      </w:r>
      <w:r>
        <w:t xml:space="preserve"> （一）调查研究统一战线的理论和重大的方针政策，组织贯彻执行中央关于统一战线的方针、政策；向上级统战</w:t>
      </w:r>
      <w:r>
        <w:rPr>
          <w:rFonts w:hint="eastAsia"/>
          <w:lang w:eastAsia="zh-CN"/>
        </w:rPr>
        <w:t>单位</w:t>
      </w:r>
      <w:r>
        <w:t>和各级党委反映情况，提出开展统战工作的意见和建议。检查统战政策执行情况，协调统一战线各方面的关系。（二）负责联系各民主党派和无党派人士，及时通报情况，反映他们的意见和建议；研究、贯彻党领导的多党合作和政治协商制度及对民主党派的方针、政策；落实中央关于民主党派、无党派人士参政议政和民主监督作用的工作；支持、帮助各民主党派加强自身建设，选拔、培养新一代代表人物。（三）负责调查研究、协调检查有关民族宗教工作的重大方针、政策问题；联系少数民族和宗教界的代表人物；协助有关</w:t>
      </w:r>
      <w:r>
        <w:rPr>
          <w:rFonts w:hint="eastAsia"/>
          <w:lang w:eastAsia="zh-CN"/>
        </w:rPr>
        <w:t>单位</w:t>
      </w:r>
      <w:r>
        <w:t>做好少数民族干部的培养和举荐工作。（四）负责开展以祖国统一为重点的海外统战工作；联系港、澳、台和华侨华人中的有关社团及代表人士；做好台胞、台属的有关工作。（五）负责党外人士的政治安排，会同有关</w:t>
      </w:r>
      <w:r>
        <w:rPr>
          <w:rFonts w:hint="eastAsia"/>
          <w:lang w:eastAsia="zh-CN"/>
        </w:rPr>
        <w:t>单位</w:t>
      </w:r>
      <w:r>
        <w:t>做好培养、选拔、推荐党外人士担任政府和司法机关领导职务的工作，做好党外后备干部和党外代表人物的队伍建设工作。（六）负责联系工商联、港、澳、台及海外工商社团和代表人士。调查、研究并反映非公有制经济代表人物的情况，协调关系，提出政策建议，选拔、培养积极分子队伍。（七）调查研究党外知识分子的情况，反映意见，协调关系，提出政策建议；联系并培养党外知识分子的代表人物。（八）负责开展海内外统一战线的宣传工作。（九）协调政府各有关</w:t>
      </w:r>
      <w:r>
        <w:rPr>
          <w:rFonts w:hint="eastAsia"/>
          <w:lang w:eastAsia="zh-CN"/>
        </w:rPr>
        <w:t>单位</w:t>
      </w:r>
      <w:r>
        <w:t>的统战工作。（十）负责贯彻落实党中央、国务院对台工作的方针、政策。（十一）负责对台宣传。坚持“和平统一、一国两制”的基本方针，结合两岸形势有针对性的开展对台工作的调查研究，及时向上级领导提出报告和建议。（十二）会同区有关</w:t>
      </w:r>
      <w:r>
        <w:rPr>
          <w:rFonts w:hint="eastAsia"/>
          <w:lang w:eastAsia="zh-CN"/>
        </w:rPr>
        <w:t>单位</w:t>
      </w:r>
      <w:r>
        <w:t>，指导全区对台经贸工作。（十三）会同公安等</w:t>
      </w:r>
      <w:r>
        <w:rPr>
          <w:rFonts w:hint="eastAsia"/>
          <w:lang w:eastAsia="zh-CN"/>
        </w:rPr>
        <w:t>单位</w:t>
      </w:r>
      <w:r>
        <w:t>做好两岸人员往来、交流工作。协调、指导全区涉及两岸金融、文化、教育、学术、科技、体育等方面的交流与合作事宜。（十四）负责对台湾上层人士的联络，做好来本区台胞的接待服务工作；协调处理全区涉台重大事件。（十五）完成上级统战</w:t>
      </w:r>
      <w:r>
        <w:rPr>
          <w:rFonts w:hint="eastAsia"/>
          <w:lang w:eastAsia="zh-CN"/>
        </w:rPr>
        <w:t>单位</w:t>
      </w:r>
      <w:r>
        <w:t xml:space="preserve">和各级党委交办的其他任务。 </w:t>
      </w:r>
    </w:p>
    <w:p>
      <w:pPr>
        <w:pStyle w:val="18"/>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rPr>
                <w:rFonts w:hint="eastAsia" w:eastAsia="方正书宋_GBK"/>
                <w:lang w:val="en-US" w:eastAsia="zh-CN"/>
              </w:rPr>
            </w:pPr>
            <w:r>
              <w:t>中共保定市满城区委统战部</w:t>
            </w:r>
            <w:r>
              <w:rPr>
                <w:rFonts w:hint="eastAsia"/>
                <w:lang w:val="en-US" w:eastAsia="zh-CN"/>
              </w:rPr>
              <w:t>本级</w:t>
            </w:r>
          </w:p>
        </w:tc>
        <w:tc>
          <w:tcPr>
            <w:tcW w:w="1843" w:type="dxa"/>
            <w:vAlign w:val="center"/>
          </w:tcPr>
          <w:p>
            <w:pPr>
              <w:pStyle w:val="14"/>
            </w:pPr>
            <w:r>
              <w:t>行政</w:t>
            </w:r>
          </w:p>
        </w:tc>
        <w:tc>
          <w:tcPr>
            <w:tcW w:w="2126" w:type="dxa"/>
            <w:vAlign w:val="center"/>
          </w:tcPr>
          <w:p>
            <w:pPr>
              <w:pStyle w:val="14"/>
            </w:pPr>
            <w:r>
              <w:t>正科级</w:t>
            </w:r>
          </w:p>
        </w:tc>
        <w:tc>
          <w:tcPr>
            <w:tcW w:w="3827" w:type="dxa"/>
            <w:vAlign w:val="center"/>
          </w:tcPr>
          <w:p>
            <w:pPr>
              <w:pStyle w:val="14"/>
            </w:pPr>
            <w:r>
              <w:t>财政拨款</w:t>
            </w:r>
          </w:p>
        </w:tc>
      </w:tr>
    </w:tbl>
    <w:p>
      <w:pPr>
        <w:keepNext w:val="0"/>
        <w:keepLines w:val="0"/>
        <w:pageBreakBefore w:val="0"/>
        <w:widowControl/>
        <w:kinsoku/>
        <w:wordWrap/>
        <w:overflowPunct/>
        <w:topLinePunct w:val="0"/>
        <w:autoSpaceDE/>
        <w:autoSpaceDN/>
        <w:bidi w:val="0"/>
        <w:adjustRightInd/>
        <w:spacing w:before="10" w:beforeAutospacing="0" w:after="10" w:afterAutospacing="0" w:line="520" w:lineRule="exact"/>
        <w:ind w:firstLine="640"/>
        <w:outlineLvl w:val="2"/>
      </w:pPr>
      <w:bookmarkStart w:id="10" w:name="_Toc_3_3_0000000011"/>
      <w:bookmarkEnd w:id="10"/>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p>
    <w:p>
      <w:pPr>
        <w:keepNext w:val="0"/>
        <w:keepLines w:val="0"/>
        <w:pageBreakBefore w:val="0"/>
        <w:widowControl/>
        <w:kinsoku/>
        <w:wordWrap/>
        <w:overflowPunct/>
        <w:topLinePunct w:val="0"/>
        <w:autoSpaceDE/>
        <w:autoSpaceDN/>
        <w:bidi w:val="0"/>
        <w:adjustRightInd/>
        <w:spacing w:beforeAutospacing="0" w:afterAutospacing="0" w:line="520" w:lineRule="exact"/>
        <w:ind w:firstLine="560"/>
        <w:rPr>
          <w:rFonts w:eastAsia="方正仿宋_GBK"/>
          <w:color w:val="000000"/>
          <w:sz w:val="28"/>
        </w:rPr>
      </w:pPr>
      <w:r>
        <w:rPr>
          <w:rFonts w:eastAsia="方正仿宋_GBK"/>
          <w:color w:val="000000"/>
          <w:sz w:val="28"/>
        </w:rPr>
        <w:t>按照预算管理有关规定，目前我</w:t>
      </w:r>
      <w:r>
        <w:rPr>
          <w:rFonts w:hint="eastAsia" w:eastAsia="方正仿宋_GBK"/>
          <w:color w:val="000000"/>
          <w:sz w:val="28"/>
          <w:lang w:eastAsia="zh-CN"/>
        </w:rPr>
        <w:t>区单位</w:t>
      </w:r>
      <w:r>
        <w:rPr>
          <w:rFonts w:eastAsia="方正仿宋_GBK"/>
          <w:color w:val="000000"/>
          <w:sz w:val="28"/>
        </w:rPr>
        <w:t>预算的编制实行综合预算管理，即全部收入和支出都反映在预算中。中共保定市满城区委统战部机关单位的收支包含在</w:t>
      </w:r>
      <w:r>
        <w:rPr>
          <w:rFonts w:hint="eastAsia" w:eastAsia="方正仿宋_GBK"/>
          <w:color w:val="000000"/>
          <w:sz w:val="28"/>
          <w:lang w:eastAsia="zh-CN"/>
        </w:rPr>
        <w:t>单位</w:t>
      </w:r>
      <w:r>
        <w:rPr>
          <w:rFonts w:eastAsia="方正仿宋_GBK"/>
          <w:color w:val="000000"/>
          <w:sz w:val="28"/>
        </w:rPr>
        <w:t>预算中。</w:t>
      </w:r>
    </w:p>
    <w:p>
      <w:pPr>
        <w:pStyle w:val="2"/>
        <w:keepNext w:val="0"/>
        <w:keepLines w:val="0"/>
        <w:pageBreakBefore w:val="0"/>
        <w:widowControl/>
        <w:kinsoku/>
        <w:wordWrap/>
        <w:overflowPunct/>
        <w:topLinePunct w:val="0"/>
        <w:autoSpaceDE/>
        <w:autoSpaceDN/>
        <w:bidi w:val="0"/>
        <w:adjustRightInd/>
        <w:snapToGrid w:val="0"/>
        <w:spacing w:before="9" w:beforeAutospacing="0" w:after="0" w:afterAutospacing="0" w:line="520" w:lineRule="exact"/>
        <w:ind w:left="0" w:leftChars="0" w:right="0" w:firstLine="560" w:firstLineChars="200"/>
        <w:jc w:val="left"/>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1、收入说明</w:t>
      </w:r>
    </w:p>
    <w:p>
      <w:pPr>
        <w:pStyle w:val="2"/>
        <w:keepNext w:val="0"/>
        <w:keepLines w:val="0"/>
        <w:pageBreakBefore w:val="0"/>
        <w:widowControl/>
        <w:kinsoku/>
        <w:wordWrap/>
        <w:overflowPunct/>
        <w:topLinePunct w:val="0"/>
        <w:autoSpaceDE/>
        <w:autoSpaceDN/>
        <w:bidi w:val="0"/>
        <w:adjustRightInd/>
        <w:snapToGrid w:val="0"/>
        <w:spacing w:before="8" w:beforeAutospacing="0" w:after="0" w:afterAutospacing="0" w:line="520" w:lineRule="exact"/>
        <w:ind w:left="0" w:leftChars="0" w:right="1587" w:firstLine="560" w:firstLineChars="200"/>
        <w:jc w:val="left"/>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反映本</w:t>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当年全部收入。202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 xml:space="preserve"> 年预算收入 </w:t>
      </w:r>
      <w:r>
        <w:rPr>
          <w:rFonts w:hint="eastAsia" w:ascii="Times New Roman" w:hAnsi="Times New Roman" w:eastAsia="方正仿宋_GBK" w:cs="Times New Roman"/>
          <w:color w:val="000000"/>
          <w:sz w:val="28"/>
          <w:szCs w:val="24"/>
          <w:lang w:val="en-US" w:eastAsia="zh-CN" w:bidi="ar-SA"/>
        </w:rPr>
        <w:t>143.5</w:t>
      </w:r>
      <w:r>
        <w:rPr>
          <w:rFonts w:ascii="Times New Roman" w:hAnsi="Times New Roman" w:eastAsia="方正仿宋_GBK" w:cs="Times New Roman"/>
          <w:color w:val="000000"/>
          <w:sz w:val="28"/>
          <w:szCs w:val="24"/>
          <w:lang w:val="en-US" w:eastAsia="uk-UA" w:bidi="ar-SA"/>
        </w:rPr>
        <w:t xml:space="preserve">万元，其中：一般公共预算收入 </w:t>
      </w:r>
      <w:r>
        <w:rPr>
          <w:rFonts w:hint="eastAsia" w:ascii="Times New Roman" w:hAnsi="Times New Roman" w:eastAsia="方正仿宋_GBK" w:cs="Times New Roman"/>
          <w:color w:val="000000"/>
          <w:sz w:val="28"/>
          <w:szCs w:val="24"/>
          <w:lang w:val="en-US" w:eastAsia="zh-CN" w:bidi="ar-SA"/>
        </w:rPr>
        <w:t>143.5</w:t>
      </w:r>
      <w:r>
        <w:rPr>
          <w:rFonts w:ascii="Times New Roman" w:hAnsi="Times New Roman" w:eastAsia="方正仿宋_GBK" w:cs="Times New Roman"/>
          <w:color w:val="000000"/>
          <w:sz w:val="28"/>
          <w:szCs w:val="24"/>
          <w:lang w:val="en-US" w:eastAsia="uk-UA" w:bidi="ar-SA"/>
        </w:rPr>
        <w:t>万元，基金预算收入0万元，国有资本经营预算收入 0 万元，财政专户核拨收入 0 万元，单位资金收入 0 万元，上年结转结余0万元。</w:t>
      </w:r>
    </w:p>
    <w:p>
      <w:pPr>
        <w:pStyle w:val="2"/>
        <w:keepNext w:val="0"/>
        <w:keepLines w:val="0"/>
        <w:pageBreakBefore w:val="0"/>
        <w:widowControl/>
        <w:kinsoku/>
        <w:wordWrap/>
        <w:overflowPunct/>
        <w:topLinePunct w:val="0"/>
        <w:autoSpaceDE/>
        <w:autoSpaceDN/>
        <w:bidi w:val="0"/>
        <w:adjustRightInd/>
        <w:snapToGrid w:val="0"/>
        <w:spacing w:before="8" w:beforeAutospacing="0" w:after="0" w:afterAutospacing="0" w:line="520" w:lineRule="exact"/>
        <w:ind w:left="0" w:leftChars="0" w:right="1587" w:firstLine="560" w:firstLineChars="200"/>
        <w:jc w:val="left"/>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2、支出说明</w:t>
      </w:r>
    </w:p>
    <w:p>
      <w:pPr>
        <w:pStyle w:val="2"/>
        <w:keepNext w:val="0"/>
        <w:keepLines w:val="0"/>
        <w:pageBreakBefore w:val="0"/>
        <w:widowControl/>
        <w:kinsoku/>
        <w:wordWrap/>
        <w:overflowPunct/>
        <w:topLinePunct w:val="0"/>
        <w:autoSpaceDE/>
        <w:autoSpaceDN/>
        <w:bidi w:val="0"/>
        <w:adjustRightInd/>
        <w:snapToGrid w:val="0"/>
        <w:spacing w:before="3" w:beforeAutospacing="0" w:after="0" w:afterAutospacing="0" w:line="520" w:lineRule="exact"/>
        <w:ind w:left="0" w:leftChars="0" w:right="0" w:firstLine="560" w:firstLineChars="200"/>
        <w:jc w:val="left"/>
        <w:rPr>
          <w:rFonts w:ascii="Times New Roman" w:hAnsi="Times New Roman" w:eastAsia="方正仿宋_GBK" w:cs="Times New Roman"/>
          <w:color w:val="000000"/>
          <w:sz w:val="28"/>
          <w:szCs w:val="24"/>
          <w:lang w:val="en-US" w:eastAsia="uk-UA" w:bidi="ar-SA"/>
        </w:rPr>
        <w:sectPr>
          <w:pgSz w:w="16840" w:h="11900" w:orient="landscape"/>
          <w:pgMar w:top="1060" w:right="0" w:bottom="940" w:left="200" w:header="0" w:footer="672" w:gutter="0"/>
          <w:cols w:space="720" w:num="1"/>
          <w:docGrid w:linePitch="0" w:charSpace="0"/>
        </w:sectPr>
      </w:pPr>
      <w:r>
        <w:rPr>
          <w:rFonts w:ascii="Times New Roman" w:hAnsi="Times New Roman" w:eastAsia="方正仿宋_GBK" w:cs="Times New Roman"/>
          <w:color w:val="000000"/>
          <w:sz w:val="28"/>
          <w:szCs w:val="24"/>
          <w:lang w:val="en-US" w:eastAsia="uk-UA" w:bidi="ar-SA"/>
        </w:rPr>
        <w:t>收支预算总表支出栏、基本支出表、项目支出表按经济分类和支出功能分类科目编制，反映中共保定市满城区委统战部年度</w:t>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预算中支出预算的总体情况。</w:t>
      </w:r>
    </w:p>
    <w:p>
      <w:pPr>
        <w:pStyle w:val="2"/>
        <w:keepNext w:val="0"/>
        <w:keepLines w:val="0"/>
        <w:pageBreakBefore w:val="0"/>
        <w:widowControl/>
        <w:kinsoku/>
        <w:wordWrap/>
        <w:overflowPunct/>
        <w:topLinePunct w:val="0"/>
        <w:autoSpaceDE/>
        <w:autoSpaceDN/>
        <w:bidi w:val="0"/>
        <w:adjustRightInd/>
        <w:snapToGrid w:val="0"/>
        <w:spacing w:before="42" w:beforeAutospacing="0" w:after="0" w:afterAutospacing="0" w:line="520" w:lineRule="exact"/>
        <w:ind w:left="0" w:leftChars="0" w:right="1574" w:firstLine="0" w:firstLineChars="0"/>
        <w:jc w:val="both"/>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 xml:space="preserve">年 支 出 预 算 </w:t>
      </w:r>
      <w:r>
        <w:rPr>
          <w:rFonts w:hint="eastAsia" w:ascii="Times New Roman" w:hAnsi="Times New Roman" w:eastAsia="方正仿宋_GBK" w:cs="Times New Roman"/>
          <w:color w:val="000000"/>
          <w:sz w:val="28"/>
          <w:szCs w:val="24"/>
          <w:lang w:val="en-US" w:eastAsia="zh-CN" w:bidi="ar-SA"/>
        </w:rPr>
        <w:t>143.5</w:t>
      </w:r>
      <w:r>
        <w:rPr>
          <w:rFonts w:ascii="Times New Roman" w:hAnsi="Times New Roman" w:eastAsia="方正仿宋_GBK" w:cs="Times New Roman"/>
          <w:color w:val="000000"/>
          <w:sz w:val="28"/>
          <w:szCs w:val="24"/>
          <w:lang w:val="en-US" w:eastAsia="uk-UA" w:bidi="ar-SA"/>
        </w:rPr>
        <w:t>万元， 其中基本支出</w:t>
      </w:r>
      <w:r>
        <w:rPr>
          <w:rFonts w:hint="eastAsia" w:ascii="Times New Roman" w:hAnsi="Times New Roman" w:eastAsia="方正仿宋_GBK" w:cs="Times New Roman"/>
          <w:color w:val="000000"/>
          <w:sz w:val="28"/>
          <w:szCs w:val="24"/>
          <w:lang w:val="en-US" w:eastAsia="zh-CN" w:bidi="ar-SA"/>
        </w:rPr>
        <w:t>128.5</w:t>
      </w:r>
      <w:r>
        <w:rPr>
          <w:rFonts w:ascii="Times New Roman" w:hAnsi="Times New Roman" w:eastAsia="方正仿宋_GBK" w:cs="Times New Roman"/>
          <w:color w:val="000000"/>
          <w:sz w:val="28"/>
          <w:szCs w:val="24"/>
          <w:lang w:val="en-US" w:eastAsia="uk-UA" w:bidi="ar-SA"/>
        </w:rPr>
        <w:t>万元，包括人员经费</w:t>
      </w:r>
      <w:r>
        <w:rPr>
          <w:rFonts w:hint="eastAsia" w:ascii="Times New Roman" w:hAnsi="Times New Roman" w:eastAsia="方正仿宋_GBK" w:cs="Times New Roman"/>
          <w:color w:val="000000"/>
          <w:sz w:val="28"/>
          <w:szCs w:val="24"/>
          <w:lang w:val="en-US" w:eastAsia="zh-CN" w:bidi="ar-SA"/>
        </w:rPr>
        <w:t>113.81</w:t>
      </w:r>
      <w:r>
        <w:rPr>
          <w:rFonts w:ascii="Times New Roman" w:hAnsi="Times New Roman" w:eastAsia="方正仿宋_GBK" w:cs="Times New Roman"/>
          <w:color w:val="000000"/>
          <w:sz w:val="28"/>
          <w:szCs w:val="24"/>
          <w:lang w:val="en-US" w:eastAsia="uk-UA" w:bidi="ar-SA"/>
        </w:rPr>
        <w:t>万元和日常公用经费</w:t>
      </w:r>
      <w:r>
        <w:rPr>
          <w:rFonts w:hint="eastAsia" w:ascii="Times New Roman" w:hAnsi="Times New Roman" w:eastAsia="方正仿宋_GBK" w:cs="Times New Roman"/>
          <w:color w:val="000000"/>
          <w:sz w:val="28"/>
          <w:szCs w:val="24"/>
          <w:lang w:val="en-US" w:eastAsia="zh-CN" w:bidi="ar-SA"/>
        </w:rPr>
        <w:t>14.69</w:t>
      </w:r>
      <w:r>
        <w:rPr>
          <w:rFonts w:ascii="Times New Roman" w:hAnsi="Times New Roman" w:eastAsia="方正仿宋_GBK" w:cs="Times New Roman"/>
          <w:color w:val="000000"/>
          <w:sz w:val="28"/>
          <w:szCs w:val="24"/>
          <w:lang w:val="en-US" w:eastAsia="uk-UA" w:bidi="ar-SA"/>
        </w:rPr>
        <w:t xml:space="preserve"> 万元；项目支出</w:t>
      </w:r>
      <w:r>
        <w:rPr>
          <w:rFonts w:hint="eastAsia" w:ascii="Times New Roman" w:hAnsi="Times New Roman" w:eastAsia="方正仿宋_GBK" w:cs="Times New Roman"/>
          <w:color w:val="000000"/>
          <w:sz w:val="28"/>
          <w:szCs w:val="24"/>
          <w:lang w:val="en-US" w:eastAsia="zh-CN" w:bidi="ar-SA"/>
        </w:rPr>
        <w:t>1</w:t>
      </w:r>
      <w:r>
        <w:rPr>
          <w:rFonts w:ascii="Times New Roman" w:hAnsi="Times New Roman" w:eastAsia="方正仿宋_GBK" w:cs="Times New Roman"/>
          <w:color w:val="000000"/>
          <w:sz w:val="28"/>
          <w:szCs w:val="24"/>
          <w:lang w:val="en-US" w:eastAsia="uk-UA" w:bidi="ar-SA"/>
        </w:rPr>
        <w:t>5万元，政府基金支出：0万元。主要人员经费、机关日常运转经费支出等。</w:t>
      </w:r>
    </w:p>
    <w:p>
      <w:pPr>
        <w:pStyle w:val="2"/>
        <w:keepNext w:val="0"/>
        <w:keepLines w:val="0"/>
        <w:pageBreakBefore w:val="0"/>
        <w:widowControl/>
        <w:kinsoku/>
        <w:wordWrap/>
        <w:overflowPunct/>
        <w:topLinePunct w:val="0"/>
        <w:autoSpaceDE/>
        <w:autoSpaceDN/>
        <w:bidi w:val="0"/>
        <w:adjustRightInd/>
        <w:snapToGrid w:val="0"/>
        <w:spacing w:before="59" w:beforeAutospacing="0" w:after="0" w:afterAutospacing="0" w:line="520" w:lineRule="exact"/>
        <w:ind w:left="0" w:leftChars="0" w:right="0" w:firstLine="560" w:firstLineChars="200"/>
        <w:jc w:val="both"/>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3、 比上年增减情况：</w:t>
      </w:r>
    </w:p>
    <w:p>
      <w:pPr>
        <w:pStyle w:val="2"/>
        <w:keepNext w:val="0"/>
        <w:keepLines w:val="0"/>
        <w:pageBreakBefore w:val="0"/>
        <w:widowControl/>
        <w:kinsoku/>
        <w:wordWrap/>
        <w:overflowPunct/>
        <w:topLinePunct w:val="0"/>
        <w:autoSpaceDE/>
        <w:autoSpaceDN/>
        <w:bidi w:val="0"/>
        <w:adjustRightInd/>
        <w:snapToGrid w:val="0"/>
        <w:spacing w:before="58" w:beforeAutospacing="0" w:after="0" w:afterAutospacing="0" w:line="520" w:lineRule="exact"/>
        <w:ind w:left="0" w:leftChars="0" w:right="741" w:firstLine="560" w:firstLineChars="200"/>
        <w:jc w:val="left"/>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 xml:space="preserve"> 年预算收支安排 </w:t>
      </w:r>
      <w:r>
        <w:rPr>
          <w:rFonts w:hint="eastAsia" w:ascii="Times New Roman" w:hAnsi="Times New Roman" w:eastAsia="方正仿宋_GBK" w:cs="Times New Roman"/>
          <w:color w:val="000000"/>
          <w:sz w:val="28"/>
          <w:szCs w:val="24"/>
          <w:lang w:val="en-US" w:eastAsia="zh-CN" w:bidi="ar-SA"/>
        </w:rPr>
        <w:t>143.5</w:t>
      </w:r>
      <w:r>
        <w:rPr>
          <w:rFonts w:ascii="Times New Roman" w:hAnsi="Times New Roman" w:eastAsia="方正仿宋_GBK" w:cs="Times New Roman"/>
          <w:color w:val="000000"/>
          <w:sz w:val="28"/>
          <w:szCs w:val="24"/>
          <w:lang w:val="en-US" w:eastAsia="uk-UA" w:bidi="ar-SA"/>
        </w:rPr>
        <w:t>万元，较 202</w:t>
      </w:r>
      <w:r>
        <w:rPr>
          <w:rFonts w:hint="eastAsia" w:ascii="Times New Roman" w:hAnsi="Times New Roman" w:eastAsia="方正仿宋_GBK" w:cs="Times New Roman"/>
          <w:color w:val="000000"/>
          <w:sz w:val="28"/>
          <w:szCs w:val="24"/>
          <w:lang w:val="en-US" w:eastAsia="zh-CN" w:bidi="ar-SA"/>
        </w:rPr>
        <w:t>2</w:t>
      </w:r>
      <w:r>
        <w:rPr>
          <w:rFonts w:ascii="Times New Roman" w:hAnsi="Times New Roman" w:eastAsia="方正仿宋_GBK" w:cs="Times New Roman"/>
          <w:color w:val="000000"/>
          <w:sz w:val="28"/>
          <w:szCs w:val="24"/>
          <w:lang w:val="en-US" w:eastAsia="uk-UA" w:bidi="ar-SA"/>
        </w:rPr>
        <w:t>年预算增加</w:t>
      </w:r>
      <w:r>
        <w:rPr>
          <w:rFonts w:hint="default" w:ascii="Times New Roman" w:hAnsi="Times New Roman" w:eastAsia="方正仿宋_GBK" w:cs="Times New Roman"/>
          <w:color w:val="000000"/>
          <w:sz w:val="28"/>
          <w:szCs w:val="24"/>
          <w:lang w:val="en-US" w:eastAsia="zh-CN" w:bidi="ar-SA"/>
        </w:rPr>
        <w:t>20.12</w:t>
      </w:r>
      <w:r>
        <w:rPr>
          <w:rFonts w:ascii="Times New Roman" w:hAnsi="Times New Roman" w:eastAsia="方正仿宋_GBK" w:cs="Times New Roman"/>
          <w:color w:val="000000"/>
          <w:sz w:val="28"/>
          <w:szCs w:val="24"/>
          <w:lang w:val="en-US" w:eastAsia="uk-UA" w:bidi="ar-SA"/>
        </w:rPr>
        <w:t>万元，其中：基本支出增加</w:t>
      </w:r>
      <w:r>
        <w:rPr>
          <w:rFonts w:hint="default" w:ascii="Times New Roman" w:hAnsi="Times New Roman" w:eastAsia="方正仿宋_GBK" w:cs="Times New Roman"/>
          <w:color w:val="000000"/>
          <w:sz w:val="28"/>
          <w:szCs w:val="24"/>
          <w:lang w:val="en-US" w:eastAsia="zh-CN" w:bidi="ar-SA"/>
        </w:rPr>
        <w:t>30.12</w:t>
      </w:r>
      <w:r>
        <w:rPr>
          <w:rFonts w:ascii="Times New Roman" w:hAnsi="Times New Roman" w:eastAsia="方正仿宋_GBK" w:cs="Times New Roman"/>
          <w:color w:val="000000"/>
          <w:sz w:val="28"/>
          <w:szCs w:val="24"/>
          <w:lang w:val="en-US" w:eastAsia="uk-UA" w:bidi="ar-SA"/>
        </w:rPr>
        <w:t>万元， 主要为人员工资调整增加支出；项目支出</w:t>
      </w:r>
      <w:r>
        <w:rPr>
          <w:rFonts w:hint="eastAsia" w:ascii="Times New Roman" w:hAnsi="Times New Roman" w:eastAsia="方正仿宋_GBK" w:cs="Times New Roman"/>
          <w:color w:val="000000"/>
          <w:sz w:val="28"/>
          <w:szCs w:val="24"/>
          <w:lang w:val="en-US" w:eastAsia="zh-CN" w:bidi="ar-SA"/>
        </w:rPr>
        <w:t>减少10</w:t>
      </w:r>
      <w:r>
        <w:rPr>
          <w:rFonts w:ascii="Times New Roman" w:hAnsi="Times New Roman" w:eastAsia="方正仿宋_GBK" w:cs="Times New Roman"/>
          <w:color w:val="000000"/>
          <w:sz w:val="28"/>
          <w:szCs w:val="24"/>
          <w:lang w:val="en-US" w:eastAsia="uk-UA" w:bidi="ar-SA"/>
        </w:rPr>
        <w:t>万元，</w:t>
      </w:r>
      <w:r>
        <w:rPr>
          <w:rFonts w:hint="eastAsia" w:ascii="Times New Roman" w:hAnsi="Times New Roman" w:eastAsia="方正仿宋_GBK" w:cs="Times New Roman"/>
          <w:color w:val="000000"/>
          <w:sz w:val="28"/>
          <w:szCs w:val="24"/>
          <w:lang w:val="en-US" w:eastAsia="zh-CN" w:bidi="ar-SA"/>
        </w:rPr>
        <w:t>减少原因是根据今年具体工作实际项目个数比2022年有所减少</w:t>
      </w:r>
      <w:r>
        <w:rPr>
          <w:rFonts w:ascii="Times New Roman" w:hAnsi="Times New Roman" w:eastAsia="方正仿宋_GBK" w:cs="Times New Roman"/>
          <w:color w:val="000000"/>
          <w:sz w:val="28"/>
          <w:szCs w:val="24"/>
          <w:lang w:val="en-US" w:eastAsia="uk-UA" w:bidi="ar-SA"/>
        </w:rPr>
        <w:t>。</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left="0" w:right="0"/>
        <w:jc w:val="left"/>
        <w:rPr>
          <w:rFonts w:ascii="Times New Roman" w:hAnsi="Times New Roman" w:eastAsia="方正仿宋_GBK" w:cs="Times New Roman"/>
          <w:color w:val="000000"/>
          <w:sz w:val="28"/>
          <w:szCs w:val="24"/>
          <w:lang w:val="en-US" w:eastAsia="uk-UA" w:bidi="ar-SA"/>
        </w:rPr>
        <w:sectPr>
          <w:pgSz w:w="16840" w:h="11900" w:orient="landscape"/>
          <w:pgMar w:top="1060" w:right="0" w:bottom="940" w:left="200" w:header="0" w:footer="672" w:gutter="0"/>
          <w:cols w:space="720" w:num="1"/>
          <w:docGrid w:linePitch="0" w:charSpace="0"/>
        </w:sectPr>
      </w:pPr>
    </w:p>
    <w:p>
      <w:pPr>
        <w:spacing w:beforeAutospacing="0" w:afterAutospacing="0" w:line="500" w:lineRule="exact"/>
        <w:ind w:firstLine="560"/>
        <w:rPr>
          <w:rFonts w:eastAsia="方正仿宋_GBK"/>
          <w:color w:val="000000"/>
          <w:sz w:val="28"/>
        </w:rPr>
      </w:pPr>
    </w:p>
    <w:p>
      <w:pPr>
        <w:pStyle w:val="19"/>
      </w:pPr>
    </w:p>
    <w:p>
      <w:pPr>
        <w:spacing w:before="10" w:beforeAutospacing="0" w:after="10" w:afterAutospacing="0" w:line="360" w:lineRule="auto"/>
        <w:ind w:firstLine="640"/>
        <w:outlineLvl w:val="2"/>
      </w:pPr>
      <w:bookmarkStart w:id="11" w:name="_Toc_3_3_0000000012"/>
      <w:bookmarkEnd w:id="11"/>
      <w:r>
        <w:rPr>
          <w:rFonts w:ascii="黑体" w:hAnsi="黑体" w:eastAsia="黑体" w:cs="黑体"/>
          <w:color w:val="000000"/>
          <w:sz w:val="32"/>
        </w:rPr>
        <w:t>三、机关运行经费安排情况</w:t>
      </w:r>
    </w:p>
    <w:p>
      <w:pPr>
        <w:pStyle w:val="2"/>
        <w:snapToGrid w:val="0"/>
        <w:spacing w:before="116" w:beforeAutospacing="0" w:after="0" w:afterAutospacing="0" w:line="328" w:lineRule="auto"/>
        <w:ind w:left="0" w:leftChars="0" w:right="1034" w:firstLine="560" w:firstLineChars="200"/>
        <w:jc w:val="left"/>
        <w:rPr>
          <w:rFonts w:ascii="宋体" w:hAnsi="宋体" w:eastAsia="宋体" w:cs="宋体"/>
          <w:b w:val="0"/>
          <w:i w:val="0"/>
          <w:spacing w:val="0"/>
          <w:w w:val="90"/>
          <w:sz w:val="32"/>
        </w:rPr>
      </w:pPr>
      <w:bookmarkStart w:id="12" w:name="_bookmark7"/>
      <w:bookmarkEnd w:id="12"/>
      <w:r>
        <w:rPr>
          <w:rFonts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3</w:t>
      </w:r>
      <w:r>
        <w:rPr>
          <w:rFonts w:ascii="Times New Roman" w:hAnsi="Times New Roman" w:eastAsia="方正仿宋_GBK" w:cs="Times New Roman"/>
          <w:sz w:val="28"/>
          <w:szCs w:val="24"/>
          <w:lang w:val="en-US" w:eastAsia="uk-UA" w:bidi="ar-SA"/>
        </w:rPr>
        <w:t>年，我</w:t>
      </w:r>
      <w:r>
        <w:rPr>
          <w:rFonts w:hint="eastAsia" w:ascii="Times New Roman" w:hAnsi="Times New Roman" w:eastAsia="方正仿宋_GBK" w:cs="Times New Roman"/>
          <w:sz w:val="28"/>
          <w:szCs w:val="24"/>
          <w:lang w:val="en-US" w:eastAsia="zh-CN" w:bidi="ar-SA"/>
        </w:rPr>
        <w:t>单位</w:t>
      </w:r>
      <w:r>
        <w:rPr>
          <w:rFonts w:ascii="Times New Roman" w:hAnsi="Times New Roman" w:eastAsia="方正仿宋_GBK" w:cs="Times New Roman"/>
          <w:sz w:val="28"/>
          <w:szCs w:val="24"/>
          <w:lang w:val="en-US" w:eastAsia="uk-UA" w:bidi="ar-SA"/>
        </w:rPr>
        <w:t>运行经费共计安排</w:t>
      </w:r>
      <w:r>
        <w:rPr>
          <w:rFonts w:hint="eastAsia" w:ascii="Times New Roman" w:hAnsi="Times New Roman" w:eastAsia="方正仿宋_GBK" w:cs="Times New Roman"/>
          <w:sz w:val="28"/>
          <w:szCs w:val="24"/>
          <w:lang w:val="en-US" w:eastAsia="zh-CN" w:bidi="ar-SA"/>
        </w:rPr>
        <w:t>14.69</w:t>
      </w:r>
      <w:r>
        <w:rPr>
          <w:rFonts w:ascii="Times New Roman" w:hAnsi="Times New Roman" w:eastAsia="方正仿宋_GBK" w:cs="Times New Roman"/>
          <w:sz w:val="28"/>
          <w:szCs w:val="24"/>
          <w:lang w:val="en-US" w:eastAsia="uk-UA" w:bidi="ar-SA"/>
        </w:rPr>
        <w:t>万元，主要用于日常办公费、办公用房水电费等日常运行支出。</w:t>
      </w:r>
    </w:p>
    <w:p>
      <w:pPr>
        <w:spacing w:before="10" w:beforeAutospacing="0" w:after="10" w:afterAutospacing="0" w:line="360" w:lineRule="auto"/>
        <w:ind w:firstLine="640"/>
        <w:outlineLvl w:val="2"/>
      </w:pPr>
      <w:bookmarkStart w:id="13" w:name="_Toc_3_3_0000000013"/>
      <w:bookmarkEnd w:id="13"/>
      <w:r>
        <w:rPr>
          <w:rFonts w:ascii="黑体" w:hAnsi="黑体" w:eastAsia="黑体" w:cs="黑体"/>
          <w:color w:val="000000"/>
          <w:sz w:val="32"/>
        </w:rPr>
        <w:t>四、财政拨款“三公”经费预算情况及增减变化原因</w:t>
      </w:r>
    </w:p>
    <w:p>
      <w:pPr>
        <w:pStyle w:val="2"/>
        <w:keepNext w:val="0"/>
        <w:keepLines w:val="0"/>
        <w:pageBreakBefore w:val="0"/>
        <w:widowControl/>
        <w:kinsoku/>
        <w:wordWrap/>
        <w:overflowPunct/>
        <w:topLinePunct w:val="0"/>
        <w:autoSpaceDE/>
        <w:autoSpaceDN/>
        <w:bidi w:val="0"/>
        <w:adjustRightInd/>
        <w:snapToGrid w:val="0"/>
        <w:spacing w:beforeAutospacing="0" w:after="0" w:afterAutospacing="0" w:line="520" w:lineRule="exact"/>
        <w:ind w:left="0" w:leftChars="0" w:right="623" w:firstLine="560" w:firstLineChars="200"/>
        <w:jc w:val="left"/>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3</w:t>
      </w:r>
      <w:r>
        <w:rPr>
          <w:rFonts w:ascii="Times New Roman" w:hAnsi="Times New Roman" w:eastAsia="方正仿宋_GBK" w:cs="Times New Roman"/>
          <w:sz w:val="28"/>
          <w:szCs w:val="24"/>
          <w:lang w:val="en-US" w:eastAsia="uk-UA" w:bidi="ar-SA"/>
        </w:rPr>
        <w:t>年，我</w:t>
      </w:r>
      <w:r>
        <w:rPr>
          <w:rFonts w:hint="eastAsia" w:ascii="Times New Roman" w:hAnsi="Times New Roman" w:eastAsia="方正仿宋_GBK" w:cs="Times New Roman"/>
          <w:sz w:val="28"/>
          <w:szCs w:val="24"/>
          <w:lang w:val="en-US" w:eastAsia="zh-CN" w:bidi="ar-SA"/>
        </w:rPr>
        <w:t>单位</w:t>
      </w:r>
      <w:r>
        <w:rPr>
          <w:rFonts w:ascii="Times New Roman" w:hAnsi="Times New Roman" w:eastAsia="方正仿宋_GBK" w:cs="Times New Roman"/>
          <w:sz w:val="28"/>
          <w:szCs w:val="24"/>
          <w:lang w:val="en-US" w:eastAsia="uk-UA" w:bidi="ar-SA"/>
        </w:rPr>
        <w:t>财政拨款“三公”经费预算安排</w:t>
      </w:r>
      <w:r>
        <w:rPr>
          <w:rFonts w:hint="eastAsia" w:ascii="Times New Roman" w:hAnsi="Times New Roman" w:eastAsia="方正仿宋_GBK" w:cs="Times New Roman"/>
          <w:sz w:val="28"/>
          <w:szCs w:val="24"/>
          <w:lang w:val="en-US" w:eastAsia="zh-CN" w:bidi="ar-SA"/>
        </w:rPr>
        <w:t>3.28</w:t>
      </w:r>
      <w:r>
        <w:rPr>
          <w:rFonts w:ascii="Times New Roman" w:hAnsi="Times New Roman" w:eastAsia="方正仿宋_GBK" w:cs="Times New Roman"/>
          <w:sz w:val="28"/>
          <w:szCs w:val="24"/>
          <w:lang w:val="en-US" w:eastAsia="uk-UA" w:bidi="ar-SA"/>
        </w:rPr>
        <w:t>万元，其中因公出国（境）费0万元；公务用车购置及运维费</w:t>
      </w:r>
      <w:r>
        <w:rPr>
          <w:rFonts w:hint="eastAsia" w:ascii="Times New Roman" w:hAnsi="Times New Roman" w:eastAsia="方正仿宋_GBK" w:cs="Times New Roman"/>
          <w:sz w:val="28"/>
          <w:szCs w:val="24"/>
          <w:lang w:val="en-US" w:eastAsia="zh-CN" w:bidi="ar-SA"/>
        </w:rPr>
        <w:t>3</w:t>
      </w:r>
      <w:r>
        <w:rPr>
          <w:rFonts w:ascii="Times New Roman" w:hAnsi="Times New Roman" w:eastAsia="方正仿宋_GBK" w:cs="Times New Roman"/>
          <w:sz w:val="28"/>
          <w:szCs w:val="24"/>
          <w:lang w:val="en-US" w:eastAsia="uk-UA" w:bidi="ar-SA"/>
        </w:rPr>
        <w:t>万元（其中：公务用车购置费为0万元，公务用车运维费</w:t>
      </w:r>
      <w:r>
        <w:rPr>
          <w:rFonts w:hint="eastAsia" w:ascii="Times New Roman" w:hAnsi="Times New Roman" w:eastAsia="方正仿宋_GBK" w:cs="Times New Roman"/>
          <w:sz w:val="28"/>
          <w:szCs w:val="24"/>
          <w:lang w:val="en-US" w:eastAsia="zh-CN" w:bidi="ar-SA"/>
        </w:rPr>
        <w:t>3</w:t>
      </w:r>
      <w:r>
        <w:rPr>
          <w:rFonts w:ascii="Times New Roman" w:hAnsi="Times New Roman" w:eastAsia="方正仿宋_GBK" w:cs="Times New Roman"/>
          <w:sz w:val="28"/>
          <w:szCs w:val="24"/>
          <w:lang w:val="en-US" w:eastAsia="uk-UA" w:bidi="ar-SA"/>
        </w:rPr>
        <w:t>万元)；公务接待费0.2</w:t>
      </w:r>
      <w:r>
        <w:rPr>
          <w:rFonts w:hint="eastAsia" w:ascii="Times New Roman" w:hAnsi="Times New Roman" w:eastAsia="方正仿宋_GBK" w:cs="Times New Roman"/>
          <w:sz w:val="28"/>
          <w:szCs w:val="24"/>
          <w:lang w:val="en-US" w:eastAsia="zh-CN" w:bidi="ar-SA"/>
        </w:rPr>
        <w:t>8</w:t>
      </w:r>
      <w:r>
        <w:rPr>
          <w:rFonts w:ascii="Times New Roman" w:hAnsi="Times New Roman" w:eastAsia="方正仿宋_GBK" w:cs="Times New Roman"/>
          <w:sz w:val="28"/>
          <w:szCs w:val="24"/>
          <w:lang w:val="en-US" w:eastAsia="uk-UA" w:bidi="ar-SA"/>
        </w:rPr>
        <w:t>万元。与202</w:t>
      </w:r>
      <w:r>
        <w:rPr>
          <w:rFonts w:hint="eastAsia" w:ascii="Times New Roman" w:hAnsi="Times New Roman" w:eastAsia="方正仿宋_GBK" w:cs="Times New Roman"/>
          <w:sz w:val="28"/>
          <w:szCs w:val="24"/>
          <w:lang w:val="en-US" w:eastAsia="zh-CN" w:bidi="ar-SA"/>
        </w:rPr>
        <w:t>2</w:t>
      </w:r>
      <w:r>
        <w:rPr>
          <w:rFonts w:ascii="Times New Roman" w:hAnsi="Times New Roman" w:eastAsia="方正仿宋_GBK" w:cs="Times New Roman"/>
          <w:sz w:val="28"/>
          <w:szCs w:val="24"/>
          <w:lang w:val="en-US" w:eastAsia="uk-UA" w:bidi="ar-SA"/>
        </w:rPr>
        <w:t>年相比减</w:t>
      </w:r>
      <w:r>
        <w:rPr>
          <w:rFonts w:hint="eastAsia" w:ascii="Times New Roman" w:hAnsi="Times New Roman" w:eastAsia="方正仿宋_GBK" w:cs="Times New Roman"/>
          <w:sz w:val="28"/>
          <w:szCs w:val="24"/>
          <w:lang w:val="en-US" w:eastAsia="zh-CN" w:bidi="ar-SA"/>
        </w:rPr>
        <w:t>少</w:t>
      </w:r>
      <w:r>
        <w:rPr>
          <w:rFonts w:ascii="Times New Roman" w:hAnsi="Times New Roman" w:eastAsia="方正仿宋_GBK" w:cs="Times New Roman"/>
          <w:sz w:val="28"/>
          <w:szCs w:val="24"/>
          <w:lang w:val="en-US" w:eastAsia="uk-UA" w:bidi="ar-SA"/>
        </w:rPr>
        <w:t>0.</w:t>
      </w:r>
      <w:r>
        <w:rPr>
          <w:rFonts w:hint="eastAsia" w:ascii="Times New Roman" w:hAnsi="Times New Roman" w:eastAsia="方正仿宋_GBK" w:cs="Times New Roman"/>
          <w:sz w:val="28"/>
          <w:szCs w:val="24"/>
          <w:lang w:val="en-US" w:eastAsia="zh-CN" w:bidi="ar-SA"/>
        </w:rPr>
        <w:t>95</w:t>
      </w:r>
      <w:r>
        <w:rPr>
          <w:rFonts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减少</w:t>
      </w:r>
      <w:r>
        <w:rPr>
          <w:rFonts w:ascii="Times New Roman" w:hAnsi="Times New Roman" w:eastAsia="方正仿宋_GBK" w:cs="Times New Roman"/>
          <w:sz w:val="28"/>
          <w:szCs w:val="24"/>
          <w:lang w:val="en-US" w:eastAsia="uk-UA" w:bidi="ar-SA"/>
        </w:rPr>
        <w:t>的主要原因是：</w:t>
      </w:r>
      <w:r>
        <w:rPr>
          <w:rFonts w:hint="eastAsia" w:ascii="Times New Roman" w:hAnsi="Times New Roman" w:eastAsia="方正仿宋_GBK" w:cs="Times New Roman"/>
          <w:sz w:val="28"/>
          <w:szCs w:val="24"/>
          <w:lang w:val="en-US" w:eastAsia="zh-CN" w:bidi="ar-SA"/>
        </w:rPr>
        <w:t>根据年初预算标准核减公务用车运行维护费</w:t>
      </w:r>
      <w:r>
        <w:rPr>
          <w:rFonts w:ascii="Times New Roman" w:hAnsi="Times New Roman" w:eastAsia="方正仿宋_GBK" w:cs="Times New Roman"/>
          <w:sz w:val="28"/>
          <w:szCs w:val="24"/>
          <w:lang w:val="en-US" w:eastAsia="uk-UA" w:bidi="ar-SA"/>
        </w:rPr>
        <w:t>。</w:t>
      </w:r>
    </w:p>
    <w:p>
      <w:pPr>
        <w:pStyle w:val="2"/>
        <w:keepNext w:val="0"/>
        <w:keepLines w:val="0"/>
        <w:pageBreakBefore w:val="0"/>
        <w:widowControl/>
        <w:kinsoku/>
        <w:wordWrap/>
        <w:overflowPunct/>
        <w:topLinePunct w:val="0"/>
        <w:autoSpaceDE/>
        <w:autoSpaceDN/>
        <w:bidi w:val="0"/>
        <w:adjustRightInd/>
        <w:snapToGrid w:val="0"/>
        <w:spacing w:beforeAutospacing="0" w:after="0" w:afterAutospacing="0" w:line="520" w:lineRule="exact"/>
        <w:ind w:left="0" w:leftChars="0" w:right="0" w:firstLine="1600" w:firstLineChars="500"/>
        <w:jc w:val="left"/>
        <w:rPr>
          <w:rFonts w:ascii="宋体" w:hAnsi="宋体" w:eastAsia="宋体" w:cs="宋体"/>
          <w:b w:val="0"/>
          <w:i w:val="0"/>
          <w:spacing w:val="0"/>
          <w:w w:val="100"/>
          <w:sz w:val="32"/>
        </w:rPr>
      </w:pPr>
    </w:p>
    <w:p>
      <w:pPr>
        <w:spacing w:before="10" w:beforeAutospacing="0" w:after="10" w:afterAutospacing="0" w:line="360" w:lineRule="auto"/>
        <w:ind w:firstLine="640"/>
        <w:outlineLvl w:val="2"/>
      </w:pPr>
      <w:bookmarkStart w:id="14" w:name="_Toc_3_3_0000000014"/>
      <w:bookmarkEnd w:id="14"/>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pStyle w:val="22"/>
      </w:pPr>
      <w:r>
        <w:t>•</w:t>
      </w:r>
      <w:r>
        <w:tab/>
      </w:r>
      <w:r>
        <w:t>（一）总体绩效目标</w:t>
      </w:r>
    </w:p>
    <w:p>
      <w:pPr>
        <w:pStyle w:val="22"/>
      </w:pPr>
      <w:r>
        <w:t>•</w:t>
      </w:r>
      <w:r>
        <w:tab/>
      </w:r>
      <w:r>
        <w:t>贯彻落实统一战线的理论、政策和法律法规，向党委全面反映统一战线情况，提出开展统一战线工作的意见和建议，检查执行情况，协调统一战线各方面的关系；联系民主党派、无党派人士，贯彻做好民主党派和无党派人士工作的方针政策，支持民主党派无党派人士履行职责、发挥作用，支持、帮助民主党派和无党派人士加强自身建设；调查研究民族、宗教工作的理论、方针、政策和法律法规，做好重要工作和重大问题的处理，联系少数民族和宗教界代表人士，会同有关</w:t>
      </w:r>
      <w:r>
        <w:rPr>
          <w:rFonts w:hint="eastAsia"/>
          <w:lang w:eastAsia="zh-CN"/>
        </w:rPr>
        <w:t>单位</w:t>
      </w:r>
      <w:r>
        <w:t>做好少数民族干部的培养和举荐工作；牵头有关</w:t>
      </w:r>
      <w:r>
        <w:rPr>
          <w:rFonts w:hint="eastAsia"/>
          <w:lang w:eastAsia="zh-CN"/>
        </w:rPr>
        <w:t>单位</w:t>
      </w:r>
      <w:r>
        <w:t>做好宗教维稳、抵御境外渗透工作；开展港澳台海外统一战线工作，联系香港、澳门、台湾和海外有关党派、团体及代表人士，会同有关</w:t>
      </w:r>
      <w:r>
        <w:rPr>
          <w:rFonts w:hint="eastAsia"/>
          <w:lang w:eastAsia="zh-CN"/>
        </w:rPr>
        <w:t>单位</w:t>
      </w:r>
      <w:r>
        <w:t>对香港、澳门地区统一战线工作方针政策和法律法规进行调查研究，做好台胞、台属工作，负责党委交办的其他港澳、对台工作；调查研究非公有制经济人士的情况，协调关系，提出政策建议，团结、服务、引导、教育非公有制经济人士，开展思想政治工作。</w:t>
      </w:r>
    </w:p>
    <w:p>
      <w:pPr>
        <w:pStyle w:val="22"/>
      </w:pPr>
    </w:p>
    <w:p>
      <w:pPr>
        <w:pStyle w:val="22"/>
      </w:pPr>
      <w:r>
        <w:t>1、贯彻落实统一战线的理论、政策和法律法规，向党委全面反映统一战线情况，提出开展统一战线工作的意见和建议，检查执行情况，协调统一战线各方面的关系。</w:t>
      </w:r>
    </w:p>
    <w:p>
      <w:pPr>
        <w:pStyle w:val="22"/>
      </w:pPr>
      <w:r>
        <w:t>•</w:t>
      </w:r>
      <w:r>
        <w:tab/>
      </w:r>
      <w:r>
        <w:t>绩效目标：了解情况，掌握政策，协调关系，安排人事，增进共识，加强团结。</w:t>
      </w:r>
    </w:p>
    <w:p>
      <w:pPr>
        <w:pStyle w:val="22"/>
      </w:pPr>
      <w:r>
        <w:t>•</w:t>
      </w:r>
      <w:r>
        <w:tab/>
      </w:r>
      <w:r>
        <w:t>绩效指标：增进共识，加强团结。</w:t>
      </w:r>
    </w:p>
    <w:p>
      <w:pPr>
        <w:pStyle w:val="22"/>
      </w:pPr>
      <w:r>
        <w:t>•</w:t>
      </w:r>
      <w:r>
        <w:tab/>
      </w:r>
      <w:r>
        <w:t>2、联系民主党派、无党派人士，贯彻做好民主党派和无党派人士工作的方针政策，支持民主党派无党派人士履行职责、发挥作用，支持、帮助民主党派和无党派人士加强自身建设。</w:t>
      </w:r>
    </w:p>
    <w:p>
      <w:pPr>
        <w:pStyle w:val="22"/>
      </w:pPr>
      <w:r>
        <w:t>•</w:t>
      </w:r>
      <w:r>
        <w:tab/>
      </w:r>
      <w:r>
        <w:t>绩效目标：进一步加强中国共产党领导的多党合作和政治协商制度建设，充分发挥民主党派职能作用，构建和谐政党关系。</w:t>
      </w:r>
    </w:p>
    <w:p>
      <w:pPr>
        <w:pStyle w:val="22"/>
      </w:pPr>
      <w:r>
        <w:t>•</w:t>
      </w:r>
      <w:r>
        <w:tab/>
      </w:r>
      <w:r>
        <w:t>绩效指标：提交政协会议议案数量100%；民主党派加强自身建设协助工作完成率100%；民主党派履行职能有关支持工作完成率100%。</w:t>
      </w:r>
    </w:p>
    <w:p>
      <w:pPr>
        <w:pStyle w:val="22"/>
      </w:pPr>
      <w:r>
        <w:t>•</w:t>
      </w:r>
      <w:r>
        <w:tab/>
      </w:r>
      <w:r>
        <w:t xml:space="preserve"> 3、调查研究民族、宗教工作的理论、方针、政策和法律法规，做好重要工作和重大问题的处理，联系少数民族和宗教界代表人士，会同有关</w:t>
      </w:r>
      <w:r>
        <w:rPr>
          <w:rFonts w:hint="eastAsia"/>
          <w:lang w:eastAsia="zh-CN"/>
        </w:rPr>
        <w:t>单位</w:t>
      </w:r>
      <w:r>
        <w:t>做好少数民族干部的培养和举荐工作。</w:t>
      </w:r>
    </w:p>
    <w:p>
      <w:pPr>
        <w:pStyle w:val="22"/>
      </w:pPr>
      <w:r>
        <w:t>•</w:t>
      </w:r>
      <w:r>
        <w:tab/>
      </w:r>
      <w:r>
        <w:t>绩效目标：涉密</w:t>
      </w:r>
    </w:p>
    <w:p>
      <w:pPr>
        <w:pStyle w:val="22"/>
      </w:pPr>
      <w:r>
        <w:t>•</w:t>
      </w:r>
      <w:r>
        <w:tab/>
      </w:r>
      <w:r>
        <w:t>绩效指标：涉密</w:t>
      </w:r>
    </w:p>
    <w:p>
      <w:pPr>
        <w:pStyle w:val="22"/>
      </w:pPr>
      <w:r>
        <w:t>•</w:t>
      </w:r>
      <w:r>
        <w:tab/>
      </w:r>
      <w:r>
        <w:t>4、开展港澳台海外统一战线工作，联系香港、澳门、台湾和海外有关党派、团体及代表人士，会同有关</w:t>
      </w:r>
      <w:r>
        <w:rPr>
          <w:rFonts w:hint="eastAsia"/>
          <w:lang w:eastAsia="zh-CN"/>
        </w:rPr>
        <w:t>单位</w:t>
      </w:r>
      <w:r>
        <w:t>对香港、澳门地区统一战线工作方针政策和法律法规进行调查研究，做好台胞、台属工作，负责党委交办的其他港澳、对台工作。</w:t>
      </w:r>
    </w:p>
    <w:p>
      <w:pPr>
        <w:pStyle w:val="22"/>
      </w:pPr>
      <w:r>
        <w:t>•</w:t>
      </w:r>
      <w:r>
        <w:tab/>
      </w:r>
      <w:r>
        <w:t>绩效目标：争取人心，凝聚、壮大爱国力量，为河北的对外开放和经济社会发展做贡献，为实现祖国统一大业服务。</w:t>
      </w:r>
    </w:p>
    <w:p>
      <w:pPr>
        <w:pStyle w:val="22"/>
      </w:pPr>
      <w:r>
        <w:t>•</w:t>
      </w:r>
      <w:r>
        <w:tab/>
      </w:r>
      <w:r>
        <w:t>绩效指标：开展港澳台海外统一战线工作完成率100%；联系重点社团及代表人士工作完成率100%。</w:t>
      </w:r>
    </w:p>
    <w:p>
      <w:pPr>
        <w:pStyle w:val="22"/>
      </w:pPr>
      <w:r>
        <w:t>•</w:t>
      </w:r>
      <w:r>
        <w:tab/>
      </w:r>
      <w:r>
        <w:t xml:space="preserve"> 5、调查研究非公有制经济人士的情况，协调关系，提出政策建议，团结、服务、引导、教育非公有制经济人士，开展思想政治</w:t>
      </w:r>
    </w:p>
    <w:p>
      <w:pPr>
        <w:pStyle w:val="22"/>
      </w:pPr>
      <w:r>
        <w:t>•</w:t>
      </w:r>
      <w:r>
        <w:tab/>
      </w:r>
      <w:r>
        <w:t>绩效目标：政治引领，培养人才，建言献策，服务社会，联谊交友</w:t>
      </w:r>
    </w:p>
    <w:p>
      <w:pPr>
        <w:pStyle w:val="22"/>
      </w:pPr>
      <w:r>
        <w:t>•</w:t>
      </w:r>
      <w:r>
        <w:tab/>
      </w:r>
      <w:r>
        <w:t>绩效指标：组织新社会阶层代表人士和留学人员中代表人士开展统战工作的完成率100%。</w:t>
      </w:r>
    </w:p>
    <w:p>
      <w:pPr>
        <w:pStyle w:val="22"/>
      </w:pPr>
      <w:r>
        <w:t>•</w:t>
      </w:r>
      <w:r>
        <w:tab/>
      </w:r>
      <w:r>
        <w:t>6、调查研究党外知识分子的情况，反映意见，协调关系，提出政策建议，联系党外知识分子代表人士。</w:t>
      </w:r>
    </w:p>
    <w:p>
      <w:pPr>
        <w:pStyle w:val="22"/>
      </w:pPr>
      <w:r>
        <w:t>•</w:t>
      </w:r>
      <w:r>
        <w:tab/>
      </w:r>
      <w:r>
        <w:t>绩效目标：政治引领，培养人才，建言献策，服务社会，联谊交友。</w:t>
      </w:r>
    </w:p>
    <w:p>
      <w:pPr>
        <w:pStyle w:val="22"/>
      </w:pPr>
      <w:r>
        <w:t>•</w:t>
      </w:r>
      <w:r>
        <w:tab/>
      </w:r>
      <w:r>
        <w:t>绩效指标：组织知识分子开展统战工作的完成率100%。</w:t>
      </w:r>
    </w:p>
    <w:p>
      <w:pPr>
        <w:pStyle w:val="22"/>
      </w:pPr>
      <w:r>
        <w:t>•</w:t>
      </w:r>
      <w:r>
        <w:tab/>
      </w:r>
      <w:r>
        <w:t>7、负责党外代表人士在人大、政协安排的有关工作，做好党外代表人士和后备干部队伍建设工作，协助民主党派做好干部管理工作。</w:t>
      </w:r>
    </w:p>
    <w:p>
      <w:pPr>
        <w:pStyle w:val="22"/>
      </w:pPr>
      <w:r>
        <w:t>•</w:t>
      </w:r>
      <w:r>
        <w:tab/>
      </w:r>
      <w:r>
        <w:t>绩效目标：建设一支数量充足、结构合理、素质优良、作用突出的党外代表人士队伍。增强党外干部政治把握能力、参政议政能力、组织领导能力、合作共事能力和解决自身问题能力。</w:t>
      </w:r>
    </w:p>
    <w:p>
      <w:pPr>
        <w:pStyle w:val="22"/>
      </w:pPr>
      <w:r>
        <w:t>•</w:t>
      </w:r>
      <w:r>
        <w:tab/>
      </w:r>
      <w:r>
        <w:t>绩效指标：组织党外人士开展统战工作的完成率100%。</w:t>
      </w:r>
    </w:p>
    <w:p>
      <w:pPr>
        <w:pStyle w:val="22"/>
      </w:pPr>
      <w:r>
        <w:t>•</w:t>
      </w:r>
      <w:r>
        <w:tab/>
      </w:r>
      <w:r>
        <w:t>8、负责全区统战宣传和联络工作以及涉及统战各界人士的综合性工作；领导、指导、联系、代管相关统战单位；完成省市统战部和区委交办的其他任务。</w:t>
      </w:r>
    </w:p>
    <w:p>
      <w:pPr>
        <w:pStyle w:val="22"/>
      </w:pPr>
      <w:r>
        <w:t>•</w:t>
      </w:r>
      <w:r>
        <w:tab/>
      </w:r>
      <w:r>
        <w:t>绩效目标：做好统战宣传培训考察调研工作，提高统战工作科学化水平；密切联系统一战线各界人士，认真做好党外人士统战工作；完成省市统战部和区委交办的其他事项。</w:t>
      </w:r>
    </w:p>
    <w:p>
      <w:pPr>
        <w:pStyle w:val="22"/>
      </w:pPr>
      <w:r>
        <w:t>•</w:t>
      </w:r>
      <w:r>
        <w:tab/>
      </w:r>
      <w:r>
        <w:t>绩效指标：开展统战工作的完成率100%。</w:t>
      </w:r>
    </w:p>
    <w:p>
      <w:pPr>
        <w:pStyle w:val="23"/>
      </w:pPr>
      <w:r>
        <w:t>（二）分项绩效目标</w:t>
      </w:r>
    </w:p>
    <w:p>
      <w:pPr>
        <w:pStyle w:val="23"/>
      </w:pPr>
      <w:r>
        <w:t>1、贯彻落实统一战线的理论、政策和法律法规，向党委全面反映统一战线情况，提出开展统一战线工作的意见和建议，检查执行情况，协调统一战线各方面的关系。</w:t>
      </w:r>
    </w:p>
    <w:p>
      <w:pPr>
        <w:pStyle w:val="23"/>
      </w:pPr>
      <w:r>
        <w:t>绩效目标：了解情况，掌握政策，协调关系，安排人事，增进共识，加强团结。</w:t>
      </w:r>
    </w:p>
    <w:p>
      <w:pPr>
        <w:pStyle w:val="23"/>
      </w:pPr>
      <w:r>
        <w:t>绩效指标：增进共识，加强团结。</w:t>
      </w:r>
    </w:p>
    <w:p>
      <w:pPr>
        <w:pStyle w:val="23"/>
      </w:pPr>
      <w:r>
        <w:t>2、联系民主党派、无党派人士，贯彻做好民主党派和无党派人士工作的方针政策，支持民主党派无党派人士履行职责、发挥作用，支持、帮助民主党派和无党派人士加强自身建设。</w:t>
      </w:r>
    </w:p>
    <w:p>
      <w:pPr>
        <w:pStyle w:val="23"/>
      </w:pPr>
      <w:r>
        <w:t>绩效目标：进一步加强中国共产党领导的多党合作和政治协商制度建设，充分发挥民主党派职能作用，构建和谐政党关系。</w:t>
      </w:r>
    </w:p>
    <w:p>
      <w:pPr>
        <w:pStyle w:val="23"/>
      </w:pPr>
      <w:r>
        <w:t>绩效指标：提交政协会议议案数量100%；民主党派加强自身建设协助工作完成率100%；民主党派履行职能有关支持工作完成率100%。</w:t>
      </w:r>
    </w:p>
    <w:p>
      <w:pPr>
        <w:pStyle w:val="23"/>
      </w:pPr>
      <w:r>
        <w:t>3、调查研究民族、宗教工作的理论、方针、政策和法律法规，做好重要工作和重大问题的处理，联系少数民族和宗教界代表人士，会同有关</w:t>
      </w:r>
      <w:r>
        <w:rPr>
          <w:rFonts w:hint="eastAsia"/>
          <w:lang w:eastAsia="zh-CN"/>
        </w:rPr>
        <w:t>单位</w:t>
      </w:r>
      <w:r>
        <w:t>做好少数民族干部的培养和举荐工作。</w:t>
      </w:r>
    </w:p>
    <w:p>
      <w:pPr>
        <w:pStyle w:val="23"/>
      </w:pPr>
      <w:r>
        <w:t>绩效目标：涉密</w:t>
      </w:r>
    </w:p>
    <w:p>
      <w:pPr>
        <w:pStyle w:val="23"/>
      </w:pPr>
      <w:r>
        <w:t>绩效指标：涉密</w:t>
      </w:r>
    </w:p>
    <w:p>
      <w:pPr>
        <w:pStyle w:val="23"/>
      </w:pPr>
      <w:r>
        <w:t>4、开展港澳台海外统一战线工作，联系香港、澳门、台湾和海外有关党派、团体及代表人士，会同有关</w:t>
      </w:r>
      <w:r>
        <w:rPr>
          <w:rFonts w:hint="eastAsia"/>
          <w:lang w:eastAsia="zh-CN"/>
        </w:rPr>
        <w:t>单位</w:t>
      </w:r>
      <w:r>
        <w:t>对香港、澳门地区统一战线工作方针政策和法律法规进行调查研究，做好台胞、台属工作，负责党委交办的其他港澳、对台工作。</w:t>
      </w:r>
    </w:p>
    <w:p>
      <w:pPr>
        <w:pStyle w:val="23"/>
      </w:pPr>
      <w:r>
        <w:t>绩效目标：争取人心，凝聚、壮大爱国力量，为河北的对外开放和经济社会发展做贡献，为实现祖国统一大业服务。</w:t>
      </w:r>
    </w:p>
    <w:p>
      <w:pPr>
        <w:pStyle w:val="23"/>
      </w:pPr>
      <w:r>
        <w:t>绩效指标：开展港澳台海外统一战线工作完成率100%；联系重点社团及代表人士工作完成率100%。</w:t>
      </w:r>
    </w:p>
    <w:p>
      <w:pPr>
        <w:pStyle w:val="23"/>
      </w:pPr>
      <w:r>
        <w:t>5、调查研究非公有制经济人士的情况，协调关系，提出政策建议，团结、服务、引导、教育非公有制经济人士，开展思想政治</w:t>
      </w:r>
    </w:p>
    <w:p>
      <w:pPr>
        <w:pStyle w:val="23"/>
      </w:pPr>
      <w:r>
        <w:t>绩效目标：政治引领，培养人才，建言献策，服务社会，联谊交友</w:t>
      </w:r>
    </w:p>
    <w:p>
      <w:pPr>
        <w:pStyle w:val="23"/>
      </w:pPr>
      <w:r>
        <w:t>绩效指标：组织新社会阶层代表人士和留学人员中代表人士开展统战工作的完成率100%。</w:t>
      </w:r>
    </w:p>
    <w:p>
      <w:pPr>
        <w:pStyle w:val="23"/>
      </w:pPr>
      <w:r>
        <w:t>6、调查研究党外知识分子的情况，反映意见，协调关系，提出政策建议，联系党外知识分子代表人士。</w:t>
      </w:r>
    </w:p>
    <w:p>
      <w:pPr>
        <w:pStyle w:val="23"/>
      </w:pPr>
      <w:r>
        <w:t>•</w:t>
      </w:r>
      <w:r>
        <w:tab/>
      </w:r>
      <w:r>
        <w:t>绩效目标：政治引领，培养人才，建言献策，服务社会，联谊交友。</w:t>
      </w:r>
    </w:p>
    <w:p>
      <w:pPr>
        <w:pStyle w:val="23"/>
      </w:pPr>
      <w:r>
        <w:t>•</w:t>
      </w:r>
      <w:r>
        <w:tab/>
      </w:r>
      <w:r>
        <w:t>绩效指标：组织知识分子开展统战工作的完成率100%。</w:t>
      </w:r>
    </w:p>
    <w:p>
      <w:pPr>
        <w:pStyle w:val="23"/>
      </w:pPr>
      <w:r>
        <w:t>•</w:t>
      </w:r>
      <w:r>
        <w:tab/>
      </w:r>
      <w:r>
        <w:t>7、负责党外代表人士在人大、政协安排的有关工作，做好党外代表人士和后备干部队伍建设工作，协助民主党派做好干部管理工作。</w:t>
      </w:r>
    </w:p>
    <w:p>
      <w:pPr>
        <w:pStyle w:val="23"/>
      </w:pPr>
      <w:r>
        <w:t>•</w:t>
      </w:r>
      <w:r>
        <w:tab/>
      </w:r>
      <w:r>
        <w:t>绩效目标：建设一支数量充足、结构合理、素质优良、作用突出的党外代表人士队伍。增强党外干部政治把握能力、参政议政能力、组织领导能力、合作共事能力和解决自身问题能力。</w:t>
      </w:r>
    </w:p>
    <w:p>
      <w:pPr>
        <w:pStyle w:val="23"/>
      </w:pPr>
      <w:r>
        <w:t>•</w:t>
      </w:r>
      <w:r>
        <w:tab/>
      </w:r>
      <w:r>
        <w:t>绩效指标：组织党外人士开展统战工作的完成率100%。</w:t>
      </w:r>
    </w:p>
    <w:p>
      <w:pPr>
        <w:pStyle w:val="23"/>
      </w:pPr>
      <w:r>
        <w:t>•</w:t>
      </w:r>
      <w:r>
        <w:tab/>
      </w:r>
      <w:r>
        <w:t>8、负责全区统战宣传和联络工作以及涉及统战各界人士的综合性工作；领导、指导、联系、代管相关统战单位；完成省市统战部和区委交办的其他任务。</w:t>
      </w:r>
    </w:p>
    <w:p>
      <w:pPr>
        <w:pStyle w:val="23"/>
      </w:pPr>
      <w:r>
        <w:t>•</w:t>
      </w:r>
      <w:r>
        <w:tab/>
      </w:r>
      <w:r>
        <w:t>绩效目标：做好统战宣传培训考察调研工作，提高统战工作科学化水平；密切联系统一战线各界人士，认真做好党外人士统战工作；完成省市统战部和区委交办的其他事项。</w:t>
      </w:r>
    </w:p>
    <w:p>
      <w:pPr>
        <w:pStyle w:val="23"/>
      </w:pPr>
      <w:r>
        <w:t>•</w:t>
      </w:r>
      <w:r>
        <w:tab/>
      </w:r>
      <w:r>
        <w:t>绩效指标：开展统战工作的完成率100%。</w:t>
      </w:r>
    </w:p>
    <w:p>
      <w:pPr>
        <w:pStyle w:val="23"/>
      </w:pPr>
      <w:r>
        <w:rPr>
          <w:rFonts w:hint="eastAsia"/>
          <w:lang w:eastAsia="zh-CN"/>
        </w:rPr>
        <w:t>单位</w:t>
      </w:r>
      <w:r>
        <w:t>职责分类绩效目标情况说明：</w:t>
      </w:r>
    </w:p>
    <w:p>
      <w:pPr>
        <w:spacing w:beforeAutospacing="0" w:afterAutospacing="0" w:line="500" w:lineRule="exact"/>
        <w:ind w:firstLine="560"/>
      </w:pPr>
      <w:r>
        <w:rPr>
          <w:rFonts w:eastAsia="方正仿宋_GBK"/>
          <w:color w:val="000000"/>
          <w:sz w:val="28"/>
        </w:rPr>
        <w:t>（三）工作保障措施</w:t>
      </w:r>
    </w:p>
    <w:p>
      <w:pPr>
        <w:pStyle w:val="24"/>
      </w:pPr>
      <w:r>
        <w:t>1.抓好各界人士教育培训:举办民主党派、工商联和无党派知识分子学习班、党外干部、新社会阶层人士、宗教界人士培训班，筑牢共同新时代统一战线共同团结奋斗的思想政治基础；2.整合资源服务“双创双服”：支持党外人士继续发挥善研究、敢直言的优势，围绕区委、区政府的中心工作深入调研、建言献策，为创新创业发展和改善民生出大主意、当大参谋；3.整合统战力量服务脱贫攻坚。深入推进精准扶贫行动，广泛挖掘、宣传党外人士服务脱贫攻坚的先进典型。发挥工商联优势，与贫困户开展对接帮扶；组织民主党派成员围绕脱贫开展“双扶（扶智、扶职）”行动；4.做好民族宗教领域和谐稳定工作：全面深入持久开展民族团结进步创建活动，扎实推进民族团结进步创建常态化、社会化、制度化；切实加强爱国宗教团体政治、思想、组织、制度、教风、人才建设，帮助解决实际困难，充分发挥其桥梁纽带作用。开展宗教领域大调查，摸清底数，建立台账，动态更新；5.扎实做好宗教敏感节点和全国、省、市重大活动、重要会议等重要时间节点的防控工作，确保平稳度过；加强民族宗教领域矛盾纠纷隐患排查化解工作，重点开展天主教地下势力治理、佛道教商业化治理、防范伊斯兰教极端思想等工作，进一步强化处理涉及民族宗教因素突发事件处置能力，以法治思维、法治方式解决涉及民族宗教因素的不稳定问题，持续保持民族关系和睦、宗教关系和谐；6.服务非公有制经济“两个健康”：继续实施理想信念教育实践活动，建立年轻一代非公经济人士人才库，加强对年轻一代非公经济人士的鼓励支持和教育培养。积极搭建银企对接、政企合作等服务平台，加大对小微企业扶持力度，加强工商联和商会组织建设，提高商会“自我管理、自我服务、自我协调、自我发展”能力；7.用好台侨资源助推满城发展：发挥台办、侨联平台作用，吸引更多港澳台海外高层次团组来满对接考察。完善归国留学人员人才库，引导归国留学人员发挥积极作用，引导台湾优势产业与我区对接，助力园区发展；8.强化自身建设，激发统战工作活力:发挥党组织战斗堡垒作用，扎实推进主题教育制度化，强化对党员干部的教育、监督和管理，转变机关作风；持续抓好党风廉政建设,切实履行主体责任，坚定不移纠四风、转作风；完善党外干部工作协作机制，对党外于部进行动态跟踪管理，会同组织、教育等</w:t>
      </w:r>
      <w:r>
        <w:rPr>
          <w:rFonts w:hint="eastAsia"/>
          <w:lang w:eastAsia="zh-CN"/>
        </w:rPr>
        <w:t>单位</w:t>
      </w:r>
      <w:r>
        <w:t>物色储备了一批符合条件的党外后备人选。</w:t>
      </w:r>
    </w:p>
    <w:p>
      <w:pPr>
        <w:numPr>
          <w:ilvl w:val="0"/>
          <w:numId w:val="0"/>
        </w:numPr>
        <w:ind w:firstLine="482" w:firstLineChars="150"/>
        <w:rPr>
          <w:rFonts w:ascii="方正楷体_GBK" w:hAnsi="方正楷体_GBK" w:eastAsia="方正楷体_GBK" w:cs="方正楷体_GBK"/>
          <w:b/>
          <w:color w:val="000000"/>
          <w:sz w:val="32"/>
        </w:rPr>
      </w:pPr>
    </w:p>
    <w:p>
      <w:pPr>
        <w:numPr>
          <w:ilvl w:val="0"/>
          <w:numId w:val="0"/>
        </w:numPr>
        <w:ind w:firstLine="482" w:firstLineChars="15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第二部分  预算项目绩效目标</w:t>
      </w:r>
    </w:p>
    <w:p>
      <w:pPr>
        <w:ind w:firstLine="640"/>
        <w:rPr>
          <w:rFonts w:ascii="方正楷体_GBK" w:hAnsi="方正楷体_GBK" w:eastAsia="方正楷体_GBK" w:cs="方正楷体_GBK"/>
          <w:b/>
          <w:color w:val="000000"/>
          <w:sz w:val="32"/>
        </w:rPr>
      </w:pPr>
    </w:p>
    <w:p>
      <w:pPr>
        <w:ind w:firstLine="560"/>
      </w:pPr>
      <w:r>
        <w:rPr>
          <w:rFonts w:ascii="方正仿宋_GBK" w:hAnsi="方正仿宋_GBK" w:eastAsia="方正仿宋_GBK" w:cs="方正仿宋_GBK"/>
          <w:b/>
          <w:color w:val="000000"/>
          <w:sz w:val="28"/>
        </w:rPr>
        <w:t>1、2022年省级少数民族地区补助费 保财行【2022】1号（本级）绩效目标表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1.少数民族地区补助</w:t>
            </w:r>
          </w:p>
        </w:tc>
      </w:tr>
    </w:tbl>
    <w:p>
      <w:pPr>
        <w:spacing w:beforeAutospacing="0" w:afterAutospacing="0"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少数民族村数量</w:t>
            </w:r>
          </w:p>
        </w:tc>
        <w:tc>
          <w:tcPr>
            <w:tcW w:w="2835" w:type="dxa"/>
            <w:vAlign w:val="center"/>
          </w:tcPr>
          <w:p>
            <w:pPr>
              <w:pStyle w:val="13"/>
            </w:pPr>
            <w:r>
              <w:t>享受少数民族地区补助村</w:t>
            </w:r>
          </w:p>
        </w:tc>
        <w:tc>
          <w:tcPr>
            <w:tcW w:w="2551" w:type="dxa"/>
            <w:vAlign w:val="center"/>
          </w:tcPr>
          <w:p>
            <w:pPr>
              <w:pStyle w:val="13"/>
            </w:pPr>
            <w:r>
              <w:t>4个</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补助资金发放完成率（%）</w:t>
            </w:r>
          </w:p>
        </w:tc>
        <w:tc>
          <w:tcPr>
            <w:tcW w:w="2835" w:type="dxa"/>
            <w:vAlign w:val="center"/>
          </w:tcPr>
          <w:p>
            <w:pPr>
              <w:pStyle w:val="13"/>
            </w:pPr>
            <w:r>
              <w:t>补助资金发放完成率（%）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补助发放时间</w:t>
            </w:r>
          </w:p>
        </w:tc>
        <w:tc>
          <w:tcPr>
            <w:tcW w:w="2835" w:type="dxa"/>
            <w:vAlign w:val="center"/>
          </w:tcPr>
          <w:p>
            <w:pPr>
              <w:pStyle w:val="13"/>
            </w:pPr>
            <w:r>
              <w:t>补助发放时间</w:t>
            </w:r>
          </w:p>
        </w:tc>
        <w:tc>
          <w:tcPr>
            <w:tcW w:w="2551" w:type="dxa"/>
            <w:vAlign w:val="center"/>
          </w:tcPr>
          <w:p>
            <w:pPr>
              <w:pStyle w:val="13"/>
            </w:pPr>
            <w:r>
              <w:t>2022年底</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补助发放标准</w:t>
            </w:r>
          </w:p>
        </w:tc>
        <w:tc>
          <w:tcPr>
            <w:tcW w:w="2835" w:type="dxa"/>
            <w:vAlign w:val="center"/>
          </w:tcPr>
          <w:p>
            <w:pPr>
              <w:pStyle w:val="13"/>
            </w:pPr>
            <w:r>
              <w:t>少数民族地区补助发放标准</w:t>
            </w:r>
          </w:p>
        </w:tc>
        <w:tc>
          <w:tcPr>
            <w:tcW w:w="2551" w:type="dxa"/>
            <w:vAlign w:val="center"/>
          </w:tcPr>
          <w:p>
            <w:pPr>
              <w:pStyle w:val="13"/>
            </w:pPr>
            <w:r>
              <w:t>0.5万元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少数民族双语教育水平</w:t>
            </w:r>
          </w:p>
        </w:tc>
        <w:tc>
          <w:tcPr>
            <w:tcW w:w="2835" w:type="dxa"/>
            <w:vAlign w:val="center"/>
          </w:tcPr>
          <w:p>
            <w:pPr>
              <w:pStyle w:val="13"/>
            </w:pPr>
            <w:r>
              <w:t>少数民族双语教育水平</w:t>
            </w:r>
          </w:p>
        </w:tc>
        <w:tc>
          <w:tcPr>
            <w:tcW w:w="2551" w:type="dxa"/>
            <w:vAlign w:val="center"/>
          </w:tcPr>
          <w:p>
            <w:pPr>
              <w:pStyle w:val="13"/>
            </w:pPr>
            <w:r>
              <w:t xml:space="preserve">显著提高 </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2835" w:type="dxa"/>
            <w:vAlign w:val="center"/>
          </w:tcPr>
          <w:p>
            <w:pPr>
              <w:pStyle w:val="13"/>
            </w:pPr>
            <w:r>
              <w:t>少数民族人民满意率</w:t>
            </w:r>
          </w:p>
        </w:tc>
        <w:tc>
          <w:tcPr>
            <w:tcW w:w="2551" w:type="dxa"/>
            <w:vAlign w:val="center"/>
          </w:tcPr>
          <w:p>
            <w:pPr>
              <w:pStyle w:val="13"/>
            </w:pPr>
            <w:r>
              <w:t>100</w:t>
            </w:r>
          </w:p>
        </w:tc>
        <w:tc>
          <w:tcPr>
            <w:tcW w:w="2268" w:type="dxa"/>
            <w:vAlign w:val="center"/>
          </w:tcPr>
          <w:p>
            <w:pPr>
              <w:pStyle w:val="13"/>
            </w:pPr>
            <w:r>
              <w:t>工作需要</w:t>
            </w:r>
          </w:p>
        </w:tc>
      </w:tr>
    </w:tbl>
    <w:p>
      <w:pPr>
        <w:ind w:firstLine="560"/>
      </w:pPr>
      <w:r>
        <w:rPr>
          <w:rFonts w:hint="default" w:ascii="方正仿宋_GBK" w:hAnsi="方正仿宋_GBK" w:eastAsia="方正仿宋_GBK" w:cs="方正仿宋_GBK"/>
          <w:b/>
          <w:color w:val="000000"/>
          <w:sz w:val="28"/>
          <w:lang w:val="en-US" w:eastAsia="zh-CN"/>
        </w:rPr>
        <w:t>2</w:t>
      </w:r>
      <w:r>
        <w:rPr>
          <w:rFonts w:ascii="方正仿宋_GBK" w:hAnsi="方正仿宋_GBK" w:eastAsia="方正仿宋_GBK" w:cs="方正仿宋_GBK"/>
          <w:b/>
          <w:color w:val="000000"/>
          <w:sz w:val="28"/>
        </w:rPr>
        <w:t>、”正月十五“普度寺庙会安全防范工作经费绩效目标表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1.防范普度寺“正月十五”庙会突发事件</w:t>
            </w:r>
          </w:p>
        </w:tc>
      </w:tr>
    </w:tbl>
    <w:p>
      <w:pPr>
        <w:spacing w:beforeAutospacing="0" w:afterAutospacing="0"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rPr>
                <w:rFonts w:hint="eastAsia" w:eastAsia="方正书宋_GBK"/>
                <w:lang w:eastAsia="zh-CN"/>
              </w:rPr>
            </w:pPr>
            <w:r>
              <w:t>联合执勤</w:t>
            </w:r>
            <w:r>
              <w:rPr>
                <w:rFonts w:hint="eastAsia"/>
                <w:lang w:eastAsia="zh-CN"/>
              </w:rPr>
              <w:t>单位</w:t>
            </w:r>
          </w:p>
        </w:tc>
        <w:tc>
          <w:tcPr>
            <w:tcW w:w="2835" w:type="dxa"/>
            <w:vAlign w:val="center"/>
          </w:tcPr>
          <w:p>
            <w:pPr>
              <w:pStyle w:val="13"/>
            </w:pPr>
            <w:r>
              <w:t>联合执勤</w:t>
            </w:r>
            <w:r>
              <w:rPr>
                <w:rFonts w:hint="eastAsia"/>
                <w:lang w:eastAsia="zh-CN"/>
              </w:rPr>
              <w:t>单位</w:t>
            </w:r>
            <w:r>
              <w:t>情况</w:t>
            </w:r>
          </w:p>
        </w:tc>
        <w:tc>
          <w:tcPr>
            <w:tcW w:w="2551" w:type="dxa"/>
            <w:vAlign w:val="center"/>
          </w:tcPr>
          <w:p>
            <w:pPr>
              <w:pStyle w:val="13"/>
            </w:pPr>
            <w:r>
              <w:t>17个</w:t>
            </w:r>
          </w:p>
        </w:tc>
        <w:tc>
          <w:tcPr>
            <w:tcW w:w="2268"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执勤时间</w:t>
            </w:r>
          </w:p>
        </w:tc>
        <w:tc>
          <w:tcPr>
            <w:tcW w:w="2835" w:type="dxa"/>
            <w:vAlign w:val="center"/>
          </w:tcPr>
          <w:p>
            <w:pPr>
              <w:pStyle w:val="13"/>
            </w:pPr>
            <w:r>
              <w:t>安全防范时间</w:t>
            </w:r>
          </w:p>
        </w:tc>
        <w:tc>
          <w:tcPr>
            <w:tcW w:w="2551" w:type="dxa"/>
            <w:vAlign w:val="center"/>
          </w:tcPr>
          <w:p>
            <w:pPr>
              <w:pStyle w:val="13"/>
            </w:pPr>
            <w:r>
              <w:t>2.4日——2.5日</w:t>
            </w:r>
          </w:p>
        </w:tc>
        <w:tc>
          <w:tcPr>
            <w:tcW w:w="2268"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安全保障率</w:t>
            </w:r>
          </w:p>
        </w:tc>
        <w:tc>
          <w:tcPr>
            <w:tcW w:w="2835" w:type="dxa"/>
            <w:vAlign w:val="center"/>
          </w:tcPr>
          <w:p>
            <w:pPr>
              <w:pStyle w:val="13"/>
            </w:pPr>
            <w:r>
              <w:t>安全保障情况</w:t>
            </w:r>
          </w:p>
        </w:tc>
        <w:tc>
          <w:tcPr>
            <w:tcW w:w="2551" w:type="dxa"/>
            <w:vAlign w:val="center"/>
          </w:tcPr>
          <w:p>
            <w:pPr>
              <w:pStyle w:val="13"/>
            </w:pPr>
            <w:r>
              <w:t>100%</w:t>
            </w:r>
          </w:p>
        </w:tc>
        <w:tc>
          <w:tcPr>
            <w:tcW w:w="2268"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资金成本</w:t>
            </w:r>
          </w:p>
        </w:tc>
        <w:tc>
          <w:tcPr>
            <w:tcW w:w="2835" w:type="dxa"/>
            <w:vAlign w:val="center"/>
          </w:tcPr>
          <w:p>
            <w:pPr>
              <w:pStyle w:val="13"/>
            </w:pPr>
            <w:r>
              <w:t>资金成本</w:t>
            </w:r>
          </w:p>
        </w:tc>
        <w:tc>
          <w:tcPr>
            <w:tcW w:w="2551" w:type="dxa"/>
            <w:vAlign w:val="center"/>
          </w:tcPr>
          <w:p>
            <w:pPr>
              <w:pStyle w:val="13"/>
            </w:pPr>
            <w:r>
              <w:t>1800元</w:t>
            </w:r>
          </w:p>
        </w:tc>
        <w:tc>
          <w:tcPr>
            <w:tcW w:w="2268"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社会影响力</w:t>
            </w:r>
          </w:p>
        </w:tc>
        <w:tc>
          <w:tcPr>
            <w:tcW w:w="2835" w:type="dxa"/>
            <w:vAlign w:val="center"/>
          </w:tcPr>
          <w:p>
            <w:pPr>
              <w:pStyle w:val="13"/>
            </w:pPr>
            <w:r>
              <w:t>社会影响力</w:t>
            </w:r>
          </w:p>
        </w:tc>
        <w:tc>
          <w:tcPr>
            <w:tcW w:w="2551" w:type="dxa"/>
            <w:vAlign w:val="center"/>
          </w:tcPr>
          <w:p>
            <w:pPr>
              <w:pStyle w:val="13"/>
            </w:pPr>
            <w:r>
              <w:t>提高</w:t>
            </w:r>
          </w:p>
        </w:tc>
        <w:tc>
          <w:tcPr>
            <w:tcW w:w="2268" w:type="dxa"/>
            <w:vAlign w:val="center"/>
          </w:tcPr>
          <w:p>
            <w:pPr>
              <w:pStyle w:val="13"/>
            </w:pPr>
            <w:r>
              <w:t>工作方案</w:t>
            </w:r>
          </w:p>
        </w:tc>
      </w:tr>
    </w:tbl>
    <w:p>
      <w:pPr>
        <w:ind w:firstLine="560"/>
      </w:pPr>
      <w:r>
        <w:rPr>
          <w:rFonts w:ascii="方正仿宋_GBK" w:hAnsi="方正仿宋_GBK" w:eastAsia="方正仿宋_GBK" w:cs="方正仿宋_GBK"/>
          <w:b/>
          <w:color w:val="000000"/>
          <w:sz w:val="28"/>
        </w:rPr>
        <w:t>3、智慧统战系统费用绩效目标表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1.建设智慧统战系统，覆盖11个乡镇，与所有宗教场所监控系统连接。</w:t>
            </w:r>
          </w:p>
        </w:tc>
      </w:tr>
    </w:tbl>
    <w:p>
      <w:pPr>
        <w:spacing w:beforeAutospacing="0" w:afterAutospacing="0"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智慧统战数量</w:t>
            </w:r>
          </w:p>
        </w:tc>
        <w:tc>
          <w:tcPr>
            <w:tcW w:w="2835" w:type="dxa"/>
            <w:vAlign w:val="center"/>
          </w:tcPr>
          <w:p>
            <w:pPr>
              <w:pStyle w:val="13"/>
            </w:pPr>
            <w:r>
              <w:t>建设智慧统战系统数量</w:t>
            </w:r>
            <w:r>
              <w:tab/>
            </w:r>
          </w:p>
          <w:p>
            <w:pPr>
              <w:pStyle w:val="13"/>
            </w:pPr>
          </w:p>
        </w:tc>
        <w:tc>
          <w:tcPr>
            <w:tcW w:w="2551" w:type="dxa"/>
            <w:vAlign w:val="center"/>
          </w:tcPr>
          <w:p>
            <w:pPr>
              <w:pStyle w:val="13"/>
            </w:pPr>
            <w:r>
              <w:t>10个</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配套设施验收合格率（%）</w:t>
            </w:r>
          </w:p>
        </w:tc>
        <w:tc>
          <w:tcPr>
            <w:tcW w:w="2835" w:type="dxa"/>
            <w:vAlign w:val="center"/>
          </w:tcPr>
          <w:p>
            <w:pPr>
              <w:pStyle w:val="13"/>
            </w:pPr>
            <w:r>
              <w:t>建设智慧统战系统</w:t>
            </w:r>
            <w:r>
              <w:tab/>
            </w:r>
          </w:p>
          <w:p>
            <w:pPr>
              <w:pStyle w:val="13"/>
            </w:pPr>
            <w:r>
              <w:t>配套设施验收合格率（%）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工程完成时间</w:t>
            </w:r>
          </w:p>
        </w:tc>
        <w:tc>
          <w:tcPr>
            <w:tcW w:w="2835" w:type="dxa"/>
            <w:vAlign w:val="center"/>
          </w:tcPr>
          <w:p>
            <w:pPr>
              <w:pStyle w:val="13"/>
            </w:pPr>
            <w:r>
              <w:t>建设智慧统战系统</w:t>
            </w:r>
            <w:r>
              <w:tab/>
            </w:r>
          </w:p>
          <w:p>
            <w:pPr>
              <w:pStyle w:val="13"/>
            </w:pPr>
            <w:r>
              <w:t>工程完成时间</w:t>
            </w:r>
          </w:p>
        </w:tc>
        <w:tc>
          <w:tcPr>
            <w:tcW w:w="2551" w:type="dxa"/>
            <w:vAlign w:val="center"/>
          </w:tcPr>
          <w:p>
            <w:pPr>
              <w:pStyle w:val="13"/>
            </w:pPr>
            <w:r>
              <w:t>11月底</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完成工作需要费用成本</w:t>
            </w:r>
          </w:p>
        </w:tc>
        <w:tc>
          <w:tcPr>
            <w:tcW w:w="2835" w:type="dxa"/>
            <w:vAlign w:val="center"/>
          </w:tcPr>
          <w:p>
            <w:pPr>
              <w:pStyle w:val="13"/>
            </w:pPr>
            <w:r>
              <w:t>建设智慧统战系统所需</w:t>
            </w:r>
            <w:r>
              <w:tab/>
            </w:r>
          </w:p>
          <w:p>
            <w:pPr>
              <w:pStyle w:val="13"/>
            </w:pPr>
            <w:r>
              <w:t>费用成本</w:t>
            </w:r>
          </w:p>
        </w:tc>
        <w:tc>
          <w:tcPr>
            <w:tcW w:w="2551" w:type="dxa"/>
            <w:vAlign w:val="center"/>
          </w:tcPr>
          <w:p>
            <w:pPr>
              <w:pStyle w:val="13"/>
            </w:pPr>
            <w:r>
              <w:t>1万元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对区域社区影响</w:t>
            </w:r>
          </w:p>
        </w:tc>
        <w:tc>
          <w:tcPr>
            <w:tcW w:w="2835" w:type="dxa"/>
            <w:vAlign w:val="center"/>
          </w:tcPr>
          <w:p>
            <w:pPr>
              <w:pStyle w:val="13"/>
            </w:pPr>
            <w:r>
              <w:t>对区域社区影响</w:t>
            </w:r>
          </w:p>
        </w:tc>
        <w:tc>
          <w:tcPr>
            <w:tcW w:w="2551" w:type="dxa"/>
            <w:vAlign w:val="center"/>
          </w:tcPr>
          <w:p>
            <w:pPr>
              <w:pStyle w:val="13"/>
            </w:pPr>
            <w:r>
              <w:t>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工作人员满意度</w:t>
            </w:r>
          </w:p>
        </w:tc>
        <w:tc>
          <w:tcPr>
            <w:tcW w:w="2835" w:type="dxa"/>
            <w:vAlign w:val="center"/>
          </w:tcPr>
          <w:p>
            <w:pPr>
              <w:pStyle w:val="13"/>
            </w:pPr>
            <w:r>
              <w:t>工作人员满意度</w:t>
            </w:r>
          </w:p>
        </w:tc>
        <w:tc>
          <w:tcPr>
            <w:tcW w:w="2551" w:type="dxa"/>
            <w:vAlign w:val="center"/>
          </w:tcPr>
          <w:p>
            <w:pPr>
              <w:pStyle w:val="13"/>
            </w:pPr>
            <w:r>
              <w:t>100%</w:t>
            </w:r>
          </w:p>
        </w:tc>
        <w:tc>
          <w:tcPr>
            <w:tcW w:w="2268" w:type="dxa"/>
            <w:vAlign w:val="center"/>
          </w:tcPr>
          <w:p>
            <w:pPr>
              <w:pStyle w:val="13"/>
            </w:pPr>
            <w:r>
              <w:t>工作需要</w:t>
            </w:r>
          </w:p>
        </w:tc>
      </w:tr>
    </w:tbl>
    <w:p>
      <w:pPr>
        <w:spacing w:before="10" w:beforeAutospacing="0" w:after="10" w:afterAutospacing="0"/>
        <w:ind w:firstLine="640"/>
        <w:outlineLvl w:val="2"/>
      </w:pPr>
      <w:bookmarkStart w:id="15" w:name="_Toc_3_3_0000000015"/>
      <w:bookmarkEnd w:id="15"/>
      <w:r>
        <w:rPr>
          <w:rFonts w:ascii="黑体" w:hAnsi="黑体" w:eastAsia="黑体" w:cs="黑体"/>
          <w:color w:val="000000"/>
          <w:sz w:val="32"/>
        </w:rPr>
        <w:t>六、政府采购预算情况</w:t>
      </w:r>
    </w:p>
    <w:p>
      <w:pPr>
        <w:spacing w:beforeAutospacing="0" w:afterAutospacing="0" w:line="500" w:lineRule="exact"/>
        <w:ind w:firstLine="560"/>
      </w:pPr>
      <w:r>
        <w:rPr>
          <w:rFonts w:eastAsia="方正仿宋_GBK"/>
          <w:color w:val="000000"/>
          <w:sz w:val="28"/>
        </w:rPr>
        <w:t>2023年，中共保定市满城区委统战部安排政府采购预算0.00万元。具体内容见下表。</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5"/>
        <w:tblW w:w="1434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60"/>
        <w:gridCol w:w="855"/>
        <w:gridCol w:w="885"/>
        <w:gridCol w:w="861"/>
        <w:gridCol w:w="709"/>
        <w:gridCol w:w="850"/>
        <w:gridCol w:w="850"/>
        <w:gridCol w:w="825"/>
        <w:gridCol w:w="1103"/>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5670" w:type="dxa"/>
            <w:gridSpan w:val="7"/>
            <w:tcBorders>
              <w:top w:val="single" w:color="FFFFFF" w:sz="6" w:space="0"/>
              <w:left w:val="single" w:color="FFFFFF" w:sz="6" w:space="0"/>
              <w:right w:val="single" w:color="FFFFFF" w:sz="6" w:space="0"/>
            </w:tcBorders>
            <w:vAlign w:val="center"/>
          </w:tcPr>
          <w:p>
            <w:pPr>
              <w:pStyle w:val="10"/>
              <w:rPr>
                <w:rFonts w:hint="eastAsia" w:eastAsia="方正小标宋_GBK"/>
                <w:lang w:val="en-US" w:eastAsia="zh-CN"/>
              </w:rPr>
            </w:pPr>
            <w:r>
              <w:t>213001中共保定市满城区委统战部</w:t>
            </w:r>
            <w:r>
              <w:rPr>
                <w:rFonts w:hint="eastAsia"/>
                <w:lang w:val="en-US" w:eastAsia="zh-CN"/>
              </w:rPr>
              <w:t>本级</w:t>
            </w:r>
          </w:p>
        </w:tc>
        <w:tc>
          <w:tcPr>
            <w:tcW w:w="8676" w:type="dxa"/>
            <w:gridSpan w:val="9"/>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515" w:type="dxa"/>
            <w:gridSpan w:val="2"/>
            <w:vAlign w:val="center"/>
          </w:tcPr>
          <w:p>
            <w:pPr>
              <w:pStyle w:val="11"/>
            </w:pPr>
            <w:r>
              <w:t>政府采购项目来源</w:t>
            </w:r>
          </w:p>
        </w:tc>
        <w:tc>
          <w:tcPr>
            <w:tcW w:w="885" w:type="dxa"/>
            <w:vMerge w:val="restart"/>
            <w:vAlign w:val="center"/>
          </w:tcPr>
          <w:p>
            <w:pPr>
              <w:pStyle w:val="11"/>
            </w:pPr>
            <w:r>
              <w:t>采购物品名称</w:t>
            </w:r>
          </w:p>
        </w:tc>
        <w:tc>
          <w:tcPr>
            <w:tcW w:w="861"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7712" w:type="dxa"/>
            <w:gridSpan w:val="8"/>
            <w:vAlign w:val="center"/>
          </w:tcPr>
          <w:p>
            <w:pPr>
              <w:pStyle w:val="11"/>
            </w:pPr>
            <w:r>
              <w:t>政府采购金额（当年</w:t>
            </w:r>
            <w:r>
              <w:rPr>
                <w:rFonts w:hint="eastAsia"/>
                <w:lang w:eastAsia="zh-CN"/>
              </w:rPr>
              <w:t>单位</w:t>
            </w:r>
            <w:r>
              <w:t>预算安排资金）</w:t>
            </w:r>
          </w:p>
        </w:tc>
        <w:tc>
          <w:tcPr>
            <w:tcW w:w="964" w:type="dxa"/>
            <w:vMerge w:val="restart"/>
            <w:vAlign w:val="center"/>
          </w:tcPr>
          <w:p>
            <w:pPr>
              <w:pStyle w:val="11"/>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60" w:type="dxa"/>
            <w:vAlign w:val="center"/>
          </w:tcPr>
          <w:p>
            <w:pPr>
              <w:pStyle w:val="11"/>
            </w:pPr>
            <w:r>
              <w:t>项目名称</w:t>
            </w:r>
          </w:p>
        </w:tc>
        <w:tc>
          <w:tcPr>
            <w:tcW w:w="855" w:type="dxa"/>
            <w:vAlign w:val="center"/>
          </w:tcPr>
          <w:p>
            <w:pPr>
              <w:pStyle w:val="11"/>
            </w:pPr>
            <w:r>
              <w:t>预算    资金</w:t>
            </w:r>
          </w:p>
        </w:tc>
        <w:tc>
          <w:tcPr>
            <w:tcW w:w="885" w:type="dxa"/>
            <w:vMerge w:val="continue"/>
          </w:tcPr>
          <w:p/>
        </w:tc>
        <w:tc>
          <w:tcPr>
            <w:tcW w:w="861" w:type="dxa"/>
            <w:vMerge w:val="continue"/>
          </w:tcPr>
          <w:p/>
        </w:tc>
        <w:tc>
          <w:tcPr>
            <w:tcW w:w="709" w:type="dxa"/>
            <w:vMerge w:val="continue"/>
          </w:tcPr>
          <w:p/>
        </w:tc>
        <w:tc>
          <w:tcPr>
            <w:tcW w:w="850" w:type="dxa"/>
            <w:vMerge w:val="continue"/>
          </w:tcPr>
          <w:p/>
        </w:tc>
        <w:tc>
          <w:tcPr>
            <w:tcW w:w="850" w:type="dxa"/>
            <w:vMerge w:val="continue"/>
          </w:tcPr>
          <w:p/>
        </w:tc>
        <w:tc>
          <w:tcPr>
            <w:tcW w:w="825" w:type="dxa"/>
            <w:vAlign w:val="center"/>
          </w:tcPr>
          <w:p>
            <w:pPr>
              <w:pStyle w:val="11"/>
            </w:pPr>
            <w:r>
              <w:t>合计</w:t>
            </w:r>
          </w:p>
        </w:tc>
        <w:tc>
          <w:tcPr>
            <w:tcW w:w="1103"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财政拨    款结转</w:t>
            </w:r>
          </w:p>
        </w:tc>
        <w:tc>
          <w:tcPr>
            <w:tcW w:w="964" w:type="dxa"/>
            <w:vAlign w:val="center"/>
          </w:tcPr>
          <w:p>
            <w:pPr>
              <w:pStyle w:val="1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660" w:type="dxa"/>
            <w:vAlign w:val="center"/>
          </w:tcPr>
          <w:p>
            <w:pPr>
              <w:pStyle w:val="13"/>
            </w:pPr>
          </w:p>
        </w:tc>
        <w:tc>
          <w:tcPr>
            <w:tcW w:w="855" w:type="dxa"/>
            <w:vAlign w:val="center"/>
          </w:tcPr>
          <w:p>
            <w:pPr>
              <w:pStyle w:val="12"/>
            </w:pPr>
          </w:p>
        </w:tc>
        <w:tc>
          <w:tcPr>
            <w:tcW w:w="885" w:type="dxa"/>
            <w:vAlign w:val="center"/>
          </w:tcPr>
          <w:p>
            <w:pPr>
              <w:pStyle w:val="13"/>
            </w:pPr>
          </w:p>
        </w:tc>
        <w:tc>
          <w:tcPr>
            <w:tcW w:w="861"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825" w:type="dxa"/>
            <w:vAlign w:val="center"/>
          </w:tcPr>
          <w:p>
            <w:pPr>
              <w:pStyle w:val="12"/>
            </w:pPr>
          </w:p>
        </w:tc>
        <w:tc>
          <w:tcPr>
            <w:tcW w:w="1103"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ind w:firstLine="420"/>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我单位无</w:t>
      </w:r>
      <w:r>
        <w:rPr>
          <w:rFonts w:ascii="方正书宋_GBK" w:hAnsi="方正书宋_GBK" w:eastAsia="方正书宋_GBK" w:cs="方正书宋_GBK"/>
          <w:color w:val="000000"/>
          <w:sz w:val="21"/>
        </w:rPr>
        <w:t>无政府采购预算，空表列示。</w:t>
      </w:r>
    </w:p>
    <w:p>
      <w:pPr>
        <w:ind w:firstLine="640"/>
      </w:pPr>
    </w:p>
    <w:p>
      <w:pPr>
        <w:spacing w:before="10" w:beforeAutospacing="0" w:after="10" w:afterAutospacing="0"/>
        <w:ind w:firstLine="640"/>
        <w:outlineLvl w:val="2"/>
      </w:pPr>
      <w:bookmarkStart w:id="16" w:name="_Toc_3_3_0000000016"/>
      <w:bookmarkEnd w:id="16"/>
      <w:r>
        <w:rPr>
          <w:rFonts w:ascii="黑体" w:hAnsi="黑体" w:eastAsia="黑体" w:cs="黑体"/>
          <w:color w:val="000000"/>
          <w:sz w:val="32"/>
        </w:rPr>
        <w:t>七、国有资产信息</w:t>
      </w:r>
    </w:p>
    <w:p>
      <w:pPr>
        <w:spacing w:beforeAutospacing="0" w:afterAutospacing="0" w:line="500" w:lineRule="exact"/>
        <w:ind w:firstLine="560"/>
      </w:pPr>
      <w:r>
        <w:rPr>
          <w:rFonts w:eastAsia="方正仿宋_GBK"/>
          <w:color w:val="000000"/>
          <w:sz w:val="28"/>
        </w:rPr>
        <w:t>中共保定市满城区委统战部上年末固定资产金额为</w:t>
      </w:r>
      <w:r>
        <w:rPr>
          <w:rFonts w:hint="eastAsia" w:eastAsia="方正仿宋_GBK"/>
          <w:color w:val="000000"/>
          <w:sz w:val="28"/>
          <w:lang w:val="en-US" w:eastAsia="zh-CN"/>
        </w:rPr>
        <w:t>26.29</w:t>
      </w:r>
      <w:r>
        <w:rPr>
          <w:rFonts w:eastAsia="方正仿宋_GBK"/>
          <w:color w:val="000000"/>
          <w:sz w:val="28"/>
        </w:rPr>
        <w:t>万元（详见下表）。本年度</w:t>
      </w:r>
      <w:r>
        <w:rPr>
          <w:rFonts w:hint="eastAsia" w:eastAsia="方正仿宋_GBK"/>
          <w:color w:val="000000"/>
          <w:sz w:val="28"/>
          <w:lang w:eastAsia="zh-CN"/>
        </w:rPr>
        <w:t>无</w:t>
      </w:r>
      <w:r>
        <w:rPr>
          <w:rFonts w:eastAsia="方正仿宋_GBK"/>
          <w:color w:val="000000"/>
          <w:sz w:val="28"/>
        </w:rPr>
        <w:t>拟购置固定资</w:t>
      </w:r>
      <w:r>
        <w:rPr>
          <w:rFonts w:hint="eastAsia" w:eastAsia="方正仿宋_GBK"/>
          <w:color w:val="000000"/>
          <w:sz w:val="28"/>
          <w:lang w:eastAsia="zh-CN"/>
        </w:rPr>
        <w:t>产计划</w:t>
      </w:r>
      <w:r>
        <w:rPr>
          <w:rFonts w:eastAsia="方正仿宋_GBK"/>
          <w:color w:val="000000"/>
          <w:sz w:val="28"/>
        </w:rPr>
        <w:t>。</w:t>
      </w:r>
    </w:p>
    <w:p>
      <w:pPr>
        <w:pStyle w:val="2"/>
        <w:snapToGrid w:val="0"/>
        <w:spacing w:before="197" w:beforeAutospacing="0" w:after="0" w:afterAutospacing="0" w:line="355" w:lineRule="auto"/>
        <w:ind w:left="5135" w:right="-44" w:hanging="3377"/>
        <w:jc w:val="center"/>
        <w:rPr>
          <w:rFonts w:ascii="宋体" w:hAnsi="宋体" w:eastAsia="宋体" w:cs="宋体"/>
          <w:b w:val="0"/>
          <w:i w:val="0"/>
          <w:spacing w:val="0"/>
          <w:w w:val="100"/>
          <w:sz w:val="32"/>
        </w:rPr>
      </w:pPr>
      <w:r>
        <w:rPr>
          <w:rFonts w:ascii="宋体" w:hAnsi="宋体" w:eastAsia="宋体" w:cs="宋体"/>
          <w:b w:val="0"/>
          <w:i w:val="0"/>
          <w:spacing w:val="0"/>
          <w:w w:val="100"/>
          <w:sz w:val="32"/>
        </w:rPr>
        <w:t>中共保定市满城区委统战部固定资产占用情况表</w:t>
      </w:r>
    </w:p>
    <w:p>
      <w:pPr>
        <w:pStyle w:val="2"/>
        <w:snapToGrid w:val="0"/>
        <w:spacing w:before="1" w:beforeAutospacing="0" w:after="0" w:afterAutospacing="0" w:line="240" w:lineRule="auto"/>
        <w:ind w:left="0" w:leftChars="0" w:right="0" w:firstLine="360" w:firstLineChars="150"/>
        <w:jc w:val="left"/>
        <w:rPr>
          <w:rFonts w:ascii="宋体" w:hAnsi="宋体" w:eastAsia="宋体" w:cs="宋体"/>
          <w:b w:val="0"/>
          <w:i w:val="0"/>
          <w:spacing w:val="0"/>
          <w:w w:val="100"/>
          <w:sz w:val="32"/>
        </w:rPr>
      </w:pPr>
      <w:r>
        <w:rPr>
          <w:rFonts w:ascii="方正小标宋_GBK" w:hAnsi="方正小标宋_GBK" w:eastAsia="方正小标宋_GBK" w:cs="方正小标宋_GBK"/>
          <w:sz w:val="24"/>
          <w:szCs w:val="24"/>
          <w:lang w:val="en-US" w:eastAsia="uk-UA" w:bidi="ar-SA"/>
        </w:rPr>
        <w:t>213001中共保定市满城区委统战部</w:t>
      </w:r>
      <w:r>
        <w:rPr>
          <w:rFonts w:hint="eastAsia" w:ascii="方正小标宋_GBK" w:hAnsi="方正小标宋_GBK" w:eastAsia="方正小标宋_GBK" w:cs="方正小标宋_GBK"/>
          <w:sz w:val="24"/>
          <w:szCs w:val="24"/>
          <w:lang w:val="en-US" w:eastAsia="zh-CN" w:bidi="ar-SA"/>
        </w:rPr>
        <w:t>本级</w:t>
      </w:r>
      <w:r>
        <w:rPr>
          <w:rFonts w:hint="default"/>
          <w:lang w:val="en-US"/>
        </w:rPr>
        <w:t xml:space="preserve">                                             </w:t>
      </w:r>
      <w:r>
        <w:rPr>
          <w:rFonts w:ascii="宋体" w:hAnsi="宋体" w:eastAsia="宋体" w:cs="宋体"/>
          <w:b w:val="0"/>
          <w:i w:val="0"/>
          <w:spacing w:val="0"/>
          <w:w w:val="90"/>
          <w:sz w:val="32"/>
        </w:rPr>
        <w:t>截止时间：202</w:t>
      </w:r>
      <w:r>
        <w:rPr>
          <w:rFonts w:hint="eastAsia" w:cs="宋体"/>
          <w:b w:val="0"/>
          <w:i w:val="0"/>
          <w:spacing w:val="0"/>
          <w:w w:val="90"/>
          <w:sz w:val="32"/>
          <w:lang w:val="en-US" w:eastAsia="zh-CN"/>
        </w:rPr>
        <w:t>2</w:t>
      </w:r>
      <w:r>
        <w:rPr>
          <w:rFonts w:ascii="宋体" w:hAnsi="宋体" w:eastAsia="宋体" w:cs="宋体"/>
          <w:b w:val="0"/>
          <w:i w:val="0"/>
          <w:spacing w:val="0"/>
          <w:w w:val="90"/>
          <w:sz w:val="32"/>
        </w:rPr>
        <w:t>年12月31日</w:t>
      </w:r>
    </w:p>
    <w:p>
      <w:pPr>
        <w:pStyle w:val="2"/>
        <w:snapToGrid w:val="0"/>
        <w:spacing w:before="1" w:beforeAutospacing="0" w:after="1" w:afterAutospacing="0" w:line="240" w:lineRule="auto"/>
        <w:ind w:left="0" w:right="0"/>
        <w:jc w:val="left"/>
        <w:rPr>
          <w:rFonts w:ascii="宋体" w:hAnsi="宋体" w:eastAsia="宋体" w:cs="宋体"/>
          <w:b w:val="0"/>
          <w:i w:val="0"/>
          <w:spacing w:val="0"/>
          <w:w w:val="100"/>
          <w:sz w:val="19"/>
        </w:rPr>
      </w:pPr>
    </w:p>
    <w:tbl>
      <w:tblPr>
        <w:tblStyle w:val="5"/>
        <w:tblW w:w="0" w:type="auto"/>
        <w:tblInd w:w="19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880"/>
        <w:gridCol w:w="4275"/>
        <w:gridCol w:w="44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880" w:type="dxa"/>
          </w:tcPr>
          <w:p>
            <w:pPr>
              <w:pStyle w:val="36"/>
              <w:tabs>
                <w:tab w:val="left" w:pos="537"/>
              </w:tabs>
              <w:snapToGrid w:val="0"/>
              <w:spacing w:before="0" w:beforeAutospacing="0" w:after="0" w:afterAutospacing="0" w:line="340" w:lineRule="exact"/>
              <w:ind w:left="19" w:right="0"/>
              <w:jc w:val="center"/>
              <w:rPr>
                <w:rFonts w:hint="eastAsia" w:ascii="微软雅黑" w:eastAsia="微软雅黑"/>
                <w:b/>
                <w:i w:val="0"/>
                <w:spacing w:val="0"/>
                <w:w w:val="100"/>
                <w:sz w:val="21"/>
              </w:rPr>
            </w:pPr>
            <w:r>
              <w:rPr>
                <w:rFonts w:hint="eastAsia" w:ascii="微软雅黑" w:eastAsia="微软雅黑"/>
                <w:b/>
                <w:i w:val="0"/>
                <w:spacing w:val="0"/>
                <w:w w:val="100"/>
                <w:sz w:val="21"/>
              </w:rPr>
              <w:t>项</w:t>
            </w:r>
            <w:r>
              <w:rPr>
                <w:rFonts w:hint="eastAsia" w:ascii="微软雅黑" w:eastAsia="微软雅黑"/>
                <w:b/>
                <w:i w:val="0"/>
                <w:spacing w:val="0"/>
                <w:w w:val="100"/>
                <w:sz w:val="21"/>
              </w:rPr>
              <w:tab/>
            </w:r>
            <w:r>
              <w:rPr>
                <w:rFonts w:hint="eastAsia" w:ascii="微软雅黑" w:eastAsia="微软雅黑"/>
                <w:b/>
                <w:i w:val="0"/>
                <w:spacing w:val="0"/>
                <w:w w:val="100"/>
                <w:sz w:val="21"/>
              </w:rPr>
              <w:t>目</w:t>
            </w:r>
          </w:p>
        </w:tc>
        <w:tc>
          <w:tcPr>
            <w:tcW w:w="4275" w:type="dxa"/>
          </w:tcPr>
          <w:p>
            <w:pPr>
              <w:pStyle w:val="36"/>
              <w:snapToGrid w:val="0"/>
              <w:spacing w:before="0" w:beforeAutospacing="0" w:after="0" w:afterAutospacing="0" w:line="340" w:lineRule="exact"/>
              <w:ind w:left="1188" w:right="1172"/>
              <w:jc w:val="center"/>
              <w:rPr>
                <w:rFonts w:hint="eastAsia" w:ascii="微软雅黑" w:eastAsia="微软雅黑"/>
                <w:b/>
                <w:i w:val="0"/>
                <w:spacing w:val="0"/>
                <w:w w:val="100"/>
                <w:sz w:val="21"/>
              </w:rPr>
            </w:pPr>
            <w:r>
              <w:rPr>
                <w:rFonts w:hint="eastAsia" w:ascii="微软雅黑" w:eastAsia="微软雅黑"/>
                <w:b/>
                <w:i w:val="0"/>
                <w:spacing w:val="0"/>
                <w:w w:val="100"/>
                <w:sz w:val="21"/>
              </w:rPr>
              <w:t>数量</w:t>
            </w:r>
          </w:p>
        </w:tc>
        <w:tc>
          <w:tcPr>
            <w:tcW w:w="4411" w:type="dxa"/>
          </w:tcPr>
          <w:p>
            <w:pPr>
              <w:pStyle w:val="36"/>
              <w:snapToGrid w:val="0"/>
              <w:spacing w:before="0" w:beforeAutospacing="0" w:after="0" w:afterAutospacing="0" w:line="340" w:lineRule="exact"/>
              <w:ind w:left="265" w:right="0"/>
              <w:jc w:val="left"/>
              <w:rPr>
                <w:rFonts w:hint="eastAsia" w:ascii="微软雅黑" w:eastAsia="微软雅黑"/>
                <w:b/>
                <w:i w:val="0"/>
                <w:spacing w:val="0"/>
                <w:w w:val="100"/>
                <w:sz w:val="21"/>
              </w:rPr>
            </w:pPr>
            <w:r>
              <w:rPr>
                <w:rFonts w:hint="eastAsia" w:ascii="微软雅黑" w:eastAsia="微软雅黑"/>
                <w:b/>
                <w:i w:val="0"/>
                <w:spacing w:val="0"/>
                <w:w w:val="100"/>
                <w:sz w:val="21"/>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880" w:type="dxa"/>
          </w:tcPr>
          <w:p>
            <w:pPr>
              <w:pStyle w:val="36"/>
              <w:snapToGrid w:val="0"/>
              <w:spacing w:before="63" w:beforeAutospacing="0" w:after="0" w:afterAutospacing="0" w:line="240" w:lineRule="auto"/>
              <w:ind w:left="114" w:right="0"/>
              <w:jc w:val="left"/>
              <w:rPr>
                <w:rFonts w:hint="eastAsia" w:ascii="宋体" w:eastAsia="宋体"/>
                <w:b w:val="0"/>
                <w:i w:val="0"/>
                <w:spacing w:val="0"/>
                <w:w w:val="100"/>
                <w:sz w:val="21"/>
              </w:rPr>
            </w:pPr>
            <w:r>
              <w:rPr>
                <w:rFonts w:hint="eastAsia" w:ascii="宋体" w:eastAsia="宋体"/>
                <w:b w:val="0"/>
                <w:i w:val="0"/>
                <w:spacing w:val="0"/>
                <w:w w:val="100"/>
                <w:sz w:val="21"/>
                <w:lang w:eastAsia="zh-CN"/>
              </w:rPr>
              <w:t>固定</w:t>
            </w:r>
            <w:r>
              <w:rPr>
                <w:rFonts w:hint="eastAsia" w:ascii="宋体" w:eastAsia="宋体"/>
                <w:b w:val="0"/>
                <w:i w:val="0"/>
                <w:spacing w:val="0"/>
                <w:w w:val="100"/>
                <w:sz w:val="21"/>
              </w:rPr>
              <w:t>资产总额</w:t>
            </w:r>
          </w:p>
        </w:tc>
        <w:tc>
          <w:tcPr>
            <w:tcW w:w="4275" w:type="dxa"/>
          </w:tcPr>
          <w:p>
            <w:pPr>
              <w:pStyle w:val="36"/>
              <w:snapToGrid w:val="0"/>
              <w:spacing w:before="0" w:beforeAutospacing="0" w:after="0" w:afterAutospacing="0" w:line="240" w:lineRule="auto"/>
              <w:ind w:left="0" w:right="0"/>
              <w:jc w:val="left"/>
              <w:rPr>
                <w:rFonts w:ascii="Times New Roman"/>
                <w:b w:val="0"/>
                <w:i w:val="0"/>
                <w:spacing w:val="0"/>
                <w:w w:val="100"/>
                <w:sz w:val="24"/>
              </w:rPr>
            </w:pPr>
          </w:p>
        </w:tc>
        <w:tc>
          <w:tcPr>
            <w:tcW w:w="4411" w:type="dxa"/>
          </w:tcPr>
          <w:p>
            <w:pPr>
              <w:pStyle w:val="36"/>
              <w:snapToGrid w:val="0"/>
              <w:spacing w:before="63" w:beforeAutospacing="0" w:after="0" w:afterAutospacing="0" w:line="240" w:lineRule="auto"/>
              <w:ind w:left="0" w:right="85"/>
              <w:jc w:val="center"/>
              <w:rPr>
                <w:rFonts w:hint="default" w:ascii="宋体" w:eastAsia="宋体"/>
                <w:b w:val="0"/>
                <w:i w:val="0"/>
                <w:spacing w:val="0"/>
                <w:w w:val="100"/>
                <w:sz w:val="21"/>
                <w:lang w:val="en-US" w:eastAsia="zh-CN"/>
              </w:rPr>
            </w:pPr>
            <w:r>
              <w:rPr>
                <w:rFonts w:hint="eastAsia" w:ascii="宋体" w:eastAsia="宋体"/>
                <w:b w:val="0"/>
                <w:i w:val="0"/>
                <w:spacing w:val="0"/>
                <w:w w:val="100"/>
                <w:sz w:val="21"/>
                <w:lang w:val="en-US" w:eastAsia="zh-CN"/>
              </w:rPr>
              <w:t>26.29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880" w:type="dxa"/>
          </w:tcPr>
          <w:p>
            <w:pPr>
              <w:pStyle w:val="36"/>
              <w:snapToGrid w:val="0"/>
              <w:spacing w:before="62" w:beforeAutospacing="0" w:after="0" w:afterAutospacing="0" w:line="240" w:lineRule="auto"/>
              <w:ind w:left="114" w:right="0"/>
              <w:jc w:val="left"/>
              <w:rPr>
                <w:rFonts w:hint="eastAsia" w:ascii="宋体" w:eastAsia="宋体"/>
                <w:b w:val="0"/>
                <w:i w:val="0"/>
                <w:spacing w:val="0"/>
                <w:w w:val="100"/>
                <w:sz w:val="21"/>
              </w:rPr>
            </w:pPr>
            <w:r>
              <w:rPr>
                <w:rFonts w:hint="eastAsia" w:ascii="宋体" w:eastAsia="宋体"/>
                <w:b w:val="0"/>
                <w:i w:val="0"/>
                <w:spacing w:val="0"/>
                <w:w w:val="100"/>
                <w:sz w:val="21"/>
                <w:lang w:val="en-US" w:eastAsia="zh-CN"/>
              </w:rPr>
              <w:t>1</w:t>
            </w:r>
            <w:r>
              <w:rPr>
                <w:rFonts w:hint="eastAsia" w:ascii="宋体" w:eastAsia="宋体"/>
                <w:b w:val="0"/>
                <w:i w:val="0"/>
                <w:spacing w:val="0"/>
                <w:w w:val="100"/>
                <w:sz w:val="21"/>
              </w:rPr>
              <w:t>、车辆（台、辆）</w:t>
            </w:r>
          </w:p>
        </w:tc>
        <w:tc>
          <w:tcPr>
            <w:tcW w:w="4275" w:type="dxa"/>
          </w:tcPr>
          <w:p>
            <w:pPr>
              <w:pStyle w:val="36"/>
              <w:snapToGrid w:val="0"/>
              <w:spacing w:before="62" w:beforeAutospacing="0" w:after="0" w:afterAutospacing="0" w:line="240" w:lineRule="auto"/>
              <w:ind w:left="20" w:right="0"/>
              <w:jc w:val="center"/>
              <w:rPr>
                <w:rFonts w:ascii="宋体"/>
                <w:b w:val="0"/>
                <w:i w:val="0"/>
                <w:spacing w:val="0"/>
                <w:w w:val="100"/>
                <w:sz w:val="21"/>
              </w:rPr>
            </w:pPr>
            <w:r>
              <w:rPr>
                <w:rFonts w:ascii="宋体"/>
                <w:b w:val="0"/>
                <w:i w:val="0"/>
                <w:spacing w:val="0"/>
                <w:w w:val="99"/>
                <w:sz w:val="21"/>
              </w:rPr>
              <w:t>2</w:t>
            </w:r>
          </w:p>
        </w:tc>
        <w:tc>
          <w:tcPr>
            <w:tcW w:w="4411" w:type="dxa"/>
          </w:tcPr>
          <w:p>
            <w:pPr>
              <w:pStyle w:val="36"/>
              <w:snapToGrid w:val="0"/>
              <w:spacing w:before="62" w:beforeAutospacing="0" w:after="0" w:afterAutospacing="0" w:line="240" w:lineRule="auto"/>
              <w:ind w:left="0" w:right="85"/>
              <w:jc w:val="center"/>
              <w:rPr>
                <w:rFonts w:ascii="宋体"/>
                <w:b w:val="0"/>
                <w:i w:val="0"/>
                <w:spacing w:val="0"/>
                <w:w w:val="100"/>
                <w:sz w:val="21"/>
              </w:rPr>
            </w:pPr>
            <w:r>
              <w:rPr>
                <w:rFonts w:ascii="宋体"/>
                <w:b w:val="0"/>
                <w:i w:val="0"/>
                <w:spacing w:val="0"/>
                <w:w w:val="100"/>
                <w:sz w:val="21"/>
              </w:rPr>
              <w:t>18.28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880" w:type="dxa"/>
          </w:tcPr>
          <w:p>
            <w:pPr>
              <w:pStyle w:val="36"/>
              <w:snapToGrid w:val="0"/>
              <w:spacing w:before="62" w:beforeAutospacing="0" w:after="0" w:afterAutospacing="0" w:line="240" w:lineRule="auto"/>
              <w:ind w:left="114" w:right="0"/>
              <w:jc w:val="left"/>
              <w:rPr>
                <w:rFonts w:hint="default" w:ascii="宋体" w:eastAsia="宋体"/>
                <w:b w:val="0"/>
                <w:i w:val="0"/>
                <w:spacing w:val="0"/>
                <w:w w:val="100"/>
                <w:sz w:val="21"/>
                <w:lang w:val="en-US" w:eastAsia="zh-CN"/>
              </w:rPr>
            </w:pPr>
            <w:r>
              <w:rPr>
                <w:rFonts w:hint="eastAsia" w:ascii="宋体" w:eastAsia="宋体"/>
                <w:b w:val="0"/>
                <w:i w:val="0"/>
                <w:spacing w:val="0"/>
                <w:w w:val="100"/>
                <w:sz w:val="21"/>
                <w:lang w:val="en-US" w:eastAsia="zh-CN"/>
              </w:rPr>
              <w:t>2</w:t>
            </w:r>
            <w:r>
              <w:rPr>
                <w:rFonts w:hint="eastAsia" w:ascii="宋体" w:eastAsia="宋体"/>
                <w:b w:val="0"/>
                <w:i w:val="0"/>
                <w:spacing w:val="0"/>
                <w:w w:val="100"/>
                <w:sz w:val="21"/>
              </w:rPr>
              <w:t>、</w:t>
            </w:r>
            <w:r>
              <w:rPr>
                <w:rFonts w:hint="eastAsia" w:ascii="宋体" w:eastAsia="宋体"/>
                <w:b w:val="0"/>
                <w:i w:val="0"/>
                <w:spacing w:val="0"/>
                <w:w w:val="100"/>
                <w:sz w:val="21"/>
                <w:lang w:eastAsia="zh-CN"/>
              </w:rPr>
              <w:t>单价在</w:t>
            </w:r>
            <w:r>
              <w:rPr>
                <w:rFonts w:hint="eastAsia" w:ascii="宋体" w:eastAsia="宋体"/>
                <w:b w:val="0"/>
                <w:i w:val="0"/>
                <w:spacing w:val="0"/>
                <w:w w:val="100"/>
                <w:sz w:val="21"/>
                <w:lang w:val="en-US" w:eastAsia="zh-CN"/>
              </w:rPr>
              <w:t>20万以上的设备</w:t>
            </w:r>
          </w:p>
        </w:tc>
        <w:tc>
          <w:tcPr>
            <w:tcW w:w="4275" w:type="dxa"/>
          </w:tcPr>
          <w:p>
            <w:pPr>
              <w:pStyle w:val="36"/>
              <w:snapToGrid w:val="0"/>
              <w:spacing w:before="0" w:beforeAutospacing="0" w:after="0" w:afterAutospacing="0" w:line="240" w:lineRule="auto"/>
              <w:ind w:left="0" w:right="0"/>
              <w:jc w:val="left"/>
              <w:rPr>
                <w:rFonts w:ascii="Times New Roman"/>
                <w:b w:val="0"/>
                <w:i w:val="0"/>
                <w:spacing w:val="0"/>
                <w:w w:val="100"/>
                <w:sz w:val="24"/>
              </w:rPr>
            </w:pPr>
          </w:p>
        </w:tc>
        <w:tc>
          <w:tcPr>
            <w:tcW w:w="4411" w:type="dxa"/>
          </w:tcPr>
          <w:p>
            <w:pPr>
              <w:pStyle w:val="36"/>
              <w:snapToGrid w:val="0"/>
              <w:spacing w:before="0" w:beforeAutospacing="0" w:after="0" w:afterAutospacing="0" w:line="240" w:lineRule="auto"/>
              <w:ind w:left="0" w:right="0"/>
              <w:jc w:val="center"/>
              <w:rPr>
                <w:rFonts w:hint="default" w:ascii="Times New Roman" w:eastAsia="宋体"/>
                <w:b w:val="0"/>
                <w:i w:val="0"/>
                <w:spacing w:val="0"/>
                <w:w w:val="100"/>
                <w:sz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880" w:type="dxa"/>
          </w:tcPr>
          <w:p>
            <w:pPr>
              <w:pStyle w:val="36"/>
              <w:snapToGrid w:val="0"/>
              <w:spacing w:before="63" w:beforeAutospacing="0" w:after="0" w:afterAutospacing="0" w:line="240" w:lineRule="auto"/>
              <w:ind w:left="114" w:right="0"/>
              <w:jc w:val="left"/>
              <w:rPr>
                <w:rFonts w:hint="eastAsia" w:ascii="宋体" w:eastAsia="宋体"/>
                <w:b w:val="0"/>
                <w:i w:val="0"/>
                <w:spacing w:val="0"/>
                <w:w w:val="100"/>
                <w:sz w:val="21"/>
              </w:rPr>
            </w:pPr>
            <w:r>
              <w:rPr>
                <w:rFonts w:hint="eastAsia" w:ascii="宋体" w:eastAsia="宋体"/>
                <w:b w:val="0"/>
                <w:i w:val="0"/>
                <w:spacing w:val="0"/>
                <w:w w:val="100"/>
                <w:sz w:val="21"/>
                <w:lang w:val="en-US" w:eastAsia="zh-CN"/>
              </w:rPr>
              <w:t>3</w:t>
            </w:r>
            <w:r>
              <w:rPr>
                <w:rFonts w:hint="eastAsia" w:ascii="宋体" w:eastAsia="宋体"/>
                <w:b w:val="0"/>
                <w:i w:val="0"/>
                <w:spacing w:val="0"/>
                <w:w w:val="100"/>
                <w:sz w:val="21"/>
              </w:rPr>
              <w:t>、其他固定资产</w:t>
            </w:r>
          </w:p>
        </w:tc>
        <w:tc>
          <w:tcPr>
            <w:tcW w:w="4275" w:type="dxa"/>
          </w:tcPr>
          <w:p>
            <w:pPr>
              <w:pStyle w:val="36"/>
              <w:snapToGrid w:val="0"/>
              <w:spacing w:before="0" w:beforeAutospacing="0" w:after="0" w:afterAutospacing="0" w:line="240" w:lineRule="auto"/>
              <w:ind w:left="0" w:right="0"/>
              <w:jc w:val="left"/>
              <w:rPr>
                <w:rFonts w:ascii="Times New Roman"/>
                <w:b w:val="0"/>
                <w:i w:val="0"/>
                <w:spacing w:val="0"/>
                <w:w w:val="100"/>
                <w:sz w:val="24"/>
              </w:rPr>
            </w:pPr>
          </w:p>
        </w:tc>
        <w:tc>
          <w:tcPr>
            <w:tcW w:w="4411" w:type="dxa"/>
          </w:tcPr>
          <w:p>
            <w:pPr>
              <w:pStyle w:val="36"/>
              <w:snapToGrid w:val="0"/>
              <w:spacing w:before="63" w:beforeAutospacing="0" w:after="0" w:afterAutospacing="0" w:line="240" w:lineRule="auto"/>
              <w:ind w:left="0" w:right="85"/>
              <w:jc w:val="center"/>
              <w:rPr>
                <w:rFonts w:hint="default" w:ascii="宋体" w:eastAsia="宋体"/>
                <w:b w:val="0"/>
                <w:i w:val="0"/>
                <w:spacing w:val="0"/>
                <w:w w:val="100"/>
                <w:sz w:val="21"/>
                <w:lang w:val="en-US" w:eastAsia="zh-CN"/>
              </w:rPr>
            </w:pPr>
            <w:r>
              <w:rPr>
                <w:rFonts w:hint="eastAsia" w:ascii="宋体" w:eastAsia="宋体"/>
                <w:b w:val="0"/>
                <w:i w:val="0"/>
                <w:spacing w:val="0"/>
                <w:w w:val="100"/>
                <w:sz w:val="21"/>
                <w:lang w:val="en-US" w:eastAsia="zh-CN"/>
              </w:rPr>
              <w:t>8.01</w:t>
            </w:r>
          </w:p>
        </w:tc>
      </w:tr>
    </w:tbl>
    <w:p>
      <w:pPr>
        <w:spacing w:before="10" w:beforeAutospacing="0" w:after="10" w:afterAutospacing="0"/>
        <w:ind w:firstLine="640" w:firstLineChars="200"/>
        <w:outlineLvl w:val="2"/>
      </w:pPr>
      <w:bookmarkStart w:id="17" w:name="_Toc_3_3_0000000017"/>
      <w:bookmarkEnd w:id="17"/>
      <w:r>
        <w:rPr>
          <w:rFonts w:ascii="黑体" w:hAnsi="黑体" w:eastAsia="黑体" w:cs="黑体"/>
          <w:color w:val="000000"/>
          <w:sz w:val="32"/>
        </w:rPr>
        <w:t>八、名词解释</w:t>
      </w:r>
    </w:p>
    <w:p>
      <w:pPr>
        <w:spacing w:beforeAutospacing="0" w:afterAutospacing="0"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区</w:t>
      </w:r>
      <w:r>
        <w:rPr>
          <w:rFonts w:eastAsia="方正仿宋_GBK"/>
          <w:color w:val="000000"/>
          <w:sz w:val="28"/>
        </w:rPr>
        <w:t>级财政当年拨付的资金。</w:t>
      </w:r>
    </w:p>
    <w:p>
      <w:pPr>
        <w:spacing w:beforeAutospacing="0" w:afterAutospacing="0"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beforeAutospacing="0" w:afterAutospacing="0"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beforeAutospacing="0" w:afterAutospacing="0"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beforeAutospacing="0" w:afterAutospacing="0"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beforeAutospacing="0" w:afterAutospacing="0"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beforeAutospacing="0" w:afterAutospacing="0"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区</w:t>
      </w:r>
      <w:r>
        <w:rPr>
          <w:rFonts w:eastAsia="方正仿宋_GBK"/>
          <w:color w:val="000000"/>
          <w:sz w:val="28"/>
        </w:rPr>
        <w:t>级财政预算管理的“三公”经费，是指</w:t>
      </w:r>
      <w:r>
        <w:rPr>
          <w:rFonts w:hint="eastAsia" w:eastAsia="方正仿宋_GBK"/>
          <w:color w:val="000000"/>
          <w:sz w:val="28"/>
          <w:lang w:eastAsia="zh-CN"/>
        </w:rPr>
        <w:t>区</w:t>
      </w:r>
      <w:r>
        <w:rPr>
          <w:rFonts w:eastAsia="方正仿宋_GBK"/>
          <w:color w:val="000000"/>
          <w:sz w:val="28"/>
        </w:rPr>
        <w:t>级</w:t>
      </w:r>
      <w:r>
        <w:rPr>
          <w:rFonts w:hint="eastAsia" w:eastAsia="方正仿宋_GBK"/>
          <w:color w:val="000000"/>
          <w:sz w:val="28"/>
          <w:lang w:eastAsia="zh-CN"/>
        </w:rPr>
        <w:t>单位</w:t>
      </w:r>
      <w:r>
        <w:rPr>
          <w:rFonts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Autospacing="0" w:afterAutospacing="0"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lang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Autospacing="0" w:afterAutospacing="0"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beforeAutospacing="0" w:afterAutospacing="0"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beforeAutospacing="0" w:after="10" w:afterAutospacing="0"/>
        <w:ind w:firstLine="640"/>
        <w:outlineLvl w:val="2"/>
      </w:pPr>
      <w:bookmarkStart w:id="18" w:name="_Toc_3_3_0000000018"/>
      <w:bookmarkEnd w:id="18"/>
      <w:r>
        <w:rPr>
          <w:rFonts w:ascii="黑体" w:hAnsi="黑体" w:eastAsia="黑体" w:cs="黑体"/>
          <w:color w:val="000000"/>
          <w:sz w:val="32"/>
        </w:rPr>
        <w:t>九、其他需要说明的事项</w:t>
      </w:r>
    </w:p>
    <w:p>
      <w:pPr>
        <w:spacing w:beforeAutospacing="0" w:afterAutospacing="0" w:line="500" w:lineRule="exact"/>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无其他需要说明的事项。</w:t>
      </w:r>
    </w:p>
    <w:sectPr>
      <w:pgSz w:w="16840" w:h="11900" w:orient="landscape"/>
      <w:pgMar w:top="1361" w:right="1020" w:bottom="1134" w:left="1020" w:header="720" w:footer="720" w:gutter="0"/>
      <w:cols w:space="720" w:num="1"/>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51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50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jAwZTAyZjQyZTA3OWQ3MTliMDI5ZTFkYzMwMzIwYzgifQ=="/>
  </w:docVars>
  <w:rsids>
    <w:rsidRoot w:val="00585DEC"/>
    <w:rsid w:val="00585DEC"/>
    <w:rsid w:val="009944F2"/>
    <w:rsid w:val="00FE3B91"/>
    <w:rsid w:val="09C04971"/>
    <w:rsid w:val="0BB30FB1"/>
    <w:rsid w:val="0BBF2615"/>
    <w:rsid w:val="0F5B34D8"/>
    <w:rsid w:val="105E41AB"/>
    <w:rsid w:val="12A14480"/>
    <w:rsid w:val="13840AD3"/>
    <w:rsid w:val="14D7008A"/>
    <w:rsid w:val="186B45CC"/>
    <w:rsid w:val="1C7B4336"/>
    <w:rsid w:val="1CF00444"/>
    <w:rsid w:val="1D680335"/>
    <w:rsid w:val="1E034443"/>
    <w:rsid w:val="214F5734"/>
    <w:rsid w:val="27A51354"/>
    <w:rsid w:val="29F5112D"/>
    <w:rsid w:val="2B2A2735"/>
    <w:rsid w:val="2F671115"/>
    <w:rsid w:val="357A19C8"/>
    <w:rsid w:val="36257DF1"/>
    <w:rsid w:val="36C2370A"/>
    <w:rsid w:val="3C6504EB"/>
    <w:rsid w:val="3D711084"/>
    <w:rsid w:val="462211FB"/>
    <w:rsid w:val="47182E8C"/>
    <w:rsid w:val="47D30772"/>
    <w:rsid w:val="525971B5"/>
    <w:rsid w:val="59BB54D2"/>
    <w:rsid w:val="5B5C7BB2"/>
    <w:rsid w:val="5BC2759F"/>
    <w:rsid w:val="5F733071"/>
    <w:rsid w:val="6B8300C0"/>
    <w:rsid w:val="72D10FF8"/>
    <w:rsid w:val="74977CC0"/>
    <w:rsid w:val="76F7301B"/>
    <w:rsid w:val="783A4A97"/>
    <w:rsid w:val="7ABB6F4D"/>
    <w:rsid w:val="7AD43F25"/>
    <w:rsid w:val="7B211E6F"/>
    <w:rsid w:val="7F622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1"/>
    <w:pPr>
      <w:ind w:left="1379"/>
    </w:pPr>
    <w:rPr>
      <w:rFonts w:ascii="宋体" w:hAnsi="宋体" w:eastAsia="宋体" w:cs="宋体"/>
      <w:sz w:val="32"/>
      <w:szCs w:val="32"/>
      <w:lang w:val="en-US" w:eastAsia="zh-CN" w:bidi="ar-SA"/>
    </w:rPr>
  </w:style>
  <w:style w:type="paragraph" w:styleId="3">
    <w:name w:val="footer"/>
    <w:basedOn w:val="1"/>
    <w:link w:val="35"/>
    <w:autoRedefine/>
    <w:semiHidden/>
    <w:unhideWhenUsed/>
    <w:qFormat/>
    <w:uiPriority w:val="99"/>
    <w:pPr>
      <w:tabs>
        <w:tab w:val="center" w:pos="4153"/>
        <w:tab w:val="right" w:pos="8306"/>
      </w:tabs>
      <w:snapToGrid w:val="0"/>
    </w:pPr>
    <w:rPr>
      <w:sz w:val="18"/>
      <w:szCs w:val="18"/>
    </w:rPr>
  </w:style>
  <w:style w:type="paragraph" w:styleId="4">
    <w:name w:val="header"/>
    <w:basedOn w:val="1"/>
    <w:link w:val="34"/>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9">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0">
    <w:name w:val="单元格样式20"/>
    <w:basedOn w:val="1"/>
    <w:autoRedefine/>
    <w:qFormat/>
    <w:uiPriority w:val="0"/>
    <w:rPr>
      <w:rFonts w:ascii="方正小标宋_GBK" w:hAnsi="方正小标宋_GBK" w:eastAsia="方正小标宋_GBK" w:cs="方正小标宋_GBK"/>
    </w:rPr>
  </w:style>
  <w:style w:type="paragraph" w:customStyle="1" w:styleId="11">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2">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3">
    <w:name w:val="单元格样式2"/>
    <w:basedOn w:val="1"/>
    <w:autoRedefine/>
    <w:qFormat/>
    <w:uiPriority w:val="0"/>
    <w:rPr>
      <w:rFonts w:ascii="方正书宋_GBK" w:hAnsi="方正书宋_GBK" w:eastAsia="方正书宋_GBK" w:cs="方正书宋_GBK"/>
      <w:sz w:val="21"/>
    </w:rPr>
  </w:style>
  <w:style w:type="paragraph" w:customStyle="1" w:styleId="14">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5">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6">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17">
    <w:name w:val="单元格样式5"/>
    <w:basedOn w:val="1"/>
    <w:autoRedefine/>
    <w:qFormat/>
    <w:uiPriority w:val="0"/>
    <w:rPr>
      <w:rFonts w:ascii="方正书宋_GBK" w:hAnsi="方正书宋_GBK" w:eastAsia="方正书宋_GBK" w:cs="方正书宋_GBK"/>
      <w:b/>
      <w:sz w:val="21"/>
    </w:rPr>
  </w:style>
  <w:style w:type="paragraph" w:customStyle="1" w:styleId="18">
    <w:name w:val="插入文本样式-插入部门职责文件"/>
    <w:basedOn w:val="1"/>
    <w:autoRedefine/>
    <w:qFormat/>
    <w:uiPriority w:val="0"/>
    <w:pPr>
      <w:spacing w:beforeAutospacing="0" w:afterAutospacing="0" w:line="500" w:lineRule="exact"/>
      <w:ind w:firstLine="560"/>
    </w:pPr>
    <w:rPr>
      <w:rFonts w:eastAsia="方正仿宋_GBK"/>
      <w:sz w:val="28"/>
    </w:rPr>
  </w:style>
  <w:style w:type="paragraph" w:customStyle="1" w:styleId="19">
    <w:name w:val="插入文本样式-插入预算公开部门预算安排的总体情况文件"/>
    <w:basedOn w:val="1"/>
    <w:autoRedefine/>
    <w:qFormat/>
    <w:uiPriority w:val="0"/>
    <w:pPr>
      <w:spacing w:beforeAutospacing="0" w:afterAutospacing="0" w:line="500" w:lineRule="exact"/>
      <w:ind w:firstLine="560"/>
    </w:pPr>
    <w:rPr>
      <w:rFonts w:eastAsia="方正仿宋_GBK"/>
      <w:sz w:val="28"/>
    </w:rPr>
  </w:style>
  <w:style w:type="paragraph" w:customStyle="1" w:styleId="20">
    <w:name w:val="插入文本样式-插入预算公开部门机关运行经费安排情况文件"/>
    <w:basedOn w:val="1"/>
    <w:autoRedefine/>
    <w:qFormat/>
    <w:uiPriority w:val="0"/>
    <w:pPr>
      <w:spacing w:beforeAutospacing="0" w:afterAutospacing="0" w:line="500" w:lineRule="exact"/>
      <w:ind w:firstLine="560"/>
    </w:pPr>
    <w:rPr>
      <w:rFonts w:eastAsia="方正仿宋_GBK"/>
      <w:sz w:val="28"/>
    </w:rPr>
  </w:style>
  <w:style w:type="paragraph" w:customStyle="1" w:styleId="21">
    <w:name w:val="插入文本样式-插入预算公开部门财政拨款三公经费预算情况及增减变化原因文件"/>
    <w:basedOn w:val="1"/>
    <w:autoRedefine/>
    <w:qFormat/>
    <w:uiPriority w:val="0"/>
    <w:pPr>
      <w:spacing w:beforeAutospacing="0" w:afterAutospacing="0" w:line="500" w:lineRule="exact"/>
      <w:ind w:firstLine="560"/>
    </w:pPr>
    <w:rPr>
      <w:rFonts w:eastAsia="方正仿宋_GBK"/>
      <w:sz w:val="28"/>
    </w:rPr>
  </w:style>
  <w:style w:type="paragraph" w:customStyle="1" w:styleId="22">
    <w:name w:val="插入文本样式-插入总体目标文件"/>
    <w:basedOn w:val="1"/>
    <w:autoRedefine/>
    <w:qFormat/>
    <w:uiPriority w:val="0"/>
    <w:pPr>
      <w:spacing w:beforeAutospacing="0" w:afterAutospacing="0" w:line="500" w:lineRule="exact"/>
      <w:ind w:firstLine="560"/>
    </w:pPr>
    <w:rPr>
      <w:rFonts w:eastAsia="方正仿宋_GBK"/>
      <w:sz w:val="28"/>
    </w:rPr>
  </w:style>
  <w:style w:type="paragraph" w:customStyle="1" w:styleId="23">
    <w:name w:val="插入文本样式-插入职责分类绩效目标文件"/>
    <w:basedOn w:val="1"/>
    <w:autoRedefine/>
    <w:qFormat/>
    <w:uiPriority w:val="0"/>
    <w:pPr>
      <w:spacing w:beforeAutospacing="0" w:afterAutospacing="0" w:line="500" w:lineRule="exact"/>
      <w:ind w:firstLine="560"/>
    </w:pPr>
    <w:rPr>
      <w:rFonts w:eastAsia="方正仿宋_GBK"/>
      <w:sz w:val="28"/>
    </w:rPr>
  </w:style>
  <w:style w:type="paragraph" w:customStyle="1" w:styleId="24">
    <w:name w:val="插入文本样式-插入实现年度发展规划目标的保障措施文件"/>
    <w:basedOn w:val="1"/>
    <w:autoRedefine/>
    <w:qFormat/>
    <w:uiPriority w:val="0"/>
    <w:pPr>
      <w:spacing w:beforeAutospacing="0" w:afterAutospacing="0" w:line="500" w:lineRule="exact"/>
      <w:ind w:firstLine="560"/>
    </w:pPr>
    <w:rPr>
      <w:rFonts w:eastAsia="方正仿宋_GBK"/>
      <w:sz w:val="28"/>
    </w:rPr>
  </w:style>
  <w:style w:type="paragraph" w:customStyle="1" w:styleId="25">
    <w:name w:val="单元格样式23"/>
    <w:basedOn w:val="1"/>
    <w:autoRedefine/>
    <w:qFormat/>
    <w:uiPriority w:val="0"/>
    <w:pPr>
      <w:jc w:val="right"/>
    </w:pPr>
    <w:rPr>
      <w:rFonts w:ascii="方正书宋_GBK" w:hAnsi="方正书宋_GBK" w:eastAsia="方正书宋_GBK" w:cs="方正书宋_GBK"/>
    </w:rPr>
  </w:style>
  <w:style w:type="paragraph" w:customStyle="1" w:styleId="26">
    <w:name w:val="插入文本样式-插入单位职责文件"/>
    <w:basedOn w:val="1"/>
    <w:autoRedefine/>
    <w:qFormat/>
    <w:uiPriority w:val="0"/>
    <w:pPr>
      <w:spacing w:beforeAutospacing="0" w:afterAutospacing="0" w:line="500" w:lineRule="exact"/>
      <w:ind w:firstLine="560"/>
    </w:pPr>
    <w:rPr>
      <w:rFonts w:eastAsia="方正仿宋_GBK"/>
      <w:sz w:val="28"/>
    </w:rPr>
  </w:style>
  <w:style w:type="paragraph" w:customStyle="1" w:styleId="27">
    <w:name w:val="插入文本样式-插入预算公开单位预算安排的总体情况文件"/>
    <w:basedOn w:val="1"/>
    <w:autoRedefine/>
    <w:qFormat/>
    <w:uiPriority w:val="0"/>
    <w:pPr>
      <w:spacing w:beforeAutospacing="0" w:afterAutospacing="0" w:line="500" w:lineRule="exact"/>
      <w:ind w:firstLine="560"/>
    </w:pPr>
    <w:rPr>
      <w:rFonts w:eastAsia="方正仿宋_GBK"/>
      <w:sz w:val="28"/>
    </w:rPr>
  </w:style>
  <w:style w:type="paragraph" w:customStyle="1" w:styleId="28">
    <w:name w:val="插入文本样式-插入预算公开单位机关运行经费安排情况文件"/>
    <w:basedOn w:val="1"/>
    <w:autoRedefine/>
    <w:qFormat/>
    <w:uiPriority w:val="0"/>
    <w:pPr>
      <w:spacing w:beforeAutospacing="0" w:afterAutospacing="0" w:line="500" w:lineRule="exact"/>
      <w:ind w:firstLine="560"/>
    </w:pPr>
    <w:rPr>
      <w:rFonts w:eastAsia="方正仿宋_GBK"/>
      <w:sz w:val="28"/>
    </w:rPr>
  </w:style>
  <w:style w:type="paragraph" w:customStyle="1" w:styleId="29">
    <w:name w:val="插入文本样式-插入预算公开单位财政拨款三公经费预算情况及增减变化原因文件"/>
    <w:basedOn w:val="1"/>
    <w:qFormat/>
    <w:uiPriority w:val="0"/>
    <w:pPr>
      <w:spacing w:beforeAutospacing="0" w:afterAutospacing="0" w:line="500" w:lineRule="exact"/>
      <w:ind w:firstLine="560"/>
    </w:pPr>
    <w:rPr>
      <w:rFonts w:eastAsia="方正仿宋_GBK"/>
      <w:sz w:val="28"/>
    </w:rPr>
  </w:style>
  <w:style w:type="paragraph" w:customStyle="1" w:styleId="30">
    <w:name w:val="TOC 2"/>
    <w:basedOn w:val="1"/>
    <w:qFormat/>
    <w:uiPriority w:val="0"/>
    <w:pPr>
      <w:ind w:left="240"/>
    </w:pPr>
  </w:style>
  <w:style w:type="paragraph" w:customStyle="1" w:styleId="31">
    <w:name w:val="TOC 3"/>
    <w:basedOn w:val="1"/>
    <w:qFormat/>
    <w:uiPriority w:val="0"/>
    <w:pPr>
      <w:ind w:left="480"/>
    </w:pPr>
  </w:style>
  <w:style w:type="paragraph" w:customStyle="1" w:styleId="32">
    <w:name w:val="TOC 4"/>
    <w:basedOn w:val="1"/>
    <w:qFormat/>
    <w:uiPriority w:val="0"/>
    <w:pPr>
      <w:ind w:left="720"/>
    </w:pPr>
  </w:style>
  <w:style w:type="paragraph" w:customStyle="1" w:styleId="33">
    <w:name w:val="TOC 1"/>
    <w:basedOn w:val="1"/>
    <w:qFormat/>
    <w:uiPriority w:val="0"/>
    <w:pPr>
      <w:spacing w:before="120" w:beforeAutospacing="0" w:afterAutospacing="0"/>
      <w:ind w:firstLine="560"/>
    </w:pPr>
    <w:rPr>
      <w:rFonts w:eastAsia="方正仿宋_GBK"/>
      <w:color w:val="000000"/>
      <w:sz w:val="28"/>
    </w:rPr>
  </w:style>
  <w:style w:type="character" w:customStyle="1" w:styleId="34">
    <w:name w:val="页眉 Char"/>
    <w:basedOn w:val="7"/>
    <w:link w:val="4"/>
    <w:semiHidden/>
    <w:qFormat/>
    <w:uiPriority w:val="99"/>
    <w:rPr>
      <w:rFonts w:eastAsia="Times New Roman"/>
      <w:sz w:val="18"/>
      <w:szCs w:val="18"/>
      <w:lang w:eastAsia="uk-UA"/>
    </w:rPr>
  </w:style>
  <w:style w:type="character" w:customStyle="1" w:styleId="35">
    <w:name w:val="页脚 Char"/>
    <w:basedOn w:val="7"/>
    <w:link w:val="3"/>
    <w:semiHidden/>
    <w:qFormat/>
    <w:uiPriority w:val="99"/>
    <w:rPr>
      <w:rFonts w:eastAsia="Times New Roman"/>
      <w:sz w:val="18"/>
      <w:szCs w:val="18"/>
      <w:lang w:eastAsia="uk-UA"/>
    </w:rPr>
  </w:style>
  <w:style w:type="paragraph" w:customStyle="1" w:styleId="36">
    <w:name w:val="Table Paragraph"/>
    <w:basedOn w:val="1"/>
    <w:qFormat/>
    <w:uiPriority w:val="1"/>
    <w:rPr>
      <w:rFonts w:ascii="Calibri" w:hAnsi="Calibri" w:eastAsia="Calibri" w:cs="Calibri"/>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31</Pages>
  <Words>10192</Words>
  <Characters>11752</Characters>
  <Lines>161</Lines>
  <Paragraphs>45</Paragraphs>
  <TotalTime>0</TotalTime>
  <ScaleCrop>false</ScaleCrop>
  <LinksUpToDate>false</LinksUpToDate>
  <CharactersWithSpaces>11994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2023-03-13T01:08:00Z</dcterms:created>
  <dc:creator>Administrator</dc:creator>
  <cp:lastModifiedBy>纯真天使</cp:lastModifiedBy>
  <dcterms:modified xsi:type="dcterms:W3CDTF">2024-05-31T08:04:40Z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667150C14F2B4358B56A435C9DC0A77B</vt:lpwstr>
  </property>
</Properties>
</file>