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sz w:val="52"/>
        </w:rPr>
      </w:pPr>
    </w:p>
    <w:p>
      <w:pPr>
        <w:jc w:val="center"/>
        <w:rPr>
          <w:rFonts w:ascii="宋体" w:hAnsi="宋体"/>
          <w:b/>
          <w:sz w:val="44"/>
          <w:szCs w:val="44"/>
        </w:rPr>
      </w:pPr>
      <w:r>
        <w:rPr>
          <w:rFonts w:hint="eastAsia" w:ascii="宋体" w:hAnsi="宋体"/>
          <w:b/>
          <w:sz w:val="44"/>
          <w:szCs w:val="44"/>
        </w:rPr>
        <w:t>保定市满城区文化广电和旅游局</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hint="eastAsia" w:ascii="仿宋_GB2312" w:hAnsi="仿宋" w:eastAsia="仿宋_GB2312" w:cs="仿宋_GB2312"/>
          <w:sz w:val="32"/>
          <w:szCs w:val="32"/>
        </w:rPr>
      </w:pP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w:t>
      </w:r>
      <w:r>
        <w:rPr>
          <w:rFonts w:hint="eastAsia" w:ascii="宋体" w:hAnsi="宋体" w:cs="仿宋_GB2312"/>
          <w:sz w:val="32"/>
          <w:szCs w:val="32"/>
        </w:rPr>
        <w:t>预算法》、</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规定，现将满城区文化广电和旅游局2020年部门预算公开如下：</w:t>
      </w:r>
    </w:p>
    <w:p>
      <w:pP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hint="eastAsia" w:ascii="宋体" w:hAnsi="宋体"/>
          <w:sz w:val="32"/>
          <w:szCs w:val="32"/>
        </w:rPr>
      </w:pPr>
    </w:p>
    <w:p>
      <w:pPr>
        <w:ind w:firstLine="643" w:firstLineChars="200"/>
        <w:rPr>
          <w:rFonts w:hint="eastAsia" w:ascii="宋体" w:hAnsi="宋体"/>
          <w:b/>
          <w:sz w:val="32"/>
          <w:szCs w:val="32"/>
        </w:rPr>
      </w:pPr>
      <w:r>
        <w:rPr>
          <w:rFonts w:hint="eastAsia" w:ascii="宋体" w:hAnsi="宋体"/>
          <w:b/>
          <w:sz w:val="32"/>
          <w:szCs w:val="32"/>
        </w:rPr>
        <w:t>一、部门职责</w:t>
      </w:r>
    </w:p>
    <w:p>
      <w:pPr>
        <w:widowControl/>
        <w:spacing w:line="540" w:lineRule="exact"/>
        <w:ind w:firstLine="640" w:firstLineChars="200"/>
        <w:rPr>
          <w:rFonts w:ascii="宋体" w:hAnsi="宋体" w:cs="宋体"/>
          <w:kern w:val="0"/>
          <w:sz w:val="24"/>
          <w:szCs w:val="24"/>
        </w:rPr>
      </w:pPr>
      <w:r>
        <w:rPr>
          <w:rFonts w:hint="eastAsia" w:ascii="宋体" w:hAnsi="宋体" w:cs="宋体"/>
          <w:kern w:val="0"/>
          <w:sz w:val="32"/>
          <w:szCs w:val="32"/>
        </w:rPr>
        <w:t>保定市满城区文化广电和旅游局为区政府工作部门，机构规格为正科级。根据满办字（2019）18号关于《保定市满城区文化广电和旅游局职能配置、内设机构和人员编制规定》的通知要求，保定市满城区文化广电和旅游局主要职责是：</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主要职责</w:t>
      </w:r>
    </w:p>
    <w:p>
      <w:pPr>
        <w:numPr>
          <w:ilvl w:val="0"/>
          <w:numId w:val="1"/>
        </w:num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贯彻落实党中央关于文化、广播电视、旅游和文物工作的方针政策和省委、市委、区委的决策部署，坚持和加强党对文化、广播电视、旅游和文物工作的集中统一领导。</w:t>
      </w:r>
    </w:p>
    <w:p>
      <w:pPr>
        <w:numPr>
          <w:ilvl w:val="0"/>
          <w:numId w:val="1"/>
        </w:num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拟定全区文化、广播电视、旅游、文物政策措施和规范性文件并组织实施，负责本部门依法行政工作。</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（三）拟订全区文化和旅游事业、文化和旅游产业、广播电视领域事业、文物保护事业发展规划并组织实施，推进文化、广播电视、旅游、文物融合发展，推进文化、广播电视、旅游、文物领域体制机制改革。</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管理全区重大文化、广播电视和旅游活动，指导全区重点文化、诗词之乡、广播电视和旅游设施建设，组织满城文化、广播电视和旅游整体形象推广，促进文化产业和旅游产业对外合作和市场推广，制定全区文化、旅游市场开发营销战略并组织实施，指导、推进全域旅游。</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（五）指导、管理全区文艺事业。推动艺术创作生产，扶持体现社会主义核心价值观、具有导向性代表性示范性的文艺作品，推动全区各门类艺术、各艺术品种发展，推动中华优秀传统文化和满城文化传承发展。</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负责全区公共文化、广播电视、旅游事业发展。推进全区公共文化服务体系建设和旅游、文物公共服务体系建设，深入实施文化和旅游惠民工程，统筹推进全区基本公共文化、广播电视和旅游服务标准化、均等化。</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（七）指导、推进全区文化、广播电视和旅游科技创新发展，推进文化、广播电视和旅游行业信息化、标准化建设。</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八）组织实施广播电视节目评价工作。监督管理、审查广播电视和网络视听节目内容及质量，指导、监管广播电视广告播放。指导、监督实施行业技术标准，负责对广播电视节目传输覆盖、监测和安全播出监督管理，指导、推进应急广播体系建设。负责对全区各类广播电视机构进行业务指导和行业监管，会同有关部门对全区网络视听节目服务机构进行管理，推进广播电视与新媒体新技术新业态融合发展。  </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（九）负责全区非物质文化遗产保护，推动非物质文化遗产的传承、保护、普及、弘扬和振兴。</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统筹规划全区文化产业、广播电视产业、旅游产业、文物保护与利用及相关产业。组织实施文化、旅游和文物资源普查、挖掘、保护和开发利用工作，促进文化产业、广播电视产业、旅游产业、文物保护与利用及相关产业融合发展。</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（十一）指导全区文化、广播电视和旅游市场发展。对文化、广播电视和旅游市场经营进行行业监管，推进全区文化、广播电视和旅游行业信用体系建设，依法规范文化、广播电视和旅游市场。</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（十二）统筹全区文化、广播电视、旅游、文物综合执法，组织查处全区性、跨区域文化、广播电视、旅游、文物等市场违法行为，检查督办大案要案，维护市场秩序。</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指导和管理全区文物保护利用与考古工作。组织管理基本建设涉及文物的保护抢救、考古发掘和开发利用相关工作。协调、指导和监督全区文物安全工作，履行文物行政督察职责，协同相关部门负责历史文化遗迹申报和监督管理工作。指导和监督社会文物管理工作。</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（十四）承担全区文化、广播电视和旅游行业安全综合协调和监督管理工作，负责全区文化、广播电视和旅游行业突发应急事件的处理工作。</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（十五）负责管理全区文化、广播电视和旅游对外 及对港澳台合作、交流、宣传、推广工作。</w:t>
      </w:r>
    </w:p>
    <w:p>
      <w:pPr>
        <w:spacing w:line="500" w:lineRule="exact"/>
        <w:rPr>
          <w:rFonts w:hint="eastAsia" w:ascii="仿宋" w:hAnsi="仿宋" w:eastAsia="仿宋" w:cs="仿宋"/>
          <w:sz w:val="32"/>
          <w:szCs w:val="32"/>
        </w:rPr>
      </w:pPr>
      <w:r>
        <w:rPr>
          <w:rFonts w:hint="eastAsia" w:ascii="仿宋" w:hAnsi="仿宋" w:eastAsia="仿宋" w:cs="仿宋"/>
          <w:sz w:val="32"/>
          <w:szCs w:val="32"/>
        </w:rPr>
        <w:t xml:space="preserve">     （十六）完成区委、区政府交办的其他任务。</w:t>
      </w:r>
    </w:p>
    <w:p>
      <w:pPr>
        <w:widowControl/>
        <w:spacing w:line="540" w:lineRule="exact"/>
        <w:ind w:firstLine="480" w:firstLineChars="200"/>
        <w:rPr>
          <w:rFonts w:hint="eastAsia" w:ascii="宋体" w:hAnsi="宋体" w:cs="宋体"/>
          <w:kern w:val="0"/>
          <w:sz w:val="24"/>
          <w:szCs w:val="24"/>
        </w:rPr>
      </w:pPr>
    </w:p>
    <w:p>
      <w:pPr>
        <w:spacing w:line="620" w:lineRule="exact"/>
        <w:ind w:firstLine="643" w:firstLineChars="200"/>
        <w:rPr>
          <w:rFonts w:hint="eastAsia" w:ascii="宋体" w:hAnsi="宋体"/>
          <w:b/>
          <w:bCs/>
          <w:sz w:val="32"/>
          <w:szCs w:val="32"/>
        </w:rPr>
      </w:pPr>
    </w:p>
    <w:p>
      <w:pPr>
        <w:spacing w:line="620" w:lineRule="exact"/>
        <w:ind w:firstLine="643" w:firstLineChars="200"/>
        <w:rPr>
          <w:rFonts w:hint="eastAsia" w:ascii="宋体" w:hAnsi="宋体"/>
          <w:b/>
          <w:bCs/>
          <w:sz w:val="32"/>
          <w:szCs w:val="32"/>
        </w:rPr>
      </w:pPr>
    </w:p>
    <w:p>
      <w:pPr>
        <w:spacing w:line="620" w:lineRule="exact"/>
        <w:ind w:firstLine="643" w:firstLineChars="200"/>
        <w:rPr>
          <w:rFonts w:hint="eastAsia" w:ascii="宋体" w:hAnsi="宋体"/>
          <w:b/>
          <w:bCs/>
          <w:sz w:val="32"/>
          <w:szCs w:val="32"/>
        </w:rPr>
      </w:pPr>
    </w:p>
    <w:p>
      <w:pPr>
        <w:spacing w:line="620" w:lineRule="exact"/>
        <w:ind w:firstLine="643" w:firstLineChars="200"/>
        <w:rPr>
          <w:rFonts w:hint="eastAsia" w:ascii="宋体" w:hAnsi="宋体"/>
          <w:b/>
          <w:bCs/>
          <w:sz w:val="32"/>
          <w:szCs w:val="32"/>
        </w:rPr>
      </w:pPr>
    </w:p>
    <w:p>
      <w:pPr>
        <w:spacing w:line="620" w:lineRule="exact"/>
        <w:ind w:firstLine="643" w:firstLineChars="200"/>
        <w:rPr>
          <w:rFonts w:hint="eastAsia" w:ascii="宋体" w:hAnsi="宋体"/>
          <w:b/>
          <w:bCs/>
          <w:sz w:val="32"/>
          <w:szCs w:val="32"/>
        </w:rPr>
      </w:pPr>
    </w:p>
    <w:p>
      <w:pPr>
        <w:spacing w:line="620" w:lineRule="exact"/>
        <w:ind w:firstLine="643" w:firstLineChars="200"/>
        <w:rPr>
          <w:rFonts w:hint="eastAsia" w:ascii="宋体" w:hAnsi="宋体"/>
          <w:b/>
          <w:bCs/>
          <w:sz w:val="32"/>
          <w:szCs w:val="32"/>
        </w:rPr>
      </w:pPr>
      <w:r>
        <w:rPr>
          <w:rFonts w:hint="eastAsia" w:ascii="宋体" w:hAnsi="宋体"/>
          <w:b/>
          <w:bCs/>
          <w:sz w:val="32"/>
          <w:szCs w:val="32"/>
        </w:rPr>
        <w:t>二、内设机构</w:t>
      </w:r>
    </w:p>
    <w:tbl>
      <w:tblPr>
        <w:tblStyle w:val="7"/>
        <w:tblW w:w="0" w:type="auto"/>
        <w:tblInd w:w="93" w:type="dxa"/>
        <w:tblLayout w:type="fixed"/>
        <w:tblCellMar>
          <w:top w:w="0" w:type="dxa"/>
          <w:left w:w="108" w:type="dxa"/>
          <w:bottom w:w="0" w:type="dxa"/>
          <w:right w:w="108" w:type="dxa"/>
        </w:tblCellMar>
      </w:tblPr>
      <w:tblGrid>
        <w:gridCol w:w="1080"/>
        <w:gridCol w:w="2904"/>
        <w:gridCol w:w="1536"/>
        <w:gridCol w:w="1900"/>
        <w:gridCol w:w="2376"/>
      </w:tblGrid>
      <w:tr>
        <w:tblPrEx>
          <w:tblCellMar>
            <w:top w:w="0" w:type="dxa"/>
            <w:left w:w="108" w:type="dxa"/>
            <w:bottom w:w="0" w:type="dxa"/>
            <w:right w:w="108" w:type="dxa"/>
          </w:tblCellMar>
        </w:tblPrEx>
        <w:trPr>
          <w:wBefore w:w="0" w:type="dxa"/>
          <w:wAfter w:w="0" w:type="dxa"/>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部门机构设置情况</w:t>
            </w:r>
          </w:p>
        </w:tc>
      </w:tr>
      <w:tr>
        <w:tblPrEx>
          <w:tblCellMar>
            <w:top w:w="0" w:type="dxa"/>
            <w:left w:w="108" w:type="dxa"/>
            <w:bottom w:w="0" w:type="dxa"/>
            <w:right w:w="108" w:type="dxa"/>
          </w:tblCellMar>
        </w:tblPrEx>
        <w:trPr>
          <w:wBefore w:w="0" w:type="dxa"/>
          <w:wAfter w:w="0" w:type="dxa"/>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90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单位名称</w:t>
            </w:r>
          </w:p>
        </w:tc>
        <w:tc>
          <w:tcPr>
            <w:tcW w:w="153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经费保障形式</w:t>
            </w:r>
          </w:p>
        </w:tc>
      </w:tr>
      <w:tr>
        <w:tblPrEx>
          <w:tblCellMar>
            <w:top w:w="0" w:type="dxa"/>
            <w:left w:w="108" w:type="dxa"/>
            <w:bottom w:w="0" w:type="dxa"/>
            <w:right w:w="108" w:type="dxa"/>
          </w:tblCellMar>
        </w:tblPrEx>
        <w:trPr>
          <w:wBefore w:w="0" w:type="dxa"/>
          <w:wAfter w:w="0" w:type="dxa"/>
          <w:trHeight w:val="412"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290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15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r>
      <w:tr>
        <w:tblPrEx>
          <w:tblCellMar>
            <w:top w:w="0" w:type="dxa"/>
            <w:left w:w="108" w:type="dxa"/>
            <w:bottom w:w="0" w:type="dxa"/>
            <w:right w:w="108" w:type="dxa"/>
          </w:tblCellMar>
        </w:tblPrEx>
        <w:trPr>
          <w:wBefore w:w="0" w:type="dxa"/>
          <w:wAfter w:w="0" w:type="dxa"/>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9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kern w:val="0"/>
                <w:sz w:val="32"/>
                <w:szCs w:val="32"/>
              </w:rPr>
              <w:t>保定市满城区文化广电和旅游局</w:t>
            </w:r>
          </w:p>
        </w:tc>
        <w:tc>
          <w:tcPr>
            <w:tcW w:w="153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bl>
    <w:p>
      <w:pPr>
        <w:spacing w:line="520" w:lineRule="exact"/>
        <w:ind w:firstLine="560"/>
        <w:rPr>
          <w:rFonts w:hint="eastAsia" w:ascii="仿宋_GB2312" w:hAnsi="黑体" w:eastAsia="仿宋_GB2312"/>
          <w:kern w:val="0"/>
          <w:sz w:val="32"/>
          <w:szCs w:val="32"/>
        </w:rPr>
      </w:pPr>
    </w:p>
    <w:p>
      <w:pPr>
        <w:jc w:val="left"/>
        <w:rPr>
          <w:rFonts w:hint="eastAsia" w:ascii="方正楷体_GBK" w:eastAsia="方正楷体_GBK"/>
          <w:b/>
          <w:sz w:val="28"/>
        </w:rPr>
      </w:pPr>
    </w:p>
    <w:p>
      <w:pPr>
        <w:ind w:firstLine="643" w:firstLineChars="200"/>
        <w:jc w:val="center"/>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第二部分：部门预算安排的总体情况</w:t>
      </w:r>
    </w:p>
    <w:p>
      <w:pPr>
        <w:ind w:firstLine="800" w:firstLineChars="250"/>
        <w:rPr>
          <w:rFonts w:hint="eastAsia" w:ascii="宋体" w:hAnsi="宋体"/>
          <w:sz w:val="32"/>
          <w:szCs w:val="32"/>
        </w:rPr>
      </w:pPr>
    </w:p>
    <w:p>
      <w:pPr>
        <w:ind w:firstLine="630" w:firstLineChars="196"/>
        <w:rPr>
          <w:rFonts w:hint="eastAsia" w:ascii="宋体" w:hAnsi="宋体"/>
          <w:b/>
          <w:sz w:val="32"/>
          <w:szCs w:val="32"/>
        </w:rPr>
      </w:pPr>
      <w:r>
        <w:rPr>
          <w:rFonts w:hint="eastAsia" w:ascii="宋体" w:hAnsi="宋体"/>
          <w:b/>
          <w:sz w:val="32"/>
          <w:szCs w:val="32"/>
        </w:rPr>
        <w:t>一、收入说明</w:t>
      </w:r>
    </w:p>
    <w:p>
      <w:pPr>
        <w:ind w:firstLine="640" w:firstLineChars="200"/>
        <w:rPr>
          <w:rFonts w:hint="eastAsia" w:ascii="宋体" w:hAnsi="宋体"/>
          <w:sz w:val="32"/>
          <w:szCs w:val="32"/>
        </w:rPr>
      </w:pPr>
      <w:r>
        <w:rPr>
          <w:rFonts w:hint="eastAsia" w:ascii="宋体" w:hAnsi="宋体"/>
          <w:sz w:val="32"/>
          <w:szCs w:val="32"/>
        </w:rPr>
        <w:t>2020年文化广电和旅游局收入预算总额为1021.02万元。其中：一般公共预算收入1021.02万元。</w:t>
      </w:r>
    </w:p>
    <w:p>
      <w:pPr>
        <w:ind w:firstLine="643" w:firstLineChars="200"/>
        <w:rPr>
          <w:rFonts w:hint="eastAsia" w:ascii="宋体" w:hAnsi="宋体"/>
          <w:b/>
          <w:sz w:val="32"/>
          <w:szCs w:val="32"/>
        </w:rPr>
      </w:pPr>
      <w:r>
        <w:rPr>
          <w:rFonts w:hint="eastAsia" w:ascii="宋体" w:hAnsi="宋体"/>
          <w:b/>
          <w:sz w:val="32"/>
          <w:szCs w:val="32"/>
        </w:rPr>
        <w:t>二、支出说明</w:t>
      </w:r>
    </w:p>
    <w:p>
      <w:pPr>
        <w:ind w:firstLine="640" w:firstLineChars="200"/>
        <w:rPr>
          <w:rFonts w:hint="eastAsia" w:ascii="宋体" w:hAnsi="宋体"/>
          <w:sz w:val="32"/>
          <w:szCs w:val="32"/>
        </w:rPr>
      </w:pPr>
      <w:r>
        <w:rPr>
          <w:rFonts w:hint="eastAsia" w:ascii="宋体" w:hAnsi="宋体"/>
          <w:sz w:val="32"/>
          <w:szCs w:val="32"/>
        </w:rPr>
        <w:t>2020年部门支出安排预算总额：1021.02万元</w:t>
      </w:r>
    </w:p>
    <w:p>
      <w:pPr>
        <w:ind w:firstLine="640" w:firstLineChars="200"/>
        <w:rPr>
          <w:rFonts w:hint="eastAsia" w:ascii="宋体" w:hAnsi="宋体"/>
          <w:sz w:val="32"/>
          <w:szCs w:val="32"/>
        </w:rPr>
      </w:pPr>
      <w:r>
        <w:rPr>
          <w:rFonts w:hint="eastAsia" w:ascii="宋体" w:hAnsi="宋体"/>
          <w:sz w:val="32"/>
          <w:szCs w:val="32"/>
        </w:rPr>
        <w:t xml:space="preserve">  1、基本支出973.52万元</w:t>
      </w:r>
    </w:p>
    <w:p>
      <w:pPr>
        <w:ind w:firstLine="640" w:firstLineChars="200"/>
        <w:rPr>
          <w:rFonts w:hint="eastAsia" w:ascii="宋体" w:hAnsi="宋体"/>
          <w:sz w:val="32"/>
          <w:szCs w:val="32"/>
        </w:rPr>
      </w:pPr>
      <w:r>
        <w:rPr>
          <w:rFonts w:hint="eastAsia" w:ascii="宋体" w:hAnsi="宋体"/>
          <w:sz w:val="32"/>
          <w:szCs w:val="32"/>
        </w:rPr>
        <w:t xml:space="preserve">     其中： 人员经费944.16万元</w:t>
      </w:r>
    </w:p>
    <w:p>
      <w:pPr>
        <w:ind w:firstLine="640" w:firstLineChars="200"/>
        <w:rPr>
          <w:rFonts w:hint="eastAsia" w:ascii="宋体" w:hAnsi="宋体"/>
          <w:sz w:val="32"/>
          <w:szCs w:val="32"/>
        </w:rPr>
      </w:pPr>
      <w:r>
        <w:rPr>
          <w:rFonts w:hint="eastAsia" w:ascii="宋体" w:hAnsi="宋体"/>
          <w:sz w:val="32"/>
          <w:szCs w:val="32"/>
        </w:rPr>
        <w:t xml:space="preserve">            日常公用经费29.36万元</w:t>
      </w:r>
    </w:p>
    <w:p>
      <w:pPr>
        <w:ind w:firstLine="640" w:firstLineChars="200"/>
        <w:rPr>
          <w:rFonts w:hint="eastAsia" w:ascii="宋体" w:hAnsi="宋体"/>
          <w:sz w:val="32"/>
          <w:szCs w:val="32"/>
        </w:rPr>
      </w:pPr>
      <w:r>
        <w:rPr>
          <w:rFonts w:hint="eastAsia" w:ascii="宋体" w:hAnsi="宋体"/>
          <w:sz w:val="32"/>
          <w:szCs w:val="32"/>
        </w:rPr>
        <w:t xml:space="preserve">  2、项目支出47.5万元</w:t>
      </w:r>
    </w:p>
    <w:p>
      <w:pPr>
        <w:numPr>
          <w:ilvl w:val="0"/>
          <w:numId w:val="2"/>
        </w:numPr>
        <w:ind w:firstLine="630" w:firstLineChars="196"/>
        <w:rPr>
          <w:rFonts w:hint="eastAsia" w:ascii="宋体" w:hAnsi="宋体"/>
          <w:b/>
          <w:sz w:val="32"/>
          <w:szCs w:val="32"/>
        </w:rPr>
      </w:pPr>
      <w:r>
        <w:rPr>
          <w:rFonts w:hint="eastAsia" w:ascii="宋体" w:hAnsi="宋体"/>
          <w:b/>
          <w:sz w:val="32"/>
          <w:szCs w:val="32"/>
        </w:rPr>
        <w:t>比上年增减情况</w:t>
      </w:r>
    </w:p>
    <w:p>
      <w:pPr>
        <w:widowControl/>
        <w:spacing w:line="540" w:lineRule="exact"/>
        <w:rPr>
          <w:rFonts w:hint="eastAsia" w:ascii="宋体" w:hAnsi="宋体" w:cs="宋体"/>
          <w:kern w:val="0"/>
          <w:sz w:val="32"/>
          <w:szCs w:val="32"/>
        </w:rPr>
      </w:pPr>
      <w:r>
        <w:rPr>
          <w:rFonts w:hint="eastAsia" w:ascii="宋体" w:hAnsi="宋体" w:cs="宋体"/>
          <w:kern w:val="0"/>
          <w:sz w:val="32"/>
          <w:szCs w:val="32"/>
        </w:rPr>
        <w:t xml:space="preserve">        本年度预算收支安排1021.02万元，较上年增加346.06万元。其中基本支出增加298.56万元,主要原因为：机构改革，文化广电新闻出版局与旅游发展局合并，人员增加。项目支出增加47.5万元，主要原因是文化广电新闻出版局与旅游发展局合并，项目增加。</w:t>
      </w:r>
    </w:p>
    <w:p>
      <w:pPr>
        <w:widowControl/>
        <w:spacing w:line="540" w:lineRule="exact"/>
        <w:ind w:firstLine="640" w:firstLineChars="200"/>
        <w:rPr>
          <w:rFonts w:hint="eastAsia" w:ascii="宋体" w:hAnsi="宋体" w:cs="宋体"/>
          <w:kern w:val="0"/>
          <w:sz w:val="32"/>
          <w:szCs w:val="32"/>
        </w:rPr>
      </w:pP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2020年我局的各项支出以将全面贯彻党和国家的有关政策、认真遵守财经纪律为准则，严格按预算规定的标准、用途执行，做到经费按进度，专款要专用，力争全面提高所用资金的使用效率。</w:t>
      </w:r>
    </w:p>
    <w:p>
      <w:pPr>
        <w:spacing w:line="500" w:lineRule="exact"/>
        <w:ind w:firstLine="630" w:firstLineChars="196"/>
        <w:jc w:val="left"/>
        <w:outlineLvl w:val="0"/>
        <w:rPr>
          <w:rFonts w:hint="eastAsia" w:ascii="宋体" w:hAnsi="宋体"/>
          <w:b/>
          <w:sz w:val="32"/>
          <w:szCs w:val="32"/>
        </w:rPr>
      </w:pPr>
    </w:p>
    <w:p>
      <w:pPr>
        <w:ind w:firstLine="643" w:firstLineChars="200"/>
        <w:jc w:val="center"/>
        <w:rPr>
          <w:rFonts w:hint="eastAsia" w:ascii="宋体" w:hAnsi="宋体"/>
          <w:b/>
          <w:sz w:val="32"/>
          <w:szCs w:val="32"/>
        </w:rPr>
      </w:pPr>
      <w:r>
        <w:rPr>
          <w:rFonts w:hint="eastAsia" w:ascii="宋体" w:hAnsi="宋体"/>
          <w:b/>
          <w:sz w:val="32"/>
          <w:szCs w:val="32"/>
        </w:rPr>
        <w:t>第三部分：行政运行经费安排情况</w:t>
      </w:r>
    </w:p>
    <w:p>
      <w:pPr>
        <w:ind w:firstLine="643" w:firstLineChars="200"/>
        <w:jc w:val="center"/>
        <w:rPr>
          <w:rFonts w:hint="eastAsia"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2020年行政运行经费安排29.36万元，其中办公费7.2万元，邮电费4.32万元，公务接待费0.1万元，公务用车运行维护费7.5万元，其他交通费6.06万元，其他商品和服务支出4.18万元。</w:t>
      </w:r>
    </w:p>
    <w:p>
      <w:pPr>
        <w:widowControl/>
        <w:spacing w:before="100" w:beforeAutospacing="1" w:after="100" w:afterAutospacing="1" w:line="420" w:lineRule="atLeast"/>
        <w:ind w:firstLine="630" w:firstLineChars="196"/>
        <w:jc w:val="center"/>
        <w:rPr>
          <w:rFonts w:hint="eastAsia" w:ascii="宋体" w:hAnsi="宋体" w:cs="宋体"/>
          <w:b/>
          <w:bCs/>
          <w:color w:val="000000"/>
          <w:kern w:val="0"/>
          <w:sz w:val="32"/>
          <w:szCs w:val="32"/>
        </w:rPr>
      </w:pPr>
    </w:p>
    <w:p>
      <w:pPr>
        <w:widowControl/>
        <w:spacing w:before="100" w:beforeAutospacing="1" w:after="100" w:afterAutospacing="1" w:line="420" w:lineRule="atLeast"/>
        <w:ind w:firstLine="630" w:firstLineChars="196"/>
        <w:jc w:val="center"/>
        <w:rPr>
          <w:rFonts w:hint="eastAsia" w:ascii="宋体" w:hAnsi="宋体" w:cs="宋体"/>
          <w:b/>
          <w:bCs/>
          <w:color w:val="000000"/>
          <w:kern w:val="0"/>
          <w:sz w:val="32"/>
          <w:szCs w:val="32"/>
        </w:rPr>
      </w:pPr>
    </w:p>
    <w:p>
      <w:pPr>
        <w:widowControl/>
        <w:spacing w:before="100" w:beforeAutospacing="1" w:after="100" w:afterAutospacing="1" w:line="420" w:lineRule="atLeast"/>
        <w:ind w:firstLine="630" w:firstLineChars="196"/>
        <w:jc w:val="center"/>
        <w:rPr>
          <w:rFonts w:hint="eastAsia" w:ascii="宋体" w:hAnsi="宋体" w:cs="宋体"/>
          <w:b/>
          <w:bCs/>
          <w:color w:val="000000"/>
          <w:kern w:val="0"/>
          <w:sz w:val="32"/>
          <w:szCs w:val="32"/>
        </w:rPr>
      </w:pPr>
    </w:p>
    <w:p>
      <w:pPr>
        <w:widowControl/>
        <w:spacing w:before="100" w:beforeAutospacing="1" w:after="100" w:afterAutospacing="1" w:line="420" w:lineRule="atLeast"/>
        <w:rPr>
          <w:rFonts w:hint="eastAsia" w:ascii="宋体" w:hAnsi="宋体" w:cs="宋体"/>
          <w:b/>
          <w:bCs/>
          <w:color w:val="000000"/>
          <w:kern w:val="0"/>
          <w:sz w:val="32"/>
          <w:szCs w:val="32"/>
        </w:rPr>
      </w:pP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7"/>
        <w:tblW w:w="0" w:type="auto"/>
        <w:tblInd w:w="0" w:type="dxa"/>
        <w:tblLayout w:type="fixed"/>
        <w:tblCellMar>
          <w:top w:w="0" w:type="dxa"/>
          <w:left w:w="108" w:type="dxa"/>
          <w:bottom w:w="0" w:type="dxa"/>
          <w:right w:w="108" w:type="dxa"/>
        </w:tblCellMar>
      </w:tblPr>
      <w:tblGrid>
        <w:gridCol w:w="2136"/>
        <w:gridCol w:w="1275"/>
        <w:gridCol w:w="302"/>
        <w:gridCol w:w="1188"/>
        <w:gridCol w:w="389"/>
        <w:gridCol w:w="672"/>
        <w:gridCol w:w="3893"/>
      </w:tblGrid>
      <w:tr>
        <w:tblPrEx>
          <w:tblCellMar>
            <w:top w:w="0" w:type="dxa"/>
            <w:left w:w="108" w:type="dxa"/>
            <w:bottom w:w="0" w:type="dxa"/>
            <w:right w:w="108" w:type="dxa"/>
          </w:tblCellMar>
        </w:tblPrEx>
        <w:trPr>
          <w:wBefore w:w="0" w:type="dxa"/>
          <w:wAfter w:w="0" w:type="dxa"/>
          <w:trHeight w:val="405" w:hRule="atLeast"/>
        </w:trPr>
        <w:tc>
          <w:tcPr>
            <w:tcW w:w="9855" w:type="dxa"/>
            <w:gridSpan w:val="7"/>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wBefore w:w="0" w:type="dxa"/>
          <w:wAfter w:w="0" w:type="dxa"/>
          <w:trHeight w:val="285" w:hRule="atLeast"/>
        </w:trPr>
        <w:tc>
          <w:tcPr>
            <w:tcW w:w="2136"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72"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3893" w:type="dxa"/>
            <w:noWrap w:val="0"/>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wBefore w:w="0" w:type="dxa"/>
          <w:wAfter w:w="0" w:type="dxa"/>
          <w:trHeight w:val="688" w:hRule="atLeast"/>
        </w:trPr>
        <w:tc>
          <w:tcPr>
            <w:tcW w:w="2136"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1275"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2019年度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490"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2020年度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061"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3893"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wBefore w:w="0" w:type="dxa"/>
          <w:wAfter w:w="0" w:type="dxa"/>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90"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061"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wBefore w:w="0" w:type="dxa"/>
          <w:wAfter w:w="0" w:type="dxa"/>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490"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061"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wBefore w:w="0" w:type="dxa"/>
          <w:wAfter w:w="0" w:type="dxa"/>
          <w:trHeight w:val="57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5.00</w:t>
            </w:r>
          </w:p>
        </w:tc>
        <w:tc>
          <w:tcPr>
            <w:tcW w:w="1490"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7.5</w:t>
            </w:r>
          </w:p>
        </w:tc>
        <w:tc>
          <w:tcPr>
            <w:tcW w:w="1061"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+2.5</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增加执法执勤车辆运行费</w:t>
            </w:r>
          </w:p>
        </w:tc>
      </w:tr>
      <w:tr>
        <w:tblPrEx>
          <w:tblCellMar>
            <w:top w:w="0" w:type="dxa"/>
            <w:left w:w="108" w:type="dxa"/>
            <w:bottom w:w="0" w:type="dxa"/>
            <w:right w:w="108" w:type="dxa"/>
          </w:tblCellMar>
        </w:tblPrEx>
        <w:trPr>
          <w:wBefore w:w="0" w:type="dxa"/>
          <w:wAfter w:w="0" w:type="dxa"/>
          <w:trHeight w:val="605"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c>
          <w:tcPr>
            <w:tcW w:w="1490"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0.1</w:t>
            </w:r>
          </w:p>
        </w:tc>
        <w:tc>
          <w:tcPr>
            <w:tcW w:w="1061"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+0.1</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人员按比例计提增加</w:t>
            </w:r>
          </w:p>
        </w:tc>
      </w:tr>
      <w:tr>
        <w:tblPrEx>
          <w:tblCellMar>
            <w:top w:w="0" w:type="dxa"/>
            <w:left w:w="108" w:type="dxa"/>
            <w:bottom w:w="0" w:type="dxa"/>
            <w:right w:w="108" w:type="dxa"/>
          </w:tblCellMar>
        </w:tblPrEx>
        <w:trPr>
          <w:wBefore w:w="0" w:type="dxa"/>
          <w:wAfter w:w="0" w:type="dxa"/>
          <w:trHeight w:val="114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5.00</w:t>
            </w:r>
          </w:p>
        </w:tc>
        <w:tc>
          <w:tcPr>
            <w:tcW w:w="1490"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7.60</w:t>
            </w:r>
          </w:p>
        </w:tc>
        <w:tc>
          <w:tcPr>
            <w:tcW w:w="1061"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+2.6</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增加执法执勤车辆运行费及人员按比例计提</w:t>
            </w:r>
          </w:p>
        </w:tc>
      </w:tr>
    </w:tbl>
    <w:p>
      <w:pPr>
        <w:spacing w:line="240" w:lineRule="exact"/>
        <w:ind w:firstLine="630" w:firstLineChars="196"/>
        <w:jc w:val="left"/>
        <w:outlineLvl w:val="0"/>
        <w:rPr>
          <w:rFonts w:hint="eastAsia" w:ascii="宋体" w:hAnsi="宋体"/>
          <w:b/>
          <w:sz w:val="32"/>
          <w:szCs w:val="32"/>
        </w:rPr>
      </w:pPr>
    </w:p>
    <w:p>
      <w:pPr>
        <w:tabs>
          <w:tab w:val="center" w:pos="4880"/>
          <w:tab w:val="left" w:pos="7690"/>
        </w:tabs>
        <w:jc w:val="left"/>
        <w:rPr>
          <w:rFonts w:hint="eastAsia" w:ascii="宋体" w:hAnsi="宋体"/>
          <w:b/>
          <w:sz w:val="32"/>
          <w:szCs w:val="32"/>
        </w:rPr>
      </w:pPr>
      <w:r>
        <w:rPr>
          <w:rFonts w:hint="eastAsia" w:ascii="宋体" w:hAnsi="宋体"/>
          <w:b/>
          <w:sz w:val="32"/>
          <w:szCs w:val="32"/>
        </w:rPr>
        <w:tab/>
      </w:r>
      <w:r>
        <w:rPr>
          <w:rFonts w:hint="eastAsia" w:ascii="宋体" w:hAnsi="宋体"/>
          <w:b/>
          <w:sz w:val="32"/>
          <w:szCs w:val="32"/>
        </w:rPr>
        <w:t>第五部分：绩效预算信息</w:t>
      </w:r>
    </w:p>
    <w:p>
      <w:pPr>
        <w:ind w:firstLine="560" w:firstLineChars="200"/>
        <w:jc w:val="left"/>
        <w:outlineLvl w:val="1"/>
        <w:rPr>
          <w:rFonts w:hAnsi="宋体"/>
          <w:sz w:val="28"/>
        </w:rPr>
      </w:pPr>
      <w:r>
        <w:rPr>
          <w:rFonts w:hint="eastAsia" w:ascii="方正黑体_GBK" w:eastAsia="方正黑体_GBK"/>
          <w:sz w:val="28"/>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44508937"/>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以习近平新时代中国特色社会主义思想和党的十九大精神为指导，以喜迎新中国成立70周年为契机，坚持“文旅融合”发展战略，推动全域旅游快速发展，深化“旅游+”产业布局，构建有特色、有亮点、能带动、促融合、可持续的产业体系，弘扬旅发精神。拟定并组织实施全区文化艺术事业发展规划，开展全区文化事业调查研究，履行文化市场监管职责，加强非物质文化遗产保护和优秀民族文化的传承普及，开展文化宣传、交流、合作、保护等业务管理，努力推进文旅市场繁荣发展，较好完成了各项目标任务，为奋力推进宜居乐业新区、厚德尚美满城再创新辉煌做出新的更大贡献。</w:t>
      </w:r>
    </w:p>
    <w:p>
      <w:pPr>
        <w:spacing w:line="500" w:lineRule="exact"/>
        <w:jc w:val="left"/>
        <w:rPr>
          <w:rFonts w:eastAsia="方正仿宋_GBK"/>
          <w:sz w:val="28"/>
        </w:rPr>
      </w:pPr>
    </w:p>
    <w:p>
      <w:pPr>
        <w:spacing w:line="500" w:lineRule="exact"/>
        <w:ind w:firstLine="560" w:firstLineChars="200"/>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44508938"/>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1、深挖地方文化资源，促进公共文化领域发展。深入贯彻落实党的十九大和习近平总书记在文艺座谈会上的讲话精神，以文化惠民为抓手，以满足人民群众文化需求为宗旨，实施乡村文化振兴战略，全力推进公共文化领域重点改革任务。印发了《保定市满城区文化和旅游公共服务领域重点任务攻坚行动实施方案》（〔2019〕-80），调整了《区公共文化服务体系建设领导小组成员及成员单位职责分工》（〔2019〕-72）。制定了文化馆、图书馆服务目录，印发了《关于加快构建现代公共文化服务体系的实施意见》。全区11个乡镇全部建有乡镇综合文化站，183个行政村、6个社区均按照“五个一”标准建成村（社区）综合文化服务中心，在全区183个行政村设立了农家书屋，并对图书进行补充更新，达到了全覆盖，根据各村的实际情况对文艺器材进行了补充配备，更好地丰富了群众的业余文化生活。文化馆现为国家一级文化馆, 内设综合排练大厅、练歌房、群文辅导室和戏曲辅导室等，新建了西城社区、育才社区、夕阳红3个分馆，在市委宣传部、市文广旅局等5部门联合组织的保定市第一届青年歌手大奖赛中我区荣获“优秀组织奖”。图书馆建有藏书室、文献室、借阅室、老年阅览室、成人阅览室、儿童阅览室、报刊室阅览室、电子阅览室和残障室等功能分区，新建了借山而居民艺图书馆、西城社区图书馆和育才社区图书馆3个分馆，并创建了志愿者服务站。开展了文化下乡惠民演出101场、图书下乡阅读推广95次，创作作品30余篇，原创歌伴舞《追寻》受邀参加省“庆祝新中国成立七十周年文艺演出”，并受到一致好评，区文联被市文联授予“2019年度优秀文联”荣誉称号。</w:t>
      </w:r>
    </w:p>
    <w:p>
      <w:pPr>
        <w:spacing w:line="500" w:lineRule="exact"/>
        <w:ind w:firstLine="560" w:firstLineChars="200"/>
        <w:jc w:val="left"/>
        <w:rPr>
          <w:rFonts w:eastAsia="方正仿宋_GBK"/>
          <w:sz w:val="28"/>
        </w:rPr>
      </w:pPr>
      <w:r>
        <w:rPr>
          <w:rFonts w:eastAsia="方正仿宋_GBK"/>
          <w:sz w:val="28"/>
        </w:rPr>
        <w:t>2、充分挖掘旅游资源，促进经济发展。今年接待游客108.97万人次，综合社会效益1.2亿元，同比增长8﹪（扣除2018旅发大会接待数）。按照省市旅游厕所革命新三年行动计划，到2020年我区新建、改扩建旅游厕所20座以上。目前已完成23座，并录入了国家旅游厕所系统，完成了百度地图的标注等工作。保涞路、京赞线沿途节点驿站16处，按照谁受益、谁管理、谁维护的原则，切实加强公共服务设施的管理维护。对满城汉墓景区（4A）、大平台龙居瀑布景区（2A）进行了全面整改提升，积极推进天香乳业创建3A级工业园区。12月，天香乳业通过了保定市旅游资源规划开发质量评定委员会验收，达到了国家AAA级旅游景区标准要求。天香乳业AAA级旅游景区的创建成功，填补了我区工业旅游的空白，进一步完善了我区旅游业态。深入推进“旅游+”战略，满足人民群众多样化、多层次、多方面的旅游需求。全面落实旅游惠民政策，彰显改革发展成果，以喜迎新中国成立70周年为契机，聚焦“京津保+雄安”旅游大市场，通过节庆活动、多种方式宣传推介营销，吸引更多京津冀等地游客，叫响“一城山水、满城文化”旅游品牌。我区多家文旅企业及个人荣获2019年度市文旅行业“十佳”奖项，其中满城汉墓荣获十佳创建景区、秀兰文化小镇荣获十佳旅游新业态小镇、神湖四季生态园荣获十佳金牌农家乐、满城草莓基地荣获十佳旅游购物基地、文化馆荣获十佳公共文化场馆、周玲玉荣获十佳导游员和讲解员。</w:t>
      </w:r>
    </w:p>
    <w:p>
      <w:pPr>
        <w:spacing w:line="500" w:lineRule="exact"/>
        <w:ind w:firstLine="560" w:firstLineChars="200"/>
        <w:jc w:val="left"/>
        <w:rPr>
          <w:rFonts w:eastAsia="方正仿宋_GBK"/>
          <w:sz w:val="28"/>
        </w:rPr>
      </w:pPr>
      <w:r>
        <w:rPr>
          <w:rFonts w:eastAsia="方正仿宋_GBK"/>
          <w:sz w:val="28"/>
        </w:rPr>
        <w:t>3、保护为主，服务民生，提升文物利用率。按照国家文物局关于开展文物保护方案的要求，印发了《保定市满城区人民政府关于进一步加强全区文物保护工作的通知》（〔2019〕-33），与各乡镇签订了文物保护责任书，建立健全文物巡查制度，排查文物安全风险隐患。编制了《张柔墓文物保护规划》，并经河北省政府公布实施。文物勘探项目30余个，勘探面积53.3万平方米，最大限度的为项目单位提供快捷、方便、周到的服务。利用5·18国际博物馆日、文化和自然遗产日、12·4普法宣传日等活动，进一步加强文物保护宣传力度，使《</w:t>
      </w:r>
      <w:r>
        <w:rPr>
          <w:rFonts w:hint="eastAsia" w:eastAsia="方正仿宋_GBK"/>
          <w:sz w:val="28"/>
        </w:rPr>
        <w:t>中华人民共和国文物保护法</w:t>
      </w:r>
      <w:r>
        <w:rPr>
          <w:rFonts w:eastAsia="方正仿宋_GBK"/>
          <w:sz w:val="28"/>
        </w:rPr>
        <w:t>》家喻户晓。</w:t>
      </w:r>
    </w:p>
    <w:p>
      <w:pPr>
        <w:spacing w:line="500" w:lineRule="exact"/>
        <w:ind w:firstLine="560" w:firstLineChars="200"/>
        <w:jc w:val="left"/>
        <w:rPr>
          <w:rFonts w:eastAsia="方正仿宋_GBK"/>
          <w:sz w:val="28"/>
        </w:rPr>
      </w:pPr>
      <w:r>
        <w:rPr>
          <w:rFonts w:eastAsia="方正仿宋_GBK"/>
          <w:sz w:val="28"/>
        </w:rPr>
        <w:t>4、加强安全监管，创造安全和谐的生产环境。严格落实</w:t>
      </w:r>
      <w:r>
        <w:rPr>
          <w:rFonts w:hint="eastAsia" w:eastAsia="方正仿宋_GBK"/>
          <w:sz w:val="28"/>
        </w:rPr>
        <w:t>“安全第一、预防为主、综合治理”</w:t>
      </w:r>
      <w:r>
        <w:rPr>
          <w:rFonts w:eastAsia="方正仿宋_GBK"/>
          <w:sz w:val="28"/>
        </w:rPr>
        <w:t>的安全工作方针，增强“红线意识”和“底线思维”，做好安全生产警示教育，加强从业人员安全培训，结合“安全生产百日攻坚”、“打非治违”专项行动，在认真做好安全生产日常监管的同时，对重点时段、重点区域实施重点监管、重点检查、随机抽查，排查安全生产风险隐患。利用“安全生产月”、“119”消防日等载体，通过“微信”、“微博”、条幅、发放宣传材料等方式多形式多渠道地开展安全宣传，共发布信息30余条、悬挂条幅23条、发放资料700余份。组织系统培训4次，参训人员500余人次，应急演练4次。通过开展形式多样的安全宣传，提高了本系统安全防范意识和自我防护能力。</w:t>
      </w:r>
    </w:p>
    <w:p>
      <w:pPr>
        <w:spacing w:line="500" w:lineRule="exact"/>
        <w:ind w:firstLine="560" w:firstLineChars="200"/>
        <w:jc w:val="left"/>
        <w:rPr>
          <w:rFonts w:eastAsia="方正仿宋_GBK"/>
          <w:sz w:val="28"/>
        </w:rPr>
      </w:pPr>
      <w:r>
        <w:rPr>
          <w:rFonts w:eastAsia="方正仿宋_GBK"/>
          <w:sz w:val="28"/>
        </w:rPr>
        <w:t>5、加强市场监管，营造良好市场环境。坚持依法行政，切实履行监管职责，认真开展文化旅游市场集中行动和专项治理活动，严厉打击文化和旅游市场违法违规经营行为，加大公共视听载体视听节目的管理力度，营造良好的公共载体视听播放环境，印发了《关于开展户外大屏等公共载体播放视听节目专项治理工作实施方案》（〔2019〕-65）。开展专项整治行动集中执法16次，日常巡查200余次，出动执法人员300余人次，车辆100余台次。查处违法违规经营的网吧、网咖13家，印刷行业18家，书店3家，图书摊点1家，查处影咖1家，广播电视违规播放广告、擅自插播自办栏目案件2起，申请法院强制执行案件5件，受理上级主管部门转办案件2件，吊销《网络文化经营许可证》1家。在查处重大侵权盗版案件工作中作出突出贡献，区文化综合行政执法队被国家版权局授予三等奖，保定喵影咖侵犯著作权案专案组李满意、张树辉荣获个人三等奖。</w:t>
      </w:r>
    </w:p>
    <w:p>
      <w:pPr>
        <w:spacing w:line="500" w:lineRule="exact"/>
        <w:ind w:firstLine="560" w:firstLineChars="200"/>
        <w:jc w:val="left"/>
        <w:rPr>
          <w:rFonts w:eastAsia="方正仿宋_GBK"/>
          <w:sz w:val="28"/>
        </w:rPr>
      </w:pPr>
      <w:r>
        <w:rPr>
          <w:rFonts w:eastAsia="方正仿宋_GBK"/>
          <w:sz w:val="28"/>
        </w:rPr>
        <w:t>6、以文促旅，以旅彰文，推进文旅融合大发展。丰富文旅融合新内容：一方面以文化引领旅游发展方向、提升旅游供给质量，另一方面，以旅游增强文化发展活力、拓展文化传播渠道、扩大文化综合效益。策划举办了“汉文化与非遗展演—汉韵遗风”、“空竹节”、“风筝节”、“庆祝</w:t>
      </w:r>
      <w:r>
        <w:rPr>
          <w:rFonts w:hint="eastAsia" w:eastAsia="方正仿宋_GBK"/>
          <w:sz w:val="28"/>
          <w:lang w:eastAsia="zh-CN"/>
        </w:rPr>
        <w:t>中华人民共和国成立</w:t>
      </w:r>
      <w:r>
        <w:rPr>
          <w:rFonts w:eastAsia="方正仿宋_GBK"/>
          <w:sz w:val="28"/>
        </w:rPr>
        <w:t>70周年系列文化演出”等常态化演出活动，进一步推动文化和旅游深度融合，增加景区的文化含金量，传承了中华优秀传统文化，为新中国成立70周年营造了热烈喜庆的氛围。同时与河北博物院签订《河北省文化</w:t>
      </w:r>
      <w:bookmarkStart w:id="4" w:name="_GoBack"/>
      <w:bookmarkEnd w:id="4"/>
      <w:r>
        <w:rPr>
          <w:rFonts w:eastAsia="方正仿宋_GBK"/>
          <w:sz w:val="28"/>
        </w:rPr>
        <w:t>进景区》战略合作框架协议，建立长期战略合作伙伴关系，通过发挥各自资源优势，进行双向互动宣传、搭建文创交流平台、协商文物展览等全方位多角度展开合作，进一步促进文化和旅游协同发展。</w:t>
      </w:r>
    </w:p>
    <w:p>
      <w:pPr>
        <w:spacing w:line="500" w:lineRule="exact"/>
        <w:ind w:firstLine="560" w:firstLineChars="200"/>
        <w:jc w:val="left"/>
        <w:rPr>
          <w:rFonts w:eastAsia="方正仿宋_GBK"/>
          <w:sz w:val="28"/>
        </w:rPr>
      </w:pPr>
    </w:p>
    <w:p>
      <w:pPr>
        <w:spacing w:line="500" w:lineRule="exact"/>
        <w:ind w:firstLine="560" w:firstLineChars="200"/>
        <w:jc w:val="left"/>
        <w:outlineLvl w:val="1"/>
        <w:rPr>
          <w:rFonts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44508939"/>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1.推进公共文化领域改革，促进文化产业发展。全力推进图书馆评估晋级，拓展馆舍面积，增加图书量，完善服务功能，购置图书管理系统，全面实现对主馆和分馆的统一管理、统一采购、统一编目，实现通借通还，增加电子阅报机、电子阅读机、自动借阅机等设备，确保2020年9月底前图书馆晋级达标。做好文化下乡、非遗保护传承等工作，促进公共文化服务领域多元化、均衡化发展，打造文化品牌。</w:t>
      </w:r>
    </w:p>
    <w:p>
      <w:pPr>
        <w:spacing w:line="500" w:lineRule="exact"/>
        <w:ind w:firstLine="560" w:firstLineChars="200"/>
        <w:jc w:val="left"/>
        <w:rPr>
          <w:rFonts w:eastAsia="方正仿宋_GBK"/>
          <w:sz w:val="28"/>
        </w:rPr>
      </w:pPr>
      <w:r>
        <w:rPr>
          <w:rFonts w:eastAsia="方正仿宋_GBK"/>
          <w:sz w:val="28"/>
        </w:rPr>
        <w:t>2.深化“旅游+”战略，推动后旅发时代高质量发展。加快旅游与各领域、多方位、全链条深度融合，实现资源共享、优势互补、协同并进，为文旅发展提供新引擎、新动力，形成发展新优势。</w:t>
      </w:r>
    </w:p>
    <w:p>
      <w:pPr>
        <w:spacing w:line="500" w:lineRule="exact"/>
        <w:ind w:firstLine="560" w:firstLineChars="200"/>
        <w:jc w:val="left"/>
        <w:rPr>
          <w:rFonts w:eastAsia="方正仿宋_GBK"/>
          <w:sz w:val="28"/>
        </w:rPr>
      </w:pPr>
      <w:r>
        <w:rPr>
          <w:rFonts w:eastAsia="方正仿宋_GBK"/>
          <w:sz w:val="28"/>
        </w:rPr>
        <w:t>一是结合国家行业标准，加快推动“厕所革命”等各类旅游基础服务设施建设，做好现有基础服务设施的维护，全面推进景区提档升级和创建步伐。并积极协调相关部门，尽快补办、完善旅发建设项目手续，对已完善相关手续的，按照项目总体规划，全面加快工程建设进度。</w:t>
      </w:r>
    </w:p>
    <w:p>
      <w:pPr>
        <w:spacing w:line="500" w:lineRule="exact"/>
        <w:ind w:firstLine="560" w:firstLineChars="200"/>
        <w:jc w:val="left"/>
        <w:rPr>
          <w:rFonts w:eastAsia="方正仿宋_GBK"/>
          <w:sz w:val="28"/>
        </w:rPr>
      </w:pPr>
      <w:r>
        <w:rPr>
          <w:rFonts w:eastAsia="方正仿宋_GBK"/>
          <w:sz w:val="28"/>
        </w:rPr>
        <w:t>二是结合新农村建设及国家乡村旅游发展的实施意见，大力培育和加快推进乡村旅游产业，以突出打造景区依托型、城市近郊型、农业资源型、民俗风情型乡村旅游为重点，努力形成以柿子沟柿海观光采摘、龙潭休闲垂钓、西部山区赏自然美景田野游、南部草莓、葡萄采摘等为重点的乡村旅游大格局。以山居柿界、原乡里等民宿建设为样板，加快推进乡村旅游示范户、示范村的培育及民宿业的发展。以休闲农业园区、美丽乡村为重点，打造乡村旅游精品线路。</w:t>
      </w:r>
    </w:p>
    <w:p>
      <w:pPr>
        <w:spacing w:line="500" w:lineRule="exact"/>
        <w:ind w:firstLine="560" w:firstLineChars="200"/>
        <w:jc w:val="left"/>
        <w:rPr>
          <w:rFonts w:eastAsia="方正仿宋_GBK"/>
          <w:sz w:val="28"/>
        </w:rPr>
      </w:pPr>
      <w:r>
        <w:rPr>
          <w:rFonts w:eastAsia="方正仿宋_GBK"/>
          <w:sz w:val="28"/>
        </w:rPr>
        <w:t>三是以推进文化产品进景区、文化演艺进景区、非遗项目进景区、节庆活动进景区、文体赛事进景区、科普教育进景区、创意设施进景区和文化服务进景区等多种形式，讲好满城旅游故事，进一步提升景区文化品味和内涵，扩大满城旅游影响力。</w:t>
      </w:r>
    </w:p>
    <w:p>
      <w:pPr>
        <w:spacing w:line="500" w:lineRule="exact"/>
        <w:ind w:firstLine="560" w:firstLineChars="200"/>
        <w:jc w:val="left"/>
        <w:rPr>
          <w:rFonts w:eastAsia="方正仿宋_GBK"/>
          <w:sz w:val="28"/>
        </w:rPr>
      </w:pPr>
      <w:r>
        <w:rPr>
          <w:rFonts w:eastAsia="方正仿宋_GBK"/>
          <w:sz w:val="28"/>
        </w:rPr>
        <w:t>四是整合我区境内旅游资源，整体打包，广泛利用网络、微信、抖音等新兴媒体做好旅游资源的宣传推介，扩大知名度与影响力。同时，加强区域联合及与各地旅行商的合作，整合旅游线路，打好文旅融合牌，推出多条以周末休闲、度假、体验游为主，在京津冀乃至全国有影响力的旅游产品，广招客源，拉动我区旅游经济增长，叫响“一城山水、满城文化”旅游品牌。</w:t>
      </w:r>
    </w:p>
    <w:p>
      <w:pPr>
        <w:spacing w:line="500" w:lineRule="exact"/>
        <w:ind w:firstLine="560" w:firstLineChars="200"/>
        <w:jc w:val="left"/>
        <w:rPr>
          <w:rFonts w:eastAsia="方正仿宋_GBK"/>
          <w:sz w:val="28"/>
        </w:rPr>
      </w:pPr>
      <w:r>
        <w:rPr>
          <w:rFonts w:eastAsia="方正仿宋_GBK"/>
          <w:sz w:val="28"/>
        </w:rPr>
        <w:t>3.做好文物保护，推进历史文化传承。以文物安全为抓手，以排查安全隐患为导向，做到早发现，早处置，将风险隐患消灭于萌芽状态，确保文物安全。启动实施规划张柔墓文物保护方案。</w:t>
      </w:r>
    </w:p>
    <w:p>
      <w:pPr>
        <w:spacing w:line="500" w:lineRule="exact"/>
        <w:ind w:firstLine="560" w:firstLineChars="200"/>
        <w:jc w:val="left"/>
        <w:rPr>
          <w:rFonts w:eastAsia="方正仿宋_GBK"/>
          <w:sz w:val="28"/>
        </w:rPr>
      </w:pPr>
      <w:r>
        <w:rPr>
          <w:rFonts w:eastAsia="方正仿宋_GBK"/>
          <w:sz w:val="28"/>
        </w:rPr>
        <w:t>4.规范文化旅游市场秩序，有效净化文旅市场环境。切实加强基层执法队伍建设，提升文化旅游市场综合执法能力和水平。加强对文化、旅游市场主体的诚信、守法教育，发挥好市场主体的自律作用，引导和支持从业人员规范服务、诚信经营。积极开展“扫黄打非”工作，加大文化旅游市场监管力度，普及法律法规知识，营造健康有序的文旅市场环境。</w:t>
      </w:r>
    </w:p>
    <w:p>
      <w:pPr>
        <w:spacing w:line="500" w:lineRule="exact"/>
        <w:ind w:firstLine="560" w:firstLineChars="200"/>
        <w:jc w:val="left"/>
        <w:rPr>
          <w:rFonts w:eastAsia="方正仿宋_GBK"/>
          <w:sz w:val="28"/>
        </w:rPr>
      </w:pPr>
    </w:p>
    <w:p>
      <w:pPr>
        <w:ind w:firstLine="560" w:firstLineChars="200"/>
        <w:jc w:val="center"/>
        <w:rPr>
          <w:rFonts w:hint="eastAsia" w:ascii="方正书宋_GBK" w:eastAsia="方正书宋_GBK"/>
          <w:sz w:val="28"/>
          <w:szCs w:val="28"/>
        </w:rPr>
      </w:pPr>
    </w:p>
    <w:p>
      <w:pPr>
        <w:ind w:firstLine="560" w:firstLineChars="200"/>
        <w:jc w:val="center"/>
        <w:rPr>
          <w:rFonts w:hint="eastAsia" w:ascii="方正书宋_GBK" w:eastAsia="方正书宋_GBK"/>
          <w:sz w:val="28"/>
          <w:szCs w:val="28"/>
        </w:rPr>
      </w:pPr>
    </w:p>
    <w:p>
      <w:pPr>
        <w:ind w:firstLine="560" w:firstLineChars="200"/>
        <w:jc w:val="center"/>
        <w:rPr>
          <w:rFonts w:hint="eastAsia" w:ascii="方正书宋_GBK" w:eastAsia="方正书宋_GBK"/>
          <w:sz w:val="28"/>
          <w:szCs w:val="28"/>
        </w:rPr>
      </w:pPr>
    </w:p>
    <w:p>
      <w:pPr>
        <w:ind w:firstLine="560" w:firstLineChars="200"/>
        <w:jc w:val="center"/>
        <w:rPr>
          <w:rFonts w:hAnsi="宋体"/>
          <w:sz w:val="28"/>
          <w:szCs w:val="28"/>
        </w:rPr>
        <w:sectPr>
          <w:footerReference r:id="rId3" w:type="default"/>
          <w:type w:val="continuous"/>
          <w:pgSz w:w="16839" w:h="11907" w:orient="landscape"/>
          <w:pgMar w:top="1304" w:right="1984" w:bottom="1134" w:left="1134" w:header="851" w:footer="992" w:gutter="0"/>
          <w:pgNumType w:start="1"/>
          <w:cols w:space="720" w:num="1"/>
          <w:docGrid w:type="lines" w:linePitch="312" w:charSpace="0"/>
        </w:sectPr>
      </w:pPr>
      <w:r>
        <w:rPr>
          <w:rFonts w:hint="eastAsia" w:ascii="方正书宋_GBK" w:eastAsia="方正书宋_GBK"/>
          <w:sz w:val="28"/>
          <w:szCs w:val="28"/>
        </w:rPr>
        <w:t>专项资金绩效目标</w:t>
      </w:r>
      <w:r>
        <w:rPr>
          <w:rFonts w:ascii="方正书宋_GBK" w:eastAsia="方正书宋_GBK"/>
          <w:sz w:val="28"/>
          <w:szCs w:val="28"/>
        </w:rPr>
        <w:t xml:space="preserve"> </w:t>
      </w:r>
    </w:p>
    <w:p>
      <w:pPr>
        <w:rPr>
          <w:rFonts w:hAnsi="宋体"/>
          <w:sz w:val="52"/>
        </w:rPr>
        <w:sectPr>
          <w:type w:val="continuous"/>
          <w:pgSz w:w="16839" w:h="11907" w:orient="landscape"/>
          <w:pgMar w:top="1304" w:right="1984" w:bottom="1134" w:left="1134" w:header="851" w:footer="992" w:gutter="0"/>
          <w:cols w:space="720" w:num="1"/>
          <w:docGrid w:type="lines" w:linePitch="312" w:charSpace="0"/>
        </w:sectPr>
      </w:pPr>
    </w:p>
    <w:p>
      <w:pPr>
        <w:jc w:val="left"/>
        <w:outlineLvl w:val="1"/>
        <w:rPr>
          <w:rFonts w:hAnsi="宋体"/>
          <w:b/>
          <w:sz w:val="28"/>
        </w:rPr>
      </w:pPr>
      <w:r>
        <w:rPr>
          <w:rFonts w:hint="eastAsia" w:ascii="方正仿宋_GBK" w:eastAsia="方正仿宋_GBK"/>
          <w:b/>
          <w:sz w:val="28"/>
        </w:rPr>
        <w:t>1、提前下达2020年中央补助地方美术馆、公共图书馆、文化馆（站）免费开放补助资金绩效目标表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508940"/>
      <w:r>
        <w:rPr>
          <w:rFonts w:hint="eastAsia" w:ascii="方正仿宋_GBK" w:eastAsia="方正仿宋_GBK"/>
          <w:b/>
          <w:sz w:val="28"/>
        </w:rPr>
        <w:instrText xml:space="preserve">1、提前下达2020年中央补助地方美术馆、公共图书馆、文化馆（站）免费开放补助资金绩效目标表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420002</w:t>
            </w:r>
            <w:r>
              <w:rPr>
                <w:rFonts w:hint="eastAsia" w:ascii="方正书宋_GBK" w:eastAsia="方正书宋_GBK"/>
                <w:b/>
              </w:rPr>
              <w:t>保定市满城区文化广电和旅游局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420-1103-JSN-67W4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2020</w:t>
            </w:r>
            <w:r>
              <w:rPr>
                <w:rFonts w:hint="eastAsia" w:ascii="方正书宋_GBK" w:eastAsia="方正书宋_GBK"/>
              </w:rPr>
              <w:t>年中央补助地方美术馆、公共图书馆、文化馆（站）免费开放补助资金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47.50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47.50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文化馆、图书馆（站）免费开放资金用于开展基本公共文化服务项目，全面实施免费开放提供硬件必要的保障，开展宣传活动，组织公益性群众文化活动，基础文化业务骨干业务辅导等。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、文化馆、图书馆（站）全部免费向社会公众开展基本公共文化服务。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、实现公共文化资源共享，形成城乡一体公共文化服务网络，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补助资金到位率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补助资金到位情况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补助资金百分百到位</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举办文化活动较上年增长率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文化活动场次较上年增长比率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文化活动场次较上年有增长</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免费开放文化场馆（站）正常运转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保证群众能够有看书、活动的场所</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大于等于</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免费开放服务水平稳步提升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提高服务水平，让群众获得幸福感</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受益群众对免费开放场馆（站）服务的满意度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从服务质量和自身建设上达到群众的期望和认可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满意度大于等于百分之九十</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文件依据</w:t>
            </w:r>
          </w:p>
        </w:tc>
      </w:tr>
    </w:tbl>
    <w:p>
      <w:pPr>
        <w:spacing w:line="300" w:lineRule="exact"/>
        <w:ind w:firstLine="420" w:firstLineChars="200"/>
        <w:jc w:val="left"/>
        <w:sectPr>
          <w:type w:val="continuous"/>
          <w:pgSz w:w="16839" w:h="11907" w:orient="landscape"/>
          <w:pgMar w:top="1304" w:right="1984" w:bottom="1134" w:left="1134" w:header="851" w:footer="992" w:gutter="0"/>
          <w:cols w:space="720" w:num="1"/>
          <w:docGrid w:type="lines" w:linePitch="312" w:charSpace="0"/>
        </w:sectPr>
      </w:pPr>
    </w:p>
    <w:p>
      <w:pPr>
        <w:spacing w:line="300" w:lineRule="exact"/>
        <w:ind w:firstLine="420" w:firstLineChars="200"/>
        <w:jc w:val="left"/>
      </w:pPr>
    </w:p>
    <w:p>
      <w:pPr>
        <w:ind w:firstLine="560" w:firstLineChars="200"/>
        <w:jc w:val="center"/>
        <w:rPr>
          <w:rFonts w:eastAsia="方正仿宋_GBK"/>
          <w:sz w:val="28"/>
        </w:rPr>
      </w:pPr>
    </w:p>
    <w:p>
      <w:pPr>
        <w:tabs>
          <w:tab w:val="center" w:pos="4880"/>
          <w:tab w:val="left" w:pos="7690"/>
        </w:tabs>
        <w:jc w:val="left"/>
        <w:rPr>
          <w:rFonts w:hint="eastAsia" w:ascii="宋体" w:hAnsi="宋体"/>
          <w:b/>
          <w:sz w:val="32"/>
          <w:szCs w:val="32"/>
        </w:rPr>
      </w:pPr>
    </w:p>
    <w:p>
      <w:pPr>
        <w:tabs>
          <w:tab w:val="center" w:pos="4880"/>
          <w:tab w:val="left" w:pos="7690"/>
        </w:tabs>
        <w:jc w:val="left"/>
        <w:rPr>
          <w:rFonts w:hint="eastAsia" w:ascii="宋体" w:hAnsi="宋体"/>
          <w:b/>
          <w:sz w:val="32"/>
          <w:szCs w:val="32"/>
        </w:rPr>
      </w:pPr>
    </w:p>
    <w:p>
      <w:pPr>
        <w:tabs>
          <w:tab w:val="center" w:pos="4880"/>
          <w:tab w:val="left" w:pos="7690"/>
        </w:tabs>
        <w:jc w:val="left"/>
        <w:rPr>
          <w:rFonts w:hint="eastAsia" w:ascii="宋体" w:hAnsi="宋体"/>
          <w:b/>
          <w:sz w:val="32"/>
          <w:szCs w:val="32"/>
        </w:rPr>
      </w:pPr>
    </w:p>
    <w:p>
      <w:pPr>
        <w:tabs>
          <w:tab w:val="center" w:pos="4880"/>
          <w:tab w:val="left" w:pos="7690"/>
        </w:tabs>
        <w:jc w:val="left"/>
        <w:rPr>
          <w:rFonts w:hint="eastAsia" w:ascii="宋体" w:hAnsi="宋体"/>
          <w:b/>
          <w:sz w:val="32"/>
          <w:szCs w:val="32"/>
        </w:rPr>
      </w:pPr>
    </w:p>
    <w:p>
      <w:pPr>
        <w:tabs>
          <w:tab w:val="center" w:pos="4880"/>
          <w:tab w:val="left" w:pos="7690"/>
        </w:tabs>
        <w:jc w:val="left"/>
        <w:rPr>
          <w:rFonts w:hint="eastAsia" w:ascii="宋体" w:hAnsi="宋体"/>
          <w:b/>
          <w:sz w:val="32"/>
          <w:szCs w:val="32"/>
        </w:rPr>
      </w:pPr>
    </w:p>
    <w:p>
      <w:pPr>
        <w:tabs>
          <w:tab w:val="center" w:pos="4880"/>
          <w:tab w:val="left" w:pos="7690"/>
        </w:tabs>
        <w:jc w:val="left"/>
        <w:rPr>
          <w:rFonts w:hint="eastAsia" w:ascii="宋体" w:hAnsi="宋体"/>
          <w:b/>
          <w:sz w:val="32"/>
          <w:szCs w:val="32"/>
        </w:rPr>
      </w:pPr>
    </w:p>
    <w:p>
      <w:pPr>
        <w:tabs>
          <w:tab w:val="center" w:pos="4880"/>
          <w:tab w:val="left" w:pos="7690"/>
        </w:tabs>
        <w:jc w:val="left"/>
        <w:rPr>
          <w:rFonts w:hint="eastAsia" w:ascii="宋体" w:hAnsi="宋体"/>
          <w:b/>
          <w:sz w:val="32"/>
          <w:szCs w:val="32"/>
        </w:rPr>
      </w:pPr>
      <w:r>
        <w:rPr>
          <w:rFonts w:hint="eastAsia" w:ascii="宋体" w:hAnsi="宋体"/>
          <w:b/>
          <w:sz w:val="32"/>
          <w:szCs w:val="32"/>
        </w:rPr>
        <w:tab/>
      </w:r>
    </w:p>
    <w:p>
      <w:pPr>
        <w:jc w:val="center"/>
        <w:rPr>
          <w:rFonts w:hint="eastAsia" w:ascii="宋体" w:hAnsi="宋体"/>
          <w:b/>
          <w:sz w:val="32"/>
          <w:szCs w:val="32"/>
        </w:rPr>
      </w:pPr>
      <w:r>
        <w:rPr>
          <w:rFonts w:hint="eastAsia" w:ascii="宋体" w:hAnsi="宋体"/>
          <w:b/>
          <w:sz w:val="32"/>
          <w:szCs w:val="32"/>
        </w:rPr>
        <w:t>第六部分 政府采购预算情况</w:t>
      </w:r>
    </w:p>
    <w:p>
      <w:pPr>
        <w:ind w:firstLine="640" w:firstLineChars="200"/>
        <w:rPr>
          <w:rFonts w:hint="eastAsia" w:ascii="宋体" w:hAnsi="宋体"/>
          <w:sz w:val="32"/>
          <w:szCs w:val="32"/>
        </w:rPr>
      </w:pPr>
    </w:p>
    <w:p>
      <w:pPr>
        <w:ind w:firstLine="640" w:firstLineChars="200"/>
        <w:rPr>
          <w:rFonts w:ascii="宋体" w:hAnsi="宋体"/>
          <w:sz w:val="32"/>
          <w:szCs w:val="32"/>
        </w:rPr>
      </w:pPr>
      <w:r>
        <w:rPr>
          <w:rFonts w:hint="eastAsia" w:ascii="宋体" w:hAnsi="宋体"/>
          <w:sz w:val="32"/>
          <w:szCs w:val="32"/>
        </w:rPr>
        <w:t>2020年度没有政府采购预算，空表列示。</w:t>
      </w: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hint="eastAsia" w:ascii="宋体" w:hAnsi="宋体" w:cs="宋体"/>
          <w:sz w:val="32"/>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7"/>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ind w:firstLine="640" w:firstLineChars="200"/>
        <w:rPr>
          <w:rFonts w:hint="eastAsia" w:ascii="宋体" w:hAnsi="宋体"/>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hint="eastAsia" w:ascii="宋体" w:hAnsi="宋体"/>
          <w:sz w:val="32"/>
          <w:szCs w:val="32"/>
        </w:rPr>
      </w:pPr>
    </w:p>
    <w:p>
      <w:pPr>
        <w:spacing w:line="520" w:lineRule="exact"/>
        <w:ind w:firstLine="640" w:firstLineChars="200"/>
        <w:rPr>
          <w:rFonts w:hint="eastAsia" w:ascii="宋体" w:hAnsi="宋体"/>
          <w:sz w:val="32"/>
          <w:szCs w:val="32"/>
        </w:rPr>
      </w:pPr>
      <w:r>
        <w:rPr>
          <w:rFonts w:hint="eastAsia" w:ascii="宋体" w:hAnsi="宋体"/>
          <w:sz w:val="32"/>
          <w:szCs w:val="32"/>
        </w:rPr>
        <w:t xml:space="preserve">  </w:t>
      </w:r>
      <w:r>
        <w:rPr>
          <w:rFonts w:hint="eastAsia" w:ascii="宋体" w:hAnsi="宋体" w:cs="宋体"/>
          <w:kern w:val="0"/>
          <w:sz w:val="32"/>
          <w:szCs w:val="32"/>
        </w:rPr>
        <w:t>保定市满城区文化广电和旅游发展局</w:t>
      </w:r>
      <w:r>
        <w:rPr>
          <w:rFonts w:hint="eastAsia" w:ascii="宋体" w:hAnsi="宋体"/>
          <w:sz w:val="32"/>
          <w:szCs w:val="32"/>
        </w:rPr>
        <w:t>2019年末固定资产总金额427.27万元（详见下表）。 2020年没有购买固定资产预算。</w:t>
      </w:r>
    </w:p>
    <w:tbl>
      <w:tblPr>
        <w:tblStyle w:val="7"/>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dxa"/>
          <w:wAfter w:w="0" w:type="dxa"/>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cs="宋体"/>
                <w:b/>
                <w:color w:val="000000"/>
                <w:kern w:val="0"/>
                <w:sz w:val="28"/>
                <w:szCs w:val="28"/>
              </w:rPr>
            </w:pPr>
            <w:r>
              <w:rPr>
                <w:rFonts w:hint="eastAsia" w:ascii="宋体" w:hAnsi="宋体"/>
                <w:b/>
                <w:sz w:val="32"/>
                <w:szCs w:val="32"/>
              </w:rPr>
              <w:t>保定市满城区文化广电和旅游局固定资产占用情况表</w:t>
            </w:r>
          </w:p>
        </w:tc>
      </w:tr>
      <w:tr>
        <w:tblPrEx>
          <w:tblCellMar>
            <w:top w:w="0" w:type="dxa"/>
            <w:left w:w="108" w:type="dxa"/>
            <w:bottom w:w="0" w:type="dxa"/>
            <w:right w:w="108" w:type="dxa"/>
          </w:tblCellMar>
        </w:tblPrEx>
        <w:trPr>
          <w:wBefore w:w="0" w:type="dxa"/>
          <w:wAfter w:w="0" w:type="dxa"/>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bCs/>
                <w:color w:val="000000"/>
                <w:kern w:val="0"/>
                <w:sz w:val="32"/>
                <w:szCs w:val="32"/>
              </w:rPr>
              <w:t xml:space="preserve">                           截止时间：2019年12月31日</w:t>
            </w:r>
          </w:p>
        </w:tc>
      </w:tr>
      <w:tr>
        <w:tblPrEx>
          <w:tblCellMar>
            <w:top w:w="0" w:type="dxa"/>
            <w:left w:w="108" w:type="dxa"/>
            <w:bottom w:w="0" w:type="dxa"/>
            <w:right w:w="108" w:type="dxa"/>
          </w:tblCellMar>
        </w:tblPrEx>
        <w:trPr>
          <w:wBefore w:w="0" w:type="dxa"/>
          <w:wAfter w:w="0" w:type="dxa"/>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dxa"/>
          <w:wAfter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color w:val="000000"/>
                <w:kern w:val="0"/>
                <w:sz w:val="24"/>
                <w:szCs w:val="24"/>
              </w:rPr>
              <w:t>427.27</w:t>
            </w:r>
          </w:p>
        </w:tc>
      </w:tr>
      <w:tr>
        <w:tblPrEx>
          <w:tblCellMar>
            <w:top w:w="0" w:type="dxa"/>
            <w:left w:w="108" w:type="dxa"/>
            <w:bottom w:w="0" w:type="dxa"/>
            <w:right w:w="108" w:type="dxa"/>
          </w:tblCellMar>
        </w:tblPrEx>
        <w:trPr>
          <w:wBefore w:w="0" w:type="dxa"/>
          <w:wAfter w:w="0" w:type="dxa"/>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2300</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305.3</w:t>
            </w:r>
          </w:p>
        </w:tc>
      </w:tr>
      <w:tr>
        <w:tblPrEx>
          <w:tblCellMar>
            <w:top w:w="0" w:type="dxa"/>
            <w:left w:w="108" w:type="dxa"/>
            <w:bottom w:w="0" w:type="dxa"/>
            <w:right w:w="108" w:type="dxa"/>
          </w:tblCellMar>
        </w:tblPrEx>
        <w:trPr>
          <w:wBefore w:w="0" w:type="dxa"/>
          <w:wAfter w:w="0" w:type="dxa"/>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260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25.26</w:t>
            </w:r>
          </w:p>
        </w:tc>
      </w:tr>
      <w:tr>
        <w:tblPrEx>
          <w:tblCellMar>
            <w:top w:w="0" w:type="dxa"/>
            <w:left w:w="108" w:type="dxa"/>
            <w:bottom w:w="0" w:type="dxa"/>
            <w:right w:w="108" w:type="dxa"/>
          </w:tblCellMar>
        </w:tblPrEx>
        <w:trPr>
          <w:wBefore w:w="0" w:type="dxa"/>
          <w:wAfter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24.54</w:t>
            </w:r>
          </w:p>
        </w:tc>
      </w:tr>
      <w:tr>
        <w:tblPrEx>
          <w:tblCellMar>
            <w:top w:w="0" w:type="dxa"/>
            <w:left w:w="108" w:type="dxa"/>
            <w:bottom w:w="0" w:type="dxa"/>
            <w:right w:w="108" w:type="dxa"/>
          </w:tblCellMar>
        </w:tblPrEx>
        <w:trPr>
          <w:wBefore w:w="0" w:type="dxa"/>
          <w:wAfter w:w="0" w:type="dxa"/>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wBefore w:w="0" w:type="dxa"/>
          <w:wAfter w:w="0" w:type="dxa"/>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97.43</w:t>
            </w:r>
          </w:p>
        </w:tc>
      </w:tr>
    </w:tbl>
    <w:p>
      <w:pPr>
        <w:rPr>
          <w:rFonts w:hint="eastAsia" w:ascii="宋体" w:hAnsi="宋体"/>
          <w:sz w:val="32"/>
          <w:szCs w:val="32"/>
        </w:rPr>
      </w:pPr>
      <w:r>
        <w:rPr>
          <w:rFonts w:ascii="宋体" w:hAnsi="宋体"/>
          <w:sz w:val="32"/>
          <w:szCs w:val="32"/>
        </w:rPr>
        <w:br w:type="textWrapping" w:clear="all"/>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hint="eastAsia"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hint="eastAsia" w:ascii="宋体" w:hAnsi="宋体"/>
          <w:sz w:val="32"/>
          <w:szCs w:val="32"/>
        </w:rPr>
      </w:pPr>
    </w:p>
    <w:p>
      <w:pPr>
        <w:ind w:firstLine="803" w:firstLineChars="250"/>
        <w:jc w:val="center"/>
        <w:rPr>
          <w:rFonts w:hint="eastAsia" w:ascii="宋体" w:hAnsi="宋体"/>
          <w:b/>
          <w:sz w:val="32"/>
          <w:szCs w:val="32"/>
        </w:rPr>
      </w:pPr>
      <w:r>
        <w:rPr>
          <w:rFonts w:hint="eastAsia" w:ascii="宋体" w:hAnsi="宋体"/>
          <w:b/>
          <w:sz w:val="32"/>
          <w:szCs w:val="32"/>
        </w:rPr>
        <w:t>第九部分：其他需说明的事项</w:t>
      </w:r>
    </w:p>
    <w:p>
      <w:pPr>
        <w:ind w:firstLine="800" w:firstLineChars="250"/>
        <w:rPr>
          <w:rFonts w:hint="eastAsia" w:ascii="宋体" w:hAnsi="宋体"/>
          <w:sz w:val="32"/>
          <w:szCs w:val="32"/>
        </w:rPr>
      </w:pPr>
    </w:p>
    <w:p>
      <w:pPr>
        <w:ind w:firstLine="800" w:firstLineChars="250"/>
        <w:rPr>
          <w:rFonts w:hint="eastAsia" w:ascii="宋体" w:hAnsi="宋体"/>
          <w:sz w:val="32"/>
          <w:szCs w:val="32"/>
        </w:rPr>
      </w:pPr>
      <w:r>
        <w:rPr>
          <w:rFonts w:hint="eastAsia" w:ascii="宋体" w:hAnsi="宋体"/>
          <w:sz w:val="32"/>
          <w:szCs w:val="32"/>
        </w:rPr>
        <w:t xml:space="preserve">无其他需说明的事项。           </w:t>
      </w:r>
    </w:p>
    <w:sectPr>
      <w:type w:val="continuous"/>
      <w:pgSz w:w="16839" w:h="11907" w:orient="landscape"/>
      <w:pgMar w:top="1134" w:right="1531"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roman"/>
    <w:pitch w:val="default"/>
    <w:sig w:usb0="A00002BF" w:usb1="38CF7CFA" w:usb2="00082016" w:usb3="00000000" w:csb0="00040001" w:csb1="00000000"/>
  </w:font>
  <w:font w:name="方正黑体_GBK">
    <w:altName w:val="微软雅黑"/>
    <w:panose1 w:val="02000000000000000000"/>
    <w:charset w:val="86"/>
    <w:family w:val="roman"/>
    <w:pitch w:val="default"/>
    <w:sig w:usb0="A00002BF" w:usb1="38CF7CFA" w:usb2="00082016" w:usb3="00000000" w:csb0="00040001" w:csb1="00000000"/>
  </w:font>
  <w:font w:name="方正仿宋_GBK">
    <w:altName w:val="微软雅黑"/>
    <w:panose1 w:val="02000000000000000000"/>
    <w:charset w:val="86"/>
    <w:family w:val="roman"/>
    <w:pitch w:val="default"/>
    <w:sig w:usb0="A00002BF" w:usb1="38CF7CFA" w:usb2="00082016" w:usb3="00000000" w:csb0="00040001" w:csb1="00000000"/>
  </w:font>
  <w:font w:name="方正书宋_GBK">
    <w:altName w:val="微软雅黑"/>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lang/>
      </w:rPr>
      <w:t>1</w:t>
    </w:r>
    <w:r>
      <w:rPr>
        <w:rStyle w:val="9"/>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47A2C2"/>
    <w:multiLevelType w:val="singleLevel"/>
    <w:tmpl w:val="5E47A2C2"/>
    <w:lvl w:ilvl="0" w:tentative="0">
      <w:start w:val="1"/>
      <w:numFmt w:val="chineseCounting"/>
      <w:suff w:val="nothing"/>
      <w:lvlText w:val="（%1）"/>
      <w:lvlJc w:val="left"/>
    </w:lvl>
  </w:abstractNum>
  <w:abstractNum w:abstractNumId="1">
    <w:nsid w:val="5E492C11"/>
    <w:multiLevelType w:val="singleLevel"/>
    <w:tmpl w:val="5E492C11"/>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0"/>
    <w:rsid w:val="0002241E"/>
    <w:rsid w:val="00027501"/>
    <w:rsid w:val="000A6D4E"/>
    <w:rsid w:val="000B0138"/>
    <w:rsid w:val="000C6570"/>
    <w:rsid w:val="000C6A64"/>
    <w:rsid w:val="000E0F9A"/>
    <w:rsid w:val="000F373C"/>
    <w:rsid w:val="000F5E7D"/>
    <w:rsid w:val="001166FA"/>
    <w:rsid w:val="00120705"/>
    <w:rsid w:val="0012577A"/>
    <w:rsid w:val="001631F6"/>
    <w:rsid w:val="00193698"/>
    <w:rsid w:val="001E69E0"/>
    <w:rsid w:val="001F2B25"/>
    <w:rsid w:val="001F6A3F"/>
    <w:rsid w:val="00227EB5"/>
    <w:rsid w:val="00251FAA"/>
    <w:rsid w:val="00261931"/>
    <w:rsid w:val="00280335"/>
    <w:rsid w:val="002A2666"/>
    <w:rsid w:val="002D4820"/>
    <w:rsid w:val="002D4851"/>
    <w:rsid w:val="002E68A1"/>
    <w:rsid w:val="002F0279"/>
    <w:rsid w:val="0031096A"/>
    <w:rsid w:val="00337D2A"/>
    <w:rsid w:val="0034678A"/>
    <w:rsid w:val="00350C0C"/>
    <w:rsid w:val="00357490"/>
    <w:rsid w:val="00360116"/>
    <w:rsid w:val="003B5509"/>
    <w:rsid w:val="00404251"/>
    <w:rsid w:val="00421293"/>
    <w:rsid w:val="004226CB"/>
    <w:rsid w:val="00435EF2"/>
    <w:rsid w:val="0045397E"/>
    <w:rsid w:val="00455FF5"/>
    <w:rsid w:val="004734F8"/>
    <w:rsid w:val="0049258C"/>
    <w:rsid w:val="004C6B50"/>
    <w:rsid w:val="004C7932"/>
    <w:rsid w:val="004D0BF0"/>
    <w:rsid w:val="004D7BFB"/>
    <w:rsid w:val="004E5EA1"/>
    <w:rsid w:val="00502ECF"/>
    <w:rsid w:val="005108FD"/>
    <w:rsid w:val="005229F0"/>
    <w:rsid w:val="00524B25"/>
    <w:rsid w:val="005267DC"/>
    <w:rsid w:val="0053244C"/>
    <w:rsid w:val="00532C55"/>
    <w:rsid w:val="005371DC"/>
    <w:rsid w:val="00552B4A"/>
    <w:rsid w:val="00587E61"/>
    <w:rsid w:val="005C5456"/>
    <w:rsid w:val="005F3A08"/>
    <w:rsid w:val="0062631B"/>
    <w:rsid w:val="0063487B"/>
    <w:rsid w:val="00655A14"/>
    <w:rsid w:val="00693789"/>
    <w:rsid w:val="006D5751"/>
    <w:rsid w:val="00733E67"/>
    <w:rsid w:val="0073562D"/>
    <w:rsid w:val="007405DF"/>
    <w:rsid w:val="00741245"/>
    <w:rsid w:val="00742AF8"/>
    <w:rsid w:val="00752A9A"/>
    <w:rsid w:val="00757848"/>
    <w:rsid w:val="00761B0E"/>
    <w:rsid w:val="0077741B"/>
    <w:rsid w:val="007C7EEA"/>
    <w:rsid w:val="007E3E18"/>
    <w:rsid w:val="00820906"/>
    <w:rsid w:val="008257EB"/>
    <w:rsid w:val="00831CE0"/>
    <w:rsid w:val="008362B4"/>
    <w:rsid w:val="008472F5"/>
    <w:rsid w:val="00847BB8"/>
    <w:rsid w:val="0085086E"/>
    <w:rsid w:val="008C7D90"/>
    <w:rsid w:val="008E58B2"/>
    <w:rsid w:val="008F5C6B"/>
    <w:rsid w:val="0090479C"/>
    <w:rsid w:val="009210D0"/>
    <w:rsid w:val="00966566"/>
    <w:rsid w:val="0097283A"/>
    <w:rsid w:val="00975025"/>
    <w:rsid w:val="0098017F"/>
    <w:rsid w:val="009952BC"/>
    <w:rsid w:val="009C0521"/>
    <w:rsid w:val="009C1C6E"/>
    <w:rsid w:val="009D3D40"/>
    <w:rsid w:val="009D7185"/>
    <w:rsid w:val="009E16AC"/>
    <w:rsid w:val="009E5FAA"/>
    <w:rsid w:val="00A1436D"/>
    <w:rsid w:val="00A26227"/>
    <w:rsid w:val="00A42CC5"/>
    <w:rsid w:val="00A7420E"/>
    <w:rsid w:val="00AA2330"/>
    <w:rsid w:val="00B27D35"/>
    <w:rsid w:val="00B353E4"/>
    <w:rsid w:val="00B64CA7"/>
    <w:rsid w:val="00B84A64"/>
    <w:rsid w:val="00B86E9A"/>
    <w:rsid w:val="00BA079F"/>
    <w:rsid w:val="00BF4FF8"/>
    <w:rsid w:val="00C417EB"/>
    <w:rsid w:val="00C60E2C"/>
    <w:rsid w:val="00C67481"/>
    <w:rsid w:val="00C81DE0"/>
    <w:rsid w:val="00CA742F"/>
    <w:rsid w:val="00CB60A0"/>
    <w:rsid w:val="00CD5469"/>
    <w:rsid w:val="00CF149D"/>
    <w:rsid w:val="00D42A2C"/>
    <w:rsid w:val="00D50E53"/>
    <w:rsid w:val="00D841C5"/>
    <w:rsid w:val="00D92117"/>
    <w:rsid w:val="00E42877"/>
    <w:rsid w:val="00E527DA"/>
    <w:rsid w:val="00E65824"/>
    <w:rsid w:val="00E95CB4"/>
    <w:rsid w:val="00EA3466"/>
    <w:rsid w:val="00EC30C7"/>
    <w:rsid w:val="00EE212E"/>
    <w:rsid w:val="00EF226C"/>
    <w:rsid w:val="00EF7345"/>
    <w:rsid w:val="00F02138"/>
    <w:rsid w:val="00F06CFF"/>
    <w:rsid w:val="00F12C3E"/>
    <w:rsid w:val="00F40B20"/>
    <w:rsid w:val="00F66EC7"/>
    <w:rsid w:val="00F817AB"/>
    <w:rsid w:val="00F82021"/>
    <w:rsid w:val="00F841A4"/>
    <w:rsid w:val="00FA448E"/>
    <w:rsid w:val="01C43576"/>
    <w:rsid w:val="034910EB"/>
    <w:rsid w:val="03820F4E"/>
    <w:rsid w:val="05605AE9"/>
    <w:rsid w:val="0A765FB8"/>
    <w:rsid w:val="0A80695F"/>
    <w:rsid w:val="0B2473D6"/>
    <w:rsid w:val="0CC0267A"/>
    <w:rsid w:val="0E100CD5"/>
    <w:rsid w:val="122F35EF"/>
    <w:rsid w:val="14EE06E6"/>
    <w:rsid w:val="1505030B"/>
    <w:rsid w:val="15051D55"/>
    <w:rsid w:val="162F41D5"/>
    <w:rsid w:val="163806E8"/>
    <w:rsid w:val="18947263"/>
    <w:rsid w:val="18EF65C8"/>
    <w:rsid w:val="1B155FFD"/>
    <w:rsid w:val="1BC23B97"/>
    <w:rsid w:val="1D5824D7"/>
    <w:rsid w:val="25171665"/>
    <w:rsid w:val="28E848A9"/>
    <w:rsid w:val="29557B95"/>
    <w:rsid w:val="29B5077A"/>
    <w:rsid w:val="2F226C62"/>
    <w:rsid w:val="2F59133A"/>
    <w:rsid w:val="2FB976CE"/>
    <w:rsid w:val="2FD00080"/>
    <w:rsid w:val="332E42A1"/>
    <w:rsid w:val="34634194"/>
    <w:rsid w:val="346425C3"/>
    <w:rsid w:val="359E5308"/>
    <w:rsid w:val="36FD782D"/>
    <w:rsid w:val="39037B98"/>
    <w:rsid w:val="39DD52FC"/>
    <w:rsid w:val="3B387B37"/>
    <w:rsid w:val="3CB61A45"/>
    <w:rsid w:val="41A2526F"/>
    <w:rsid w:val="42CC3234"/>
    <w:rsid w:val="43B31185"/>
    <w:rsid w:val="43E17A17"/>
    <w:rsid w:val="472D5B11"/>
    <w:rsid w:val="4AC779BE"/>
    <w:rsid w:val="4DA348D3"/>
    <w:rsid w:val="549F3597"/>
    <w:rsid w:val="54D413B8"/>
    <w:rsid w:val="567D4ACA"/>
    <w:rsid w:val="57746489"/>
    <w:rsid w:val="58322DF0"/>
    <w:rsid w:val="59F50AA6"/>
    <w:rsid w:val="5DE6679D"/>
    <w:rsid w:val="5EC75E76"/>
    <w:rsid w:val="634C25F7"/>
    <w:rsid w:val="650642CC"/>
    <w:rsid w:val="651B09EE"/>
    <w:rsid w:val="65EA7DC1"/>
    <w:rsid w:val="66570776"/>
    <w:rsid w:val="6B161FBD"/>
    <w:rsid w:val="713521EF"/>
    <w:rsid w:val="72484F8F"/>
    <w:rsid w:val="76691AD0"/>
    <w:rsid w:val="78663784"/>
    <w:rsid w:val="7C4D6CFD"/>
    <w:rsid w:val="7DC93C6B"/>
    <w:rsid w:val="7DDE3C10"/>
    <w:rsid w:val="7EE37F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Indent"/>
    <w:basedOn w:val="1"/>
    <w:link w:val="10"/>
    <w:uiPriority w:val="0"/>
    <w:pPr>
      <w:spacing w:line="420" w:lineRule="exact"/>
      <w:ind w:firstLine="630"/>
    </w:pPr>
    <w:rPr>
      <w:rFonts w:eastAsia="仿宋_GB2312"/>
      <w:sz w:val="32"/>
      <w:szCs w:val="24"/>
    </w:rPr>
  </w:style>
  <w:style w:type="paragraph" w:styleId="3">
    <w:name w:val="footer"/>
    <w:basedOn w:val="1"/>
    <w:link w:val="11"/>
    <w:unhideWhenUsed/>
    <w:uiPriority w:val="99"/>
    <w:pPr>
      <w:tabs>
        <w:tab w:val="center" w:pos="4153"/>
        <w:tab w:val="right" w:pos="8306"/>
      </w:tabs>
      <w:snapToGrid w:val="0"/>
      <w:jc w:val="left"/>
    </w:pPr>
    <w:rPr>
      <w:kern w:val="0"/>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character" w:styleId="9">
    <w:name w:val="page number"/>
    <w:unhideWhenUsed/>
    <w:uiPriority w:val="0"/>
    <w:rPr>
      <w:rFonts w:cs="Times New Roman"/>
    </w:rPr>
  </w:style>
  <w:style w:type="character" w:customStyle="1" w:styleId="10">
    <w:name w:val="正文文本缩进 Char"/>
    <w:link w:val="2"/>
    <w:uiPriority w:val="0"/>
    <w:rPr>
      <w:rFonts w:ascii="Times New Roman" w:hAnsi="Times New Roman" w:eastAsia="仿宋_GB2312"/>
      <w:kern w:val="2"/>
      <w:sz w:val="32"/>
      <w:szCs w:val="24"/>
    </w:rPr>
  </w:style>
  <w:style w:type="character" w:customStyle="1" w:styleId="11">
    <w:name w:val="页脚 Char"/>
    <w:link w:val="3"/>
    <w:semiHidden/>
    <w:uiPriority w:val="99"/>
    <w:rPr>
      <w:sz w:val="18"/>
      <w:szCs w:val="18"/>
    </w:rPr>
  </w:style>
  <w:style w:type="character" w:customStyle="1" w:styleId="12">
    <w:name w:val="页眉 Char"/>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1239</Words>
  <Characters>7063</Characters>
  <Lines>58</Lines>
  <Paragraphs>16</Paragraphs>
  <TotalTime>2</TotalTime>
  <ScaleCrop>false</ScaleCrop>
  <LinksUpToDate>false</LinksUpToDate>
  <CharactersWithSpaces>8286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2021-05-31T02:50:00Z</dcterms:created>
  <dc:creator>suix</dc:creator>
  <cp:lastModifiedBy>Administrator</cp:lastModifiedBy>
  <dcterms:modified xsi:type="dcterms:W3CDTF">2024-06-24T10:28:04Z</dcterms:modified>
  <dc:title>满城区林业局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0E0A29709AE5493CB3918BF6C81ED4AC</vt:lpwstr>
  </property>
</Properties>
</file>