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仿宋" w:hAnsi="仿宋" w:eastAsia="仿宋" w:cs="仿宋"/>
          <w:b/>
          <w:sz w:val="32"/>
          <w:szCs w:val="32"/>
        </w:rPr>
      </w:pPr>
    </w:p>
    <w:p>
      <w:pPr>
        <w:spacing w:line="500" w:lineRule="exact"/>
        <w:jc w:val="center"/>
        <w:rPr>
          <w:rFonts w:hint="eastAsia" w:ascii="黑体" w:eastAsia="黑体"/>
          <w:b/>
          <w:sz w:val="44"/>
          <w:szCs w:val="44"/>
        </w:rPr>
      </w:pPr>
      <w:r>
        <w:rPr>
          <w:rFonts w:hint="eastAsia" w:ascii="黑体" w:eastAsia="黑体"/>
          <w:b/>
          <w:sz w:val="44"/>
          <w:szCs w:val="44"/>
        </w:rPr>
        <w:t>保定市满城区满城镇人民政府</w:t>
      </w:r>
    </w:p>
    <w:p>
      <w:pPr>
        <w:spacing w:line="500" w:lineRule="exact"/>
        <w:jc w:val="center"/>
        <w:rPr>
          <w:rFonts w:hint="eastAsia" w:ascii="仿宋" w:hAnsi="仿宋" w:eastAsia="仿宋" w:cs="仿宋"/>
          <w:sz w:val="32"/>
          <w:szCs w:val="32"/>
        </w:rPr>
      </w:pPr>
      <w:r>
        <w:rPr>
          <w:rFonts w:hint="eastAsia" w:ascii="黑体" w:eastAsia="黑体"/>
          <w:b/>
          <w:sz w:val="44"/>
          <w:szCs w:val="44"/>
        </w:rPr>
        <w:t>2021年预算信息公开</w:t>
      </w:r>
    </w:p>
    <w:p>
      <w:pPr>
        <w:spacing w:line="520" w:lineRule="exact"/>
        <w:ind w:firstLine="640" w:firstLineChars="200"/>
        <w:jc w:val="left"/>
        <w:rPr>
          <w:rFonts w:hint="eastAsia" w:ascii="仿宋_GB2312" w:hAnsi="仿宋" w:eastAsia="仿宋_GB2312" w:cs="仿宋_GB2312"/>
          <w:sz w:val="32"/>
          <w:szCs w:val="32"/>
        </w:rPr>
      </w:pPr>
    </w:p>
    <w:p>
      <w:pPr>
        <w:spacing w:line="520" w:lineRule="exact"/>
        <w:ind w:firstLine="640" w:firstLineChars="200"/>
        <w:jc w:val="left"/>
        <w:rPr>
          <w:rFonts w:ascii="仿宋_GB2312" w:hAnsi="仿宋" w:eastAsia="仿宋_GB2312" w:cs="仿宋_GB2312"/>
          <w:sz w:val="32"/>
          <w:szCs w:val="32"/>
        </w:rPr>
      </w:pPr>
      <w:r>
        <w:rPr>
          <w:rFonts w:hint="eastAsia" w:ascii="仿宋_GB2312" w:hAnsi="仿宋" w:eastAsia="仿宋_GB2312" w:cs="仿宋_GB2312"/>
          <w:sz w:val="32"/>
          <w:szCs w:val="32"/>
        </w:rPr>
        <w:t>按照《</w:t>
      </w:r>
      <w:r>
        <w:rPr>
          <w:rFonts w:hint="eastAsia" w:ascii="仿宋_GB2312" w:hAnsi="仿宋" w:eastAsia="仿宋_GB2312" w:cs="仿宋_GB2312"/>
          <w:sz w:val="32"/>
          <w:szCs w:val="32"/>
          <w:lang w:eastAsia="zh-CN"/>
        </w:rPr>
        <w:t>中华人民共和国</w:t>
      </w:r>
      <w:r>
        <w:rPr>
          <w:rFonts w:hint="eastAsia" w:ascii="仿宋_GB2312" w:hAnsi="仿宋" w:eastAsia="仿宋_GB2312" w:cs="仿宋_GB2312"/>
          <w:sz w:val="32"/>
          <w:szCs w:val="32"/>
        </w:rPr>
        <w:t>预算法》、</w:t>
      </w:r>
      <w:r>
        <w:rPr>
          <w:rFonts w:hint="eastAsia" w:ascii="仿宋_GB2312" w:eastAsia="仿宋_GB2312"/>
          <w:sz w:val="32"/>
          <w:szCs w:val="32"/>
        </w:rPr>
        <w:t>《地方预决算公开操作规程》和《河北省省级预算公开办法》</w:t>
      </w:r>
      <w:r>
        <w:rPr>
          <w:rFonts w:hint="eastAsia" w:ascii="仿宋_GB2312" w:hAnsi="仿宋" w:eastAsia="仿宋_GB2312" w:cs="仿宋_GB2312"/>
          <w:sz w:val="32"/>
          <w:szCs w:val="32"/>
        </w:rPr>
        <w:t>规定，现将保定市满城区满城镇人民政府2021年部门预算公开如下：</w:t>
      </w:r>
    </w:p>
    <w:p>
      <w:pPr>
        <w:jc w:val="cente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黑体" w:hAnsi="黑体" w:eastAsia="黑体" w:cs="黑体"/>
          <w:sz w:val="32"/>
          <w:szCs w:val="32"/>
        </w:rPr>
        <w:t>第一部分:部门职责及机构设置</w:t>
      </w:r>
      <w:r>
        <w:rPr>
          <w:rFonts w:hint="eastAsia" w:ascii="仿宋" w:hAnsi="仿宋" w:eastAsia="仿宋" w:cs="仿宋"/>
          <w:sz w:val="32"/>
          <w:szCs w:val="32"/>
        </w:rPr>
        <w:t xml:space="preserve"> </w:t>
      </w:r>
    </w:p>
    <w:p>
      <w:pPr>
        <w:ind w:firstLine="560"/>
        <w:rPr>
          <w:rFonts w:hint="eastAsia" w:ascii="仿宋" w:hAnsi="仿宋" w:eastAsia="仿宋" w:cs="仿宋"/>
          <w:b/>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一、</w:t>
      </w:r>
      <w:r>
        <w:rPr>
          <w:rFonts w:hint="eastAsia" w:ascii="黑体" w:hAnsi="黑体" w:eastAsia="黑体" w:cs="黑体"/>
          <w:sz w:val="32"/>
          <w:szCs w:val="32"/>
        </w:rPr>
        <w:t>部门职责</w:t>
      </w:r>
    </w:p>
    <w:p>
      <w:pPr>
        <w:widowControl/>
        <w:snapToGrid w:val="0"/>
        <w:spacing w:line="640" w:lineRule="exact"/>
        <w:ind w:firstLine="1280" w:firstLineChars="4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1、执行本级人民代表大会的决议和上级国家行政机关的决定和命令，发布决定和命令;</w:t>
      </w:r>
    </w:p>
    <w:p>
      <w:pPr>
        <w:widowControl/>
        <w:snapToGrid w:val="0"/>
        <w:spacing w:line="640" w:lineRule="exact"/>
        <w:ind w:firstLine="1280" w:firstLineChars="4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2、执行本行政区域内的经济和社会发展计划、预算，管理本行政区域内的经济、教育、科学、文化、卫生、体育事业和财政、民政、公安、司法行政、计划生育等行政工作;</w:t>
      </w:r>
    </w:p>
    <w:p>
      <w:pPr>
        <w:widowControl/>
        <w:snapToGrid w:val="0"/>
        <w:spacing w:line="640" w:lineRule="exact"/>
        <w:ind w:firstLine="1280" w:firstLineChars="4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3、保护社会主义的全民所有的财产和劳动群众集体所有的财产，保护公民私人所有的合法财产，维护社会秩序，保障公民的人身权利、民主权利和其他权利;</w:t>
      </w:r>
    </w:p>
    <w:p>
      <w:pPr>
        <w:widowControl/>
        <w:snapToGrid w:val="0"/>
        <w:spacing w:line="640" w:lineRule="exact"/>
        <w:ind w:firstLine="1280" w:firstLineChars="4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4、保护各种经济组织的合法权益;</w:t>
      </w:r>
    </w:p>
    <w:p>
      <w:pPr>
        <w:widowControl/>
        <w:snapToGrid w:val="0"/>
        <w:spacing w:line="640" w:lineRule="exact"/>
        <w:ind w:firstLine="1280" w:firstLineChars="4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5、保障少数民族的权利和尊重少数民族的风俗习惯;</w:t>
      </w:r>
    </w:p>
    <w:p>
      <w:pPr>
        <w:widowControl/>
        <w:snapToGrid w:val="0"/>
        <w:spacing w:line="640" w:lineRule="exact"/>
        <w:ind w:firstLine="1280" w:firstLineChars="4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6、办理上级区委、区</w:t>
      </w:r>
      <w:bookmarkStart w:id="17" w:name="_GoBack"/>
      <w:bookmarkEnd w:id="17"/>
      <w:r>
        <w:rPr>
          <w:rFonts w:hint="eastAsia" w:ascii="仿宋_GB2312" w:hAnsi="宋体" w:eastAsia="仿宋_GB2312" w:cs="宋体"/>
          <w:color w:val="000000"/>
          <w:kern w:val="0"/>
          <w:sz w:val="32"/>
          <w:szCs w:val="32"/>
        </w:rPr>
        <w:t>政府交办的其他事项。</w:t>
      </w:r>
    </w:p>
    <w:p>
      <w:pPr>
        <w:widowControl/>
        <w:snapToGrid w:val="0"/>
        <w:spacing w:line="640" w:lineRule="exac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机构职能。</w:t>
      </w:r>
    </w:p>
    <w:p>
      <w:pPr>
        <w:widowControl/>
        <w:snapToGrid w:val="0"/>
        <w:spacing w:line="640" w:lineRule="exact"/>
        <w:rPr>
          <w:rFonts w:hint="eastAsia" w:ascii="仿宋_GB2312" w:hAnsi="宋体" w:eastAsia="仿宋_GB2312" w:cs="宋体"/>
          <w:color w:val="000000"/>
          <w:kern w:val="0"/>
          <w:sz w:val="32"/>
          <w:szCs w:val="32"/>
        </w:rPr>
      </w:pPr>
    </w:p>
    <w:p>
      <w:pPr>
        <w:widowControl/>
        <w:snapToGrid w:val="0"/>
        <w:spacing w:line="640" w:lineRule="exact"/>
        <w:rPr>
          <w:rFonts w:hint="eastAsia" w:ascii="仿宋_GB2312" w:hAnsi="宋体" w:eastAsia="仿宋_GB2312" w:cs="宋体"/>
          <w:color w:val="000000"/>
          <w:kern w:val="0"/>
          <w:sz w:val="32"/>
          <w:szCs w:val="32"/>
        </w:rPr>
      </w:pPr>
    </w:p>
    <w:p>
      <w:pPr>
        <w:ind w:firstLine="645"/>
        <w:jc w:val="left"/>
        <w:rPr>
          <w:rFonts w:hint="eastAsia" w:ascii="仿宋" w:hAnsi="仿宋" w:eastAsia="仿宋" w:cs="仿宋"/>
          <w:b/>
          <w:bCs/>
          <w:sz w:val="32"/>
          <w:szCs w:val="32"/>
        </w:rPr>
      </w:pPr>
      <w:r>
        <w:rPr>
          <w:rFonts w:hint="eastAsia" w:ascii="仿宋" w:hAnsi="仿宋" w:eastAsia="仿宋" w:cs="仿宋"/>
          <w:b/>
          <w:bCs/>
          <w:sz w:val="32"/>
          <w:szCs w:val="32"/>
        </w:rPr>
        <w:t>二、机构设置</w:t>
      </w:r>
    </w:p>
    <w:tbl>
      <w:tblPr>
        <w:tblStyle w:val="6"/>
        <w:tblW w:w="9796" w:type="dxa"/>
        <w:tblInd w:w="93" w:type="dxa"/>
        <w:tblLayout w:type="fixed"/>
        <w:tblCellMar>
          <w:top w:w="0" w:type="dxa"/>
          <w:left w:w="108" w:type="dxa"/>
          <w:bottom w:w="0" w:type="dxa"/>
          <w:right w:w="108" w:type="dxa"/>
        </w:tblCellMar>
      </w:tblPr>
      <w:tblGrid>
        <w:gridCol w:w="1080"/>
        <w:gridCol w:w="2320"/>
        <w:gridCol w:w="2120"/>
        <w:gridCol w:w="1900"/>
        <w:gridCol w:w="2376"/>
      </w:tblGrid>
      <w:tr>
        <w:tblPrEx>
          <w:tblCellMar>
            <w:top w:w="0" w:type="dxa"/>
            <w:left w:w="108" w:type="dxa"/>
            <w:bottom w:w="0" w:type="dxa"/>
            <w:right w:w="108" w:type="dxa"/>
          </w:tblCellMar>
        </w:tblPrEx>
        <w:trPr>
          <w:trHeight w:val="810" w:hRule="atLeast"/>
        </w:trPr>
        <w:tc>
          <w:tcPr>
            <w:tcW w:w="9796" w:type="dxa"/>
            <w:gridSpan w:val="5"/>
            <w:tcBorders>
              <w:top w:val="nil"/>
              <w:left w:val="nil"/>
              <w:bottom w:val="single" w:color="auto" w:sz="4" w:space="0"/>
              <w:right w:val="nil"/>
            </w:tcBorders>
            <w:noWrap w:val="0"/>
            <w:vAlign w:val="center"/>
          </w:tcPr>
          <w:p>
            <w:pPr>
              <w:widowControl/>
              <w:jc w:val="center"/>
              <w:rPr>
                <w:rFonts w:hint="eastAsia" w:ascii="黑体" w:hAnsi="宋体" w:eastAsia="黑体" w:cs="宋体"/>
                <w:color w:val="000000"/>
                <w:kern w:val="0"/>
                <w:sz w:val="24"/>
                <w:szCs w:val="24"/>
              </w:rPr>
            </w:pPr>
            <w:bookmarkStart w:id="0" w:name="_Toc476814336"/>
            <w:r>
              <w:rPr>
                <w:rFonts w:hint="eastAsia" w:ascii="黑体" w:hAnsi="宋体" w:eastAsia="黑体" w:cs="宋体"/>
                <w:color w:val="000000"/>
                <w:kern w:val="0"/>
                <w:sz w:val="24"/>
                <w:szCs w:val="24"/>
              </w:rPr>
              <w:t>部门机构设置情况</w:t>
            </w:r>
          </w:p>
        </w:tc>
      </w:tr>
      <w:tr>
        <w:tblPrEx>
          <w:tblCellMar>
            <w:top w:w="0" w:type="dxa"/>
            <w:left w:w="108" w:type="dxa"/>
            <w:bottom w:w="0" w:type="dxa"/>
            <w:right w:w="108" w:type="dxa"/>
          </w:tblCellMar>
        </w:tblPrEx>
        <w:trPr>
          <w:trHeight w:val="720" w:hRule="atLeast"/>
        </w:trPr>
        <w:tc>
          <w:tcPr>
            <w:tcW w:w="108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黑体" w:hAnsi="宋体" w:eastAsia="黑体" w:cs="宋体"/>
                <w:color w:val="000000"/>
                <w:kern w:val="0"/>
                <w:sz w:val="24"/>
                <w:szCs w:val="24"/>
              </w:rPr>
            </w:pPr>
            <w:r>
              <w:rPr>
                <w:rFonts w:hint="eastAsia" w:ascii="黑体" w:hAnsi="宋体" w:eastAsia="黑体" w:cs="宋体"/>
                <w:color w:val="000000"/>
                <w:kern w:val="0"/>
                <w:sz w:val="24"/>
                <w:szCs w:val="24"/>
              </w:rPr>
              <w:t>序号</w:t>
            </w:r>
          </w:p>
        </w:tc>
        <w:tc>
          <w:tcPr>
            <w:tcW w:w="232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黑体" w:hAnsi="宋体" w:eastAsia="黑体" w:cs="宋体"/>
                <w:color w:val="000000"/>
                <w:kern w:val="0"/>
                <w:sz w:val="24"/>
                <w:szCs w:val="24"/>
              </w:rPr>
            </w:pPr>
            <w:r>
              <w:rPr>
                <w:rFonts w:hint="eastAsia" w:ascii="黑体" w:hAnsi="宋体" w:eastAsia="黑体" w:cs="宋体"/>
                <w:color w:val="000000"/>
                <w:kern w:val="0"/>
                <w:sz w:val="24"/>
                <w:szCs w:val="24"/>
              </w:rPr>
              <w:t>单位名称</w:t>
            </w:r>
          </w:p>
        </w:tc>
        <w:tc>
          <w:tcPr>
            <w:tcW w:w="212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黑体" w:hAnsi="宋体" w:eastAsia="黑体" w:cs="宋体"/>
                <w:color w:val="000000"/>
                <w:kern w:val="0"/>
                <w:sz w:val="24"/>
                <w:szCs w:val="24"/>
              </w:rPr>
            </w:pPr>
            <w:r>
              <w:rPr>
                <w:rFonts w:hint="eastAsia" w:ascii="黑体" w:hAnsi="宋体" w:eastAsia="黑体" w:cs="宋体"/>
                <w:color w:val="000000"/>
                <w:kern w:val="0"/>
                <w:sz w:val="24"/>
                <w:szCs w:val="24"/>
              </w:rPr>
              <w:t>单位性质</w:t>
            </w:r>
          </w:p>
        </w:tc>
        <w:tc>
          <w:tcPr>
            <w:tcW w:w="190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黑体" w:hAnsi="宋体" w:eastAsia="黑体" w:cs="宋体"/>
                <w:color w:val="000000"/>
                <w:kern w:val="0"/>
                <w:sz w:val="24"/>
                <w:szCs w:val="24"/>
              </w:rPr>
            </w:pPr>
            <w:r>
              <w:rPr>
                <w:rFonts w:hint="eastAsia" w:ascii="黑体" w:hAnsi="宋体" w:eastAsia="黑体" w:cs="宋体"/>
                <w:color w:val="000000"/>
                <w:kern w:val="0"/>
                <w:sz w:val="24"/>
                <w:szCs w:val="24"/>
              </w:rPr>
              <w:t>单位规格</w:t>
            </w:r>
          </w:p>
        </w:tc>
        <w:tc>
          <w:tcPr>
            <w:tcW w:w="2376"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黑体" w:hAnsi="宋体" w:eastAsia="黑体" w:cs="宋体"/>
                <w:color w:val="000000"/>
                <w:kern w:val="0"/>
                <w:sz w:val="24"/>
                <w:szCs w:val="24"/>
              </w:rPr>
            </w:pPr>
            <w:r>
              <w:rPr>
                <w:rFonts w:hint="eastAsia" w:ascii="黑体" w:hAnsi="宋体" w:eastAsia="黑体" w:cs="宋体"/>
                <w:color w:val="000000"/>
                <w:kern w:val="0"/>
                <w:sz w:val="24"/>
                <w:szCs w:val="24"/>
              </w:rPr>
              <w:t>经费保障形式</w:t>
            </w:r>
          </w:p>
        </w:tc>
      </w:tr>
      <w:tr>
        <w:tblPrEx>
          <w:tblCellMar>
            <w:top w:w="0" w:type="dxa"/>
            <w:left w:w="108" w:type="dxa"/>
            <w:bottom w:w="0" w:type="dxa"/>
            <w:right w:w="108" w:type="dxa"/>
          </w:tblCellMar>
        </w:tblPrEx>
        <w:trPr>
          <w:trHeight w:val="412" w:hRule="atLeast"/>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黑体" w:hAnsi="宋体" w:eastAsia="黑体" w:cs="宋体"/>
                <w:color w:val="000000"/>
                <w:kern w:val="0"/>
                <w:sz w:val="24"/>
                <w:szCs w:val="24"/>
              </w:rPr>
            </w:pPr>
          </w:p>
        </w:tc>
        <w:tc>
          <w:tcPr>
            <w:tcW w:w="232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黑体" w:hAnsi="宋体" w:eastAsia="黑体" w:cs="宋体"/>
                <w:color w:val="000000"/>
                <w:kern w:val="0"/>
                <w:sz w:val="24"/>
                <w:szCs w:val="24"/>
              </w:rPr>
            </w:pPr>
          </w:p>
        </w:tc>
        <w:tc>
          <w:tcPr>
            <w:tcW w:w="212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黑体" w:hAnsi="宋体" w:eastAsia="黑体" w:cs="宋体"/>
                <w:color w:val="000000"/>
                <w:kern w:val="0"/>
                <w:sz w:val="24"/>
                <w:szCs w:val="24"/>
              </w:rPr>
            </w:pPr>
          </w:p>
        </w:tc>
        <w:tc>
          <w:tcPr>
            <w:tcW w:w="19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黑体" w:hAnsi="宋体" w:eastAsia="黑体" w:cs="宋体"/>
                <w:color w:val="000000"/>
                <w:kern w:val="0"/>
                <w:sz w:val="24"/>
                <w:szCs w:val="24"/>
              </w:rPr>
            </w:pPr>
          </w:p>
        </w:tc>
        <w:tc>
          <w:tcPr>
            <w:tcW w:w="237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黑体" w:hAnsi="宋体" w:eastAsia="黑体" w:cs="宋体"/>
                <w:color w:val="000000"/>
                <w:kern w:val="0"/>
                <w:sz w:val="24"/>
                <w:szCs w:val="24"/>
              </w:rPr>
            </w:pPr>
          </w:p>
        </w:tc>
      </w:tr>
      <w:tr>
        <w:tblPrEx>
          <w:tblCellMar>
            <w:top w:w="0" w:type="dxa"/>
            <w:left w:w="108" w:type="dxa"/>
            <w:bottom w:w="0" w:type="dxa"/>
            <w:right w:w="108" w:type="dxa"/>
          </w:tblCellMar>
        </w:tblPrEx>
        <w:trPr>
          <w:trHeight w:val="720"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4"/>
                <w:szCs w:val="24"/>
              </w:rPr>
            </w:pPr>
            <w:r>
              <w:rPr>
                <w:rFonts w:hint="eastAsia" w:ascii="黑体" w:hAnsi="宋体" w:eastAsia="黑体" w:cs="宋体"/>
                <w:color w:val="000000"/>
                <w:kern w:val="0"/>
                <w:sz w:val="24"/>
                <w:szCs w:val="24"/>
              </w:rPr>
              <w:t>1</w:t>
            </w:r>
          </w:p>
        </w:tc>
        <w:tc>
          <w:tcPr>
            <w:tcW w:w="2320" w:type="dxa"/>
            <w:tcBorders>
              <w:top w:val="nil"/>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4"/>
                <w:szCs w:val="24"/>
              </w:rPr>
            </w:pPr>
            <w:r>
              <w:rPr>
                <w:rFonts w:hint="eastAsia" w:ascii="黑体" w:hAnsi="宋体" w:eastAsia="黑体" w:cs="宋体"/>
                <w:color w:val="000000"/>
                <w:kern w:val="0"/>
                <w:sz w:val="24"/>
                <w:szCs w:val="24"/>
              </w:rPr>
              <w:t>保定市满城区</w:t>
            </w:r>
            <w:r>
              <w:rPr>
                <w:rFonts w:hint="eastAsia" w:ascii="黑体" w:hAnsi="宋体" w:eastAsia="黑体" w:cs="宋体"/>
                <w:color w:val="000000"/>
                <w:kern w:val="0"/>
                <w:sz w:val="24"/>
                <w:szCs w:val="24"/>
                <w:lang w:eastAsia="zh-CN"/>
              </w:rPr>
              <w:t>满城镇</w:t>
            </w:r>
            <w:r>
              <w:rPr>
                <w:rFonts w:hint="eastAsia" w:ascii="黑体" w:hAnsi="宋体" w:eastAsia="黑体" w:cs="宋体"/>
                <w:color w:val="000000"/>
                <w:kern w:val="0"/>
                <w:sz w:val="24"/>
                <w:szCs w:val="24"/>
              </w:rPr>
              <w:t>人民政府</w:t>
            </w:r>
          </w:p>
        </w:tc>
        <w:tc>
          <w:tcPr>
            <w:tcW w:w="2120" w:type="dxa"/>
            <w:tcBorders>
              <w:top w:val="nil"/>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4"/>
                <w:szCs w:val="24"/>
              </w:rPr>
            </w:pPr>
            <w:r>
              <w:rPr>
                <w:rFonts w:hint="eastAsia" w:ascii="黑体" w:hAnsi="宋体" w:eastAsia="黑体" w:cs="宋体"/>
                <w:color w:val="000000"/>
                <w:kern w:val="0"/>
                <w:sz w:val="24"/>
                <w:szCs w:val="24"/>
              </w:rPr>
              <w:t>行政</w:t>
            </w:r>
          </w:p>
        </w:tc>
        <w:tc>
          <w:tcPr>
            <w:tcW w:w="1900" w:type="dxa"/>
            <w:tcBorders>
              <w:top w:val="nil"/>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4"/>
                <w:szCs w:val="24"/>
              </w:rPr>
            </w:pPr>
            <w:r>
              <w:rPr>
                <w:rFonts w:hint="eastAsia" w:ascii="黑体" w:hAnsi="宋体" w:eastAsia="黑体" w:cs="宋体"/>
                <w:color w:val="000000"/>
                <w:kern w:val="0"/>
                <w:sz w:val="24"/>
                <w:szCs w:val="24"/>
              </w:rPr>
              <w:t>正科级</w:t>
            </w:r>
          </w:p>
        </w:tc>
        <w:tc>
          <w:tcPr>
            <w:tcW w:w="2376" w:type="dxa"/>
            <w:tcBorders>
              <w:top w:val="nil"/>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4"/>
                <w:szCs w:val="24"/>
              </w:rPr>
            </w:pPr>
            <w:r>
              <w:rPr>
                <w:rFonts w:hint="eastAsia" w:ascii="黑体" w:hAnsi="宋体" w:eastAsia="黑体" w:cs="宋体"/>
                <w:color w:val="000000"/>
                <w:kern w:val="0"/>
                <w:sz w:val="24"/>
                <w:szCs w:val="24"/>
              </w:rPr>
              <w:t>财政拨款</w:t>
            </w:r>
          </w:p>
        </w:tc>
      </w:tr>
    </w:tbl>
    <w:p>
      <w:pPr>
        <w:spacing w:line="520" w:lineRule="exact"/>
        <w:jc w:val="left"/>
        <w:rPr>
          <w:rFonts w:hint="eastAsia" w:ascii="黑体" w:hAnsi="黑体" w:eastAsia="黑体"/>
          <w:sz w:val="32"/>
          <w:szCs w:val="32"/>
        </w:rPr>
      </w:pPr>
    </w:p>
    <w:p>
      <w:pPr>
        <w:spacing w:line="520" w:lineRule="exact"/>
        <w:jc w:val="center"/>
        <w:rPr>
          <w:rFonts w:hint="eastAsia" w:ascii="黑体" w:hAnsi="黑体" w:eastAsia="黑体"/>
          <w:sz w:val="32"/>
          <w:szCs w:val="32"/>
        </w:rPr>
      </w:pPr>
      <w:r>
        <w:rPr>
          <w:rFonts w:hint="eastAsia" w:ascii="黑体" w:hAnsi="黑体" w:eastAsia="黑体"/>
          <w:sz w:val="32"/>
          <w:szCs w:val="32"/>
        </w:rPr>
        <w:t>第二部分：部门预算安排的总体情况</w:t>
      </w:r>
    </w:p>
    <w:p>
      <w:pPr>
        <w:spacing w:line="48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现将保定市满城区满城镇人民政府2021年财政预算情况说明如下：</w:t>
      </w:r>
    </w:p>
    <w:p>
      <w:pPr>
        <w:rPr>
          <w:rFonts w:hint="eastAsia" w:ascii="仿宋" w:hAnsi="仿宋" w:eastAsia="仿宋" w:cs="仿宋"/>
          <w:sz w:val="32"/>
          <w:szCs w:val="32"/>
        </w:rPr>
      </w:pPr>
      <w:r>
        <w:rPr>
          <w:rFonts w:hint="eastAsia" w:ascii="仿宋" w:hAnsi="仿宋" w:eastAsia="仿宋" w:cs="仿宋"/>
          <w:sz w:val="32"/>
          <w:szCs w:val="32"/>
        </w:rPr>
        <w:t>（一）2021年预算收入：3554.40万元，其中：一般公共预算收入3236.40万元。</w:t>
      </w:r>
    </w:p>
    <w:p>
      <w:pPr>
        <w:rPr>
          <w:rFonts w:hint="eastAsia" w:ascii="仿宋" w:hAnsi="仿宋" w:eastAsia="仿宋" w:cs="仿宋"/>
          <w:sz w:val="32"/>
          <w:szCs w:val="32"/>
        </w:rPr>
      </w:pPr>
      <w:r>
        <w:rPr>
          <w:rFonts w:hint="eastAsia" w:ascii="仿宋" w:hAnsi="仿宋" w:eastAsia="仿宋" w:cs="仿宋"/>
          <w:sz w:val="32"/>
          <w:szCs w:val="32"/>
        </w:rPr>
        <w:t>（二）2021年预算支出：3554.40万元，其中：一般公共服务支出3236.40万元。其中：</w:t>
      </w:r>
    </w:p>
    <w:p>
      <w:pPr>
        <w:spacing w:line="48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1、基本支出2058.26万元。其中：</w:t>
      </w:r>
    </w:p>
    <w:p>
      <w:pPr>
        <w:spacing w:line="48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工资福利支出：</w:t>
      </w:r>
      <w:r>
        <w:rPr>
          <w:rFonts w:hint="eastAsia" w:ascii="仿宋" w:hAnsi="仿宋" w:eastAsia="仿宋" w:cs="仿宋"/>
          <w:sz w:val="32"/>
          <w:szCs w:val="32"/>
          <w:lang w:val="en-US" w:eastAsia="zh-CN"/>
        </w:rPr>
        <w:t>2300.73</w:t>
      </w:r>
      <w:r>
        <w:rPr>
          <w:rFonts w:hint="eastAsia" w:ascii="仿宋" w:hAnsi="仿宋" w:eastAsia="仿宋" w:cs="仿宋"/>
          <w:sz w:val="32"/>
          <w:szCs w:val="32"/>
        </w:rPr>
        <w:t>万元；</w:t>
      </w:r>
    </w:p>
    <w:p>
      <w:pPr>
        <w:spacing w:line="48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2、日常公用经费110.64万元。</w:t>
      </w:r>
    </w:p>
    <w:p>
      <w:pPr>
        <w:spacing w:line="480" w:lineRule="auto"/>
        <w:ind w:firstLine="800" w:firstLineChars="250"/>
        <w:rPr>
          <w:rFonts w:hint="eastAsia" w:ascii="仿宋" w:hAnsi="仿宋" w:eastAsia="仿宋" w:cs="仿宋"/>
          <w:sz w:val="32"/>
          <w:szCs w:val="32"/>
        </w:rPr>
      </w:pPr>
      <w:r>
        <w:rPr>
          <w:rFonts w:hint="eastAsia" w:ascii="仿宋" w:hAnsi="仿宋" w:eastAsia="仿宋" w:cs="仿宋"/>
          <w:sz w:val="32"/>
          <w:szCs w:val="32"/>
        </w:rPr>
        <w:t>3、项目支出</w:t>
      </w:r>
      <w:r>
        <w:rPr>
          <w:rFonts w:hint="eastAsia" w:ascii="仿宋" w:hAnsi="仿宋" w:eastAsia="仿宋" w:cs="仿宋"/>
          <w:sz w:val="32"/>
          <w:szCs w:val="32"/>
          <w:lang w:val="en-US" w:eastAsia="zh-CN"/>
        </w:rPr>
        <w:t>825.03</w:t>
      </w:r>
      <w:r>
        <w:rPr>
          <w:rFonts w:hint="eastAsia" w:ascii="仿宋" w:hAnsi="仿宋" w:eastAsia="仿宋" w:cs="仿宋"/>
          <w:sz w:val="32"/>
          <w:szCs w:val="32"/>
        </w:rPr>
        <w:t>万元。</w:t>
      </w:r>
    </w:p>
    <w:p>
      <w:pPr>
        <w:spacing w:line="480" w:lineRule="auto"/>
        <w:ind w:firstLine="648"/>
        <w:rPr>
          <w:rFonts w:hint="eastAsia" w:ascii="仿宋" w:hAnsi="仿宋" w:eastAsia="仿宋" w:cs="仿宋"/>
          <w:sz w:val="32"/>
          <w:szCs w:val="32"/>
        </w:rPr>
      </w:pPr>
      <w:r>
        <w:rPr>
          <w:rFonts w:hint="eastAsia" w:ascii="仿宋" w:hAnsi="仿宋" w:eastAsia="仿宋" w:cs="仿宋"/>
          <w:sz w:val="32"/>
          <w:szCs w:val="32"/>
        </w:rPr>
        <w:t xml:space="preserve"> 2021年基本支出与2020年持平。2021年的各项支出将以全面贯彻党和国家的有关政策、认真遵守财经纪律为准则，严格按预算规定的标准、用途执行，做到经费按进度，专款要专用，力争全面提高预算资金的使用效率。</w:t>
      </w:r>
    </w:p>
    <w:p>
      <w:pPr>
        <w:spacing w:line="520" w:lineRule="exact"/>
        <w:jc w:val="center"/>
        <w:outlineLvl w:val="0"/>
        <w:rPr>
          <w:rFonts w:ascii="黑体" w:hAnsi="黑体" w:eastAsia="黑体"/>
          <w:sz w:val="32"/>
          <w:szCs w:val="32"/>
        </w:rPr>
      </w:pPr>
      <w:r>
        <w:rPr>
          <w:rFonts w:hint="eastAsia" w:ascii="黑体" w:hAnsi="黑体" w:eastAsia="黑体"/>
          <w:sz w:val="32"/>
          <w:szCs w:val="32"/>
        </w:rPr>
        <w:t>第三部分：机关运行经费安排情况</w:t>
      </w:r>
    </w:p>
    <w:p>
      <w:pPr>
        <w:ind w:firstLine="640" w:firstLineChars="200"/>
        <w:jc w:val="left"/>
        <w:rPr>
          <w:rFonts w:hint="eastAsia" w:ascii="宋体" w:hAnsi="宋体" w:cs="宋体"/>
          <w:sz w:val="18"/>
          <w:szCs w:val="18"/>
        </w:rPr>
      </w:pPr>
      <w:r>
        <w:rPr>
          <w:rFonts w:hint="eastAsia" w:ascii="仿宋" w:hAnsi="仿宋" w:eastAsia="仿宋" w:cs="仿宋"/>
          <w:sz w:val="32"/>
          <w:szCs w:val="32"/>
        </w:rPr>
        <w:t>我部门2021年机关运行经费安排110.64万元，其中办公费11.76万元，水费2.52万元，电费8.4万元，邮电费19.58万元，办公取暖费9万元，公务用车运行维护费5万元，差旅费2.52万元，其他交通费用23.94万元，不可预见费10万元，公务接待费1.97万元，福利费14.79万元。</w:t>
      </w:r>
    </w:p>
    <w:p>
      <w:pPr>
        <w:spacing w:line="500" w:lineRule="exact"/>
        <w:ind w:firstLine="627" w:firstLineChars="196"/>
        <w:jc w:val="left"/>
        <w:outlineLvl w:val="0"/>
        <w:rPr>
          <w:rFonts w:ascii="黑体" w:hAnsi="黑体" w:eastAsia="黑体"/>
          <w:sz w:val="32"/>
          <w:szCs w:val="32"/>
        </w:rPr>
      </w:pPr>
    </w:p>
    <w:p>
      <w:pPr>
        <w:spacing w:line="500" w:lineRule="exact"/>
        <w:ind w:firstLine="627" w:firstLineChars="196"/>
        <w:jc w:val="left"/>
        <w:outlineLvl w:val="0"/>
        <w:rPr>
          <w:rFonts w:ascii="黑体" w:hAnsi="黑体" w:eastAsia="黑体"/>
          <w:sz w:val="32"/>
          <w:szCs w:val="32"/>
        </w:rPr>
      </w:pPr>
    </w:p>
    <w:p>
      <w:pPr>
        <w:spacing w:line="500" w:lineRule="exact"/>
        <w:jc w:val="left"/>
        <w:outlineLvl w:val="0"/>
        <w:rPr>
          <w:rFonts w:hint="eastAsia" w:ascii="黑体" w:hAnsi="黑体" w:eastAsia="黑体"/>
          <w:sz w:val="32"/>
          <w:szCs w:val="32"/>
        </w:rPr>
      </w:pPr>
      <w:r>
        <w:rPr>
          <w:rFonts w:hint="eastAsia" w:ascii="黑体" w:hAnsi="黑体" w:eastAsia="黑体"/>
          <w:sz w:val="32"/>
          <w:szCs w:val="32"/>
        </w:rPr>
        <w:t>第四部分：财政拨款“三公”经费预算情况及增减变化原因</w:t>
      </w:r>
    </w:p>
    <w:tbl>
      <w:tblPr>
        <w:tblStyle w:val="6"/>
        <w:tblpPr w:leftFromText="180" w:rightFromText="180" w:vertAnchor="text" w:horzAnchor="page" w:tblpX="1325" w:tblpY="474"/>
        <w:tblOverlap w:val="never"/>
        <w:tblW w:w="0" w:type="auto"/>
        <w:tblInd w:w="0" w:type="dxa"/>
        <w:tblLayout w:type="fixed"/>
        <w:tblCellMar>
          <w:top w:w="0" w:type="dxa"/>
          <w:left w:w="108" w:type="dxa"/>
          <w:bottom w:w="0" w:type="dxa"/>
          <w:right w:w="108" w:type="dxa"/>
        </w:tblCellMar>
      </w:tblPr>
      <w:tblGrid>
        <w:gridCol w:w="2136"/>
        <w:gridCol w:w="1717"/>
        <w:gridCol w:w="1717"/>
        <w:gridCol w:w="1177"/>
        <w:gridCol w:w="3108"/>
      </w:tblGrid>
      <w:tr>
        <w:tblPrEx>
          <w:tblCellMar>
            <w:top w:w="0" w:type="dxa"/>
            <w:left w:w="108" w:type="dxa"/>
            <w:bottom w:w="0" w:type="dxa"/>
            <w:right w:w="108" w:type="dxa"/>
          </w:tblCellMar>
        </w:tblPrEx>
        <w:trPr>
          <w:trHeight w:val="405" w:hRule="atLeast"/>
        </w:trPr>
        <w:tc>
          <w:tcPr>
            <w:tcW w:w="9855" w:type="dxa"/>
            <w:gridSpan w:val="5"/>
            <w:tcBorders>
              <w:top w:val="nil"/>
              <w:left w:val="nil"/>
              <w:bottom w:val="nil"/>
              <w:right w:val="nil"/>
            </w:tcBorders>
            <w:noWrap w:val="0"/>
            <w:vAlign w:val="center"/>
          </w:tcPr>
          <w:p>
            <w:pPr>
              <w:widowControl/>
              <w:jc w:val="center"/>
              <w:rPr>
                <w:rFonts w:hint="eastAsia" w:ascii="仿宋" w:hAnsi="仿宋" w:eastAsia="仿宋" w:cs="仿宋"/>
                <w:kern w:val="0"/>
                <w:sz w:val="32"/>
                <w:szCs w:val="32"/>
              </w:rPr>
            </w:pPr>
            <w:r>
              <w:rPr>
                <w:rFonts w:hint="eastAsia" w:ascii="仿宋" w:hAnsi="仿宋" w:eastAsia="仿宋" w:cs="仿宋"/>
                <w:sz w:val="32"/>
                <w:szCs w:val="32"/>
              </w:rPr>
              <w:t>“三公”经费预算情况</w:t>
            </w:r>
          </w:p>
        </w:tc>
      </w:tr>
      <w:tr>
        <w:tblPrEx>
          <w:tblCellMar>
            <w:top w:w="0" w:type="dxa"/>
            <w:left w:w="108" w:type="dxa"/>
            <w:bottom w:w="0" w:type="dxa"/>
            <w:right w:w="108" w:type="dxa"/>
          </w:tblCellMar>
        </w:tblPrEx>
        <w:trPr>
          <w:trHeight w:val="285" w:hRule="atLeast"/>
        </w:trPr>
        <w:tc>
          <w:tcPr>
            <w:tcW w:w="2136" w:type="dxa"/>
            <w:tcBorders>
              <w:top w:val="nil"/>
              <w:left w:val="nil"/>
              <w:bottom w:val="nil"/>
              <w:right w:val="nil"/>
            </w:tcBorders>
            <w:noWrap w:val="0"/>
            <w:vAlign w:val="center"/>
          </w:tcPr>
          <w:p>
            <w:pPr>
              <w:widowControl/>
              <w:jc w:val="center"/>
              <w:rPr>
                <w:rFonts w:hint="eastAsia" w:ascii="仿宋" w:hAnsi="仿宋" w:eastAsia="仿宋" w:cs="仿宋"/>
                <w:kern w:val="0"/>
                <w:sz w:val="24"/>
                <w:szCs w:val="24"/>
              </w:rPr>
            </w:pPr>
          </w:p>
        </w:tc>
        <w:tc>
          <w:tcPr>
            <w:tcW w:w="1717" w:type="dxa"/>
            <w:tcBorders>
              <w:top w:val="nil"/>
              <w:left w:val="nil"/>
              <w:bottom w:val="nil"/>
              <w:right w:val="nil"/>
            </w:tcBorders>
            <w:noWrap w:val="0"/>
            <w:vAlign w:val="center"/>
          </w:tcPr>
          <w:p>
            <w:pPr>
              <w:widowControl/>
              <w:jc w:val="center"/>
              <w:rPr>
                <w:rFonts w:hint="eastAsia" w:ascii="仿宋" w:hAnsi="仿宋" w:eastAsia="仿宋" w:cs="仿宋"/>
                <w:kern w:val="0"/>
                <w:sz w:val="24"/>
                <w:szCs w:val="24"/>
              </w:rPr>
            </w:pPr>
          </w:p>
        </w:tc>
        <w:tc>
          <w:tcPr>
            <w:tcW w:w="1717" w:type="dxa"/>
            <w:tcBorders>
              <w:top w:val="nil"/>
              <w:left w:val="nil"/>
              <w:bottom w:val="nil"/>
              <w:right w:val="nil"/>
            </w:tcBorders>
            <w:noWrap w:val="0"/>
            <w:vAlign w:val="center"/>
          </w:tcPr>
          <w:p>
            <w:pPr>
              <w:widowControl/>
              <w:jc w:val="center"/>
              <w:rPr>
                <w:rFonts w:hint="eastAsia" w:ascii="仿宋" w:hAnsi="仿宋" w:eastAsia="仿宋" w:cs="仿宋"/>
                <w:kern w:val="0"/>
                <w:sz w:val="24"/>
                <w:szCs w:val="24"/>
              </w:rPr>
            </w:pPr>
          </w:p>
        </w:tc>
        <w:tc>
          <w:tcPr>
            <w:tcW w:w="1177" w:type="dxa"/>
            <w:tcBorders>
              <w:top w:val="nil"/>
              <w:left w:val="nil"/>
              <w:bottom w:val="nil"/>
              <w:right w:val="nil"/>
            </w:tcBorders>
            <w:noWrap w:val="0"/>
            <w:vAlign w:val="center"/>
          </w:tcPr>
          <w:p>
            <w:pPr>
              <w:widowControl/>
              <w:jc w:val="center"/>
              <w:rPr>
                <w:rFonts w:hint="eastAsia" w:ascii="仿宋" w:hAnsi="仿宋" w:eastAsia="仿宋" w:cs="仿宋"/>
                <w:kern w:val="0"/>
                <w:sz w:val="24"/>
                <w:szCs w:val="24"/>
              </w:rPr>
            </w:pPr>
          </w:p>
        </w:tc>
        <w:tc>
          <w:tcPr>
            <w:tcW w:w="3108" w:type="dxa"/>
            <w:tcBorders>
              <w:top w:val="nil"/>
              <w:left w:val="nil"/>
              <w:bottom w:val="nil"/>
              <w:right w:val="nil"/>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单位：万元</w:t>
            </w:r>
          </w:p>
        </w:tc>
      </w:tr>
      <w:tr>
        <w:tblPrEx>
          <w:tblCellMar>
            <w:top w:w="0" w:type="dxa"/>
            <w:left w:w="108" w:type="dxa"/>
            <w:bottom w:w="0" w:type="dxa"/>
            <w:right w:w="108" w:type="dxa"/>
          </w:tblCellMar>
        </w:tblPrEx>
        <w:trPr>
          <w:trHeight w:val="285" w:hRule="atLeast"/>
        </w:trPr>
        <w:tc>
          <w:tcPr>
            <w:tcW w:w="213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项目名称</w:t>
            </w:r>
          </w:p>
        </w:tc>
        <w:tc>
          <w:tcPr>
            <w:tcW w:w="171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2020年度预算</w:t>
            </w:r>
          </w:p>
        </w:tc>
        <w:tc>
          <w:tcPr>
            <w:tcW w:w="171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2021年度预算</w:t>
            </w:r>
          </w:p>
        </w:tc>
        <w:tc>
          <w:tcPr>
            <w:tcW w:w="117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增减金额</w:t>
            </w:r>
          </w:p>
        </w:tc>
        <w:tc>
          <w:tcPr>
            <w:tcW w:w="310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变化原因</w:t>
            </w:r>
          </w:p>
        </w:tc>
      </w:tr>
      <w:tr>
        <w:tblPrEx>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因公出国经费</w:t>
            </w:r>
          </w:p>
        </w:tc>
        <w:tc>
          <w:tcPr>
            <w:tcW w:w="1717"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0</w:t>
            </w:r>
          </w:p>
        </w:tc>
        <w:tc>
          <w:tcPr>
            <w:tcW w:w="1717"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0</w:t>
            </w:r>
          </w:p>
        </w:tc>
        <w:tc>
          <w:tcPr>
            <w:tcW w:w="1177"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0</w:t>
            </w:r>
          </w:p>
        </w:tc>
        <w:tc>
          <w:tcPr>
            <w:tcW w:w="3108"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公务用车购置经费</w:t>
            </w:r>
          </w:p>
        </w:tc>
        <w:tc>
          <w:tcPr>
            <w:tcW w:w="1717"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0</w:t>
            </w:r>
          </w:p>
        </w:tc>
        <w:tc>
          <w:tcPr>
            <w:tcW w:w="1717"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0</w:t>
            </w:r>
          </w:p>
        </w:tc>
        <w:tc>
          <w:tcPr>
            <w:tcW w:w="1177"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0</w:t>
            </w:r>
          </w:p>
        </w:tc>
        <w:tc>
          <w:tcPr>
            <w:tcW w:w="3108"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570" w:hRule="atLeast"/>
        </w:trPr>
        <w:tc>
          <w:tcPr>
            <w:tcW w:w="213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公务用车运行经费</w:t>
            </w:r>
          </w:p>
        </w:tc>
        <w:tc>
          <w:tcPr>
            <w:tcW w:w="1717"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6</w:t>
            </w:r>
          </w:p>
        </w:tc>
        <w:tc>
          <w:tcPr>
            <w:tcW w:w="1717"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5</w:t>
            </w:r>
          </w:p>
        </w:tc>
        <w:tc>
          <w:tcPr>
            <w:tcW w:w="1177" w:type="dxa"/>
            <w:tcBorders>
              <w:top w:val="nil"/>
              <w:left w:val="nil"/>
              <w:bottom w:val="single" w:color="auto" w:sz="4" w:space="0"/>
              <w:right w:val="single" w:color="auto" w:sz="4" w:space="0"/>
            </w:tcBorders>
            <w:noWrap w:val="0"/>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3108"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rPr>
            </w:pPr>
            <w:r>
              <w:rPr>
                <w:rFonts w:hint="eastAsia" w:ascii="仿宋_GB2312" w:hAnsi="宋体" w:eastAsia="仿宋_GB2312" w:cs="宋体"/>
                <w:kern w:val="0"/>
                <w:sz w:val="24"/>
                <w:szCs w:val="24"/>
              </w:rPr>
              <w:t>预算削减公车运行维护费</w:t>
            </w:r>
          </w:p>
        </w:tc>
      </w:tr>
      <w:tr>
        <w:tblPrEx>
          <w:tblCellMar>
            <w:top w:w="0" w:type="dxa"/>
            <w:left w:w="108" w:type="dxa"/>
            <w:bottom w:w="0" w:type="dxa"/>
            <w:right w:w="108" w:type="dxa"/>
          </w:tblCellMar>
        </w:tblPrEx>
        <w:trPr>
          <w:trHeight w:val="855" w:hRule="atLeast"/>
        </w:trPr>
        <w:tc>
          <w:tcPr>
            <w:tcW w:w="213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公务接待费支出</w:t>
            </w:r>
          </w:p>
        </w:tc>
        <w:tc>
          <w:tcPr>
            <w:tcW w:w="1717"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1.31</w:t>
            </w:r>
          </w:p>
        </w:tc>
        <w:tc>
          <w:tcPr>
            <w:tcW w:w="1717" w:type="dxa"/>
            <w:tcBorders>
              <w:top w:val="nil"/>
              <w:left w:val="nil"/>
              <w:bottom w:val="single" w:color="auto" w:sz="4" w:space="0"/>
              <w:right w:val="single" w:color="auto" w:sz="4" w:space="0"/>
            </w:tcBorders>
            <w:noWrap w:val="0"/>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1.97</w:t>
            </w:r>
          </w:p>
        </w:tc>
        <w:tc>
          <w:tcPr>
            <w:tcW w:w="1177" w:type="dxa"/>
            <w:tcBorders>
              <w:top w:val="nil"/>
              <w:left w:val="nil"/>
              <w:bottom w:val="single" w:color="auto" w:sz="4" w:space="0"/>
              <w:right w:val="single" w:color="auto" w:sz="4" w:space="0"/>
            </w:tcBorders>
            <w:noWrap w:val="0"/>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+0.66</w:t>
            </w:r>
          </w:p>
        </w:tc>
        <w:tc>
          <w:tcPr>
            <w:tcW w:w="3108" w:type="dxa"/>
            <w:tcBorders>
              <w:top w:val="nil"/>
              <w:left w:val="nil"/>
              <w:bottom w:val="single" w:color="auto" w:sz="4" w:space="0"/>
              <w:right w:val="single" w:color="auto" w:sz="4" w:space="0"/>
            </w:tcBorders>
            <w:noWrap w:val="0"/>
            <w:vAlign w:val="center"/>
          </w:tcPr>
          <w:p>
            <w:pPr>
              <w:rPr>
                <w:rFonts w:hint="eastAsia" w:ascii="仿宋" w:hAnsi="仿宋" w:eastAsia="仿宋" w:cs="仿宋"/>
                <w:kern w:val="0"/>
                <w:sz w:val="24"/>
                <w:szCs w:val="24"/>
              </w:rPr>
            </w:pPr>
            <w:r>
              <w:rPr>
                <w:rFonts w:hint="eastAsia" w:ascii="仿宋_GB2312" w:hAnsi="宋体" w:eastAsia="仿宋_GB2312" w:cs="宋体"/>
                <w:kern w:val="0"/>
                <w:sz w:val="24"/>
                <w:szCs w:val="24"/>
              </w:rPr>
              <w:t>按办公经费比例计提产生。</w:t>
            </w:r>
          </w:p>
        </w:tc>
      </w:tr>
      <w:tr>
        <w:tblPrEx>
          <w:tblCellMar>
            <w:top w:w="0" w:type="dxa"/>
            <w:left w:w="108" w:type="dxa"/>
            <w:bottom w:w="0" w:type="dxa"/>
            <w:right w:w="108" w:type="dxa"/>
          </w:tblCellMar>
        </w:tblPrEx>
        <w:trPr>
          <w:trHeight w:val="1140" w:hRule="atLeast"/>
        </w:trPr>
        <w:tc>
          <w:tcPr>
            <w:tcW w:w="213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合计</w:t>
            </w:r>
          </w:p>
        </w:tc>
        <w:tc>
          <w:tcPr>
            <w:tcW w:w="1717"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7.31</w:t>
            </w:r>
          </w:p>
        </w:tc>
        <w:tc>
          <w:tcPr>
            <w:tcW w:w="1717" w:type="dxa"/>
            <w:tcBorders>
              <w:top w:val="nil"/>
              <w:left w:val="nil"/>
              <w:bottom w:val="single" w:color="auto" w:sz="4" w:space="0"/>
              <w:right w:val="single" w:color="auto" w:sz="4" w:space="0"/>
            </w:tcBorders>
            <w:noWrap w:val="0"/>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6.97</w:t>
            </w:r>
          </w:p>
        </w:tc>
        <w:tc>
          <w:tcPr>
            <w:tcW w:w="1177" w:type="dxa"/>
            <w:tcBorders>
              <w:top w:val="nil"/>
              <w:left w:val="nil"/>
              <w:bottom w:val="single" w:color="auto" w:sz="4" w:space="0"/>
              <w:right w:val="single" w:color="auto" w:sz="4" w:space="0"/>
            </w:tcBorders>
            <w:noWrap w:val="0"/>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-0.34</w:t>
            </w:r>
          </w:p>
        </w:tc>
        <w:tc>
          <w:tcPr>
            <w:tcW w:w="3108" w:type="dxa"/>
            <w:tcBorders>
              <w:top w:val="nil"/>
              <w:left w:val="nil"/>
              <w:bottom w:val="single" w:color="auto" w:sz="4" w:space="0"/>
              <w:right w:val="single" w:color="auto" w:sz="4" w:space="0"/>
            </w:tcBorders>
            <w:noWrap w:val="0"/>
            <w:vAlign w:val="center"/>
          </w:tcPr>
          <w:p>
            <w:pPr>
              <w:rPr>
                <w:rFonts w:hint="eastAsia" w:ascii="仿宋" w:hAnsi="仿宋" w:eastAsia="仿宋" w:cs="仿宋"/>
                <w:kern w:val="0"/>
                <w:sz w:val="24"/>
                <w:szCs w:val="24"/>
              </w:rPr>
            </w:pPr>
            <w:r>
              <w:rPr>
                <w:rFonts w:hint="eastAsia" w:ascii="仿宋_GB2312" w:hAnsi="宋体" w:eastAsia="仿宋_GB2312" w:cs="宋体"/>
                <w:kern w:val="0"/>
                <w:sz w:val="24"/>
                <w:szCs w:val="24"/>
              </w:rPr>
              <w:t>按比例计提</w:t>
            </w:r>
          </w:p>
        </w:tc>
      </w:tr>
    </w:tbl>
    <w:p>
      <w:pPr>
        <w:spacing w:line="500" w:lineRule="exact"/>
        <w:jc w:val="center"/>
        <w:outlineLvl w:val="0"/>
        <w:rPr>
          <w:rFonts w:hint="eastAsia" w:ascii="仿宋" w:hAnsi="仿宋" w:eastAsia="仿宋" w:cs="仿宋"/>
          <w:sz w:val="32"/>
          <w:szCs w:val="32"/>
        </w:rPr>
      </w:pPr>
    </w:p>
    <w:p>
      <w:pPr>
        <w:spacing w:line="520" w:lineRule="exact"/>
        <w:jc w:val="center"/>
        <w:outlineLvl w:val="0"/>
        <w:rPr>
          <w:rFonts w:ascii="黑体" w:hAnsi="黑体" w:eastAsia="黑体"/>
          <w:sz w:val="32"/>
          <w:szCs w:val="32"/>
        </w:rPr>
      </w:pPr>
    </w:p>
    <w:p>
      <w:pPr>
        <w:spacing w:line="520" w:lineRule="exact"/>
        <w:jc w:val="center"/>
        <w:rPr>
          <w:rFonts w:hint="eastAsia" w:ascii="黑体" w:hAnsi="黑体" w:eastAsia="黑体" w:cs="黑体"/>
          <w:sz w:val="32"/>
          <w:szCs w:val="32"/>
        </w:rPr>
      </w:pPr>
    </w:p>
    <w:p>
      <w:pPr>
        <w:spacing w:line="520" w:lineRule="exact"/>
        <w:jc w:val="center"/>
        <w:rPr>
          <w:rFonts w:hint="eastAsia" w:ascii="黑体" w:hAnsi="黑体" w:eastAsia="黑体" w:cs="黑体"/>
          <w:sz w:val="32"/>
          <w:szCs w:val="32"/>
        </w:rPr>
      </w:pPr>
    </w:p>
    <w:p>
      <w:pPr>
        <w:spacing w:line="520" w:lineRule="exact"/>
        <w:jc w:val="center"/>
        <w:rPr>
          <w:rFonts w:hint="eastAsia" w:ascii="黑体" w:hAnsi="黑体" w:eastAsia="黑体" w:cs="黑体"/>
          <w:sz w:val="32"/>
          <w:szCs w:val="32"/>
        </w:rPr>
      </w:pPr>
    </w:p>
    <w:p>
      <w:pPr>
        <w:spacing w:line="520" w:lineRule="exact"/>
        <w:jc w:val="center"/>
        <w:rPr>
          <w:rFonts w:hint="eastAsia" w:ascii="黑体" w:hAnsi="黑体" w:eastAsia="黑体" w:cs="黑体"/>
          <w:sz w:val="32"/>
          <w:szCs w:val="32"/>
        </w:rPr>
      </w:pPr>
      <w:r>
        <w:rPr>
          <w:rFonts w:hint="eastAsia" w:ascii="黑体" w:hAnsi="黑体" w:eastAsia="黑体" w:cs="黑体"/>
          <w:sz w:val="32"/>
          <w:szCs w:val="32"/>
        </w:rPr>
        <w:t>第五部分：绩效预算信息</w:t>
      </w:r>
    </w:p>
    <w:p>
      <w:pPr>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一、总体绩效目标：</w:t>
      </w:r>
    </w:p>
    <w:p>
      <w:pPr>
        <w:keepNext w:val="0"/>
        <w:keepLines w:val="0"/>
        <w:pageBreakBefore w:val="0"/>
        <w:widowControl w:val="0"/>
        <w:kinsoku/>
        <w:wordWrap/>
        <w:overflowPunct/>
        <w:topLinePunct w:val="0"/>
        <w:autoSpaceDE/>
        <w:autoSpaceDN/>
        <w:bidi w:val="0"/>
        <w:adjustRightInd/>
        <w:snapToGrid/>
        <w:spacing w:before="156" w:beforeLines="50" w:after="156" w:afterLines="50"/>
        <w:ind w:firstLine="640" w:firstLineChars="200"/>
        <w:jc w:val="left"/>
        <w:textAlignment w:val="auto"/>
        <w:outlineLvl w:val="1"/>
        <w:rPr>
          <w:rFonts w:ascii="仿宋_GB2312" w:hAnsi="仿宋" w:eastAsia="仿宋_GB2312"/>
          <w:sz w:val="32"/>
          <w:szCs w:val="32"/>
        </w:rPr>
      </w:pPr>
      <w:r>
        <w:rPr>
          <w:rFonts w:ascii="仿宋_GB2312" w:hAnsi="仿宋" w:eastAsia="仿宋_GB2312"/>
          <w:sz w:val="32"/>
          <w:szCs w:val="32"/>
        </w:rPr>
        <w:t>部门年度发展规划目标</w:t>
      </w:r>
    </w:p>
    <w:p>
      <w:pPr>
        <w:keepNext w:val="0"/>
        <w:keepLines w:val="0"/>
        <w:pageBreakBefore w:val="0"/>
        <w:widowControl w:val="0"/>
        <w:kinsoku/>
        <w:wordWrap/>
        <w:overflowPunct/>
        <w:topLinePunct w:val="0"/>
        <w:autoSpaceDE/>
        <w:autoSpaceDN/>
        <w:bidi w:val="0"/>
        <w:adjustRightInd/>
        <w:snapToGrid/>
        <w:spacing w:before="156" w:beforeLines="50" w:after="156" w:afterLines="50"/>
        <w:ind w:firstLine="640" w:firstLineChars="200"/>
        <w:jc w:val="left"/>
        <w:textAlignment w:val="auto"/>
        <w:outlineLvl w:val="1"/>
        <w:rPr>
          <w:rFonts w:ascii="仿宋_GB2312" w:hAnsi="仿宋" w:eastAsia="仿宋_GB2312"/>
          <w:sz w:val="32"/>
          <w:szCs w:val="32"/>
        </w:rPr>
      </w:pPr>
      <w:r>
        <w:rPr>
          <w:rFonts w:ascii="仿宋_GB2312" w:hAnsi="仿宋" w:eastAsia="仿宋_GB2312"/>
          <w:sz w:val="32"/>
          <w:szCs w:val="32"/>
        </w:rPr>
        <w:t>我镇将以习近平新时代中国特色社会主义思想为指导，紧紧围绕区委、区政府，继续以人民群众利益为根本，定目标、赶进度,以项目建设为重点，抢抓机遇促发展，坚持夯实党建基础，挖掘弘扬红色文化主旋律，认真抓好生态资源保护，主动适应新常态，全力打造宜居乐业新区，厚德尚美满城，抓好主城区建设，推进全镇各项工作进一步开展。</w:t>
      </w:r>
    </w:p>
    <w:p>
      <w:pPr>
        <w:keepNext w:val="0"/>
        <w:keepLines w:val="0"/>
        <w:pageBreakBefore w:val="0"/>
        <w:widowControl w:val="0"/>
        <w:kinsoku/>
        <w:wordWrap/>
        <w:overflowPunct/>
        <w:topLinePunct w:val="0"/>
        <w:autoSpaceDE/>
        <w:autoSpaceDN/>
        <w:bidi w:val="0"/>
        <w:adjustRightInd/>
        <w:snapToGrid/>
        <w:spacing w:before="156" w:beforeLines="50" w:after="156" w:afterLines="50"/>
        <w:ind w:firstLine="640" w:firstLineChars="200"/>
        <w:jc w:val="left"/>
        <w:textAlignment w:val="auto"/>
        <w:outlineLvl w:val="1"/>
        <w:rPr>
          <w:rFonts w:ascii="仿宋_GB2312" w:hAnsi="仿宋" w:eastAsia="仿宋_GB2312"/>
          <w:sz w:val="32"/>
          <w:szCs w:val="32"/>
        </w:rPr>
      </w:pPr>
      <w:r>
        <w:rPr>
          <w:rFonts w:ascii="仿宋_GB2312" w:hAnsi="仿宋" w:eastAsia="仿宋_GB2312"/>
          <w:sz w:val="32"/>
          <w:szCs w:val="32"/>
        </w:rPr>
        <w:t>一是惠民生，保障群众生活质量。持续抓好精准扶贫项目，做好全年贫困户的帮扶工作，保证各个弱势群体顺利度过雨季汛期、冬季取暖等特殊时期。积极做好城乡居民养老保险和医疗保险的保费收缴工作、加强农田水利建设、加快村级道路修建，从源头上解决村民医食住行的根本问题。</w:t>
      </w:r>
    </w:p>
    <w:p>
      <w:pPr>
        <w:keepNext w:val="0"/>
        <w:keepLines w:val="0"/>
        <w:pageBreakBefore w:val="0"/>
        <w:widowControl w:val="0"/>
        <w:kinsoku/>
        <w:wordWrap/>
        <w:overflowPunct/>
        <w:topLinePunct w:val="0"/>
        <w:autoSpaceDE/>
        <w:autoSpaceDN/>
        <w:bidi w:val="0"/>
        <w:adjustRightInd/>
        <w:snapToGrid/>
        <w:spacing w:before="156" w:beforeLines="50" w:after="156" w:afterLines="50"/>
        <w:ind w:firstLine="640" w:firstLineChars="200"/>
        <w:jc w:val="left"/>
        <w:textAlignment w:val="auto"/>
        <w:outlineLvl w:val="1"/>
        <w:rPr>
          <w:rFonts w:ascii="仿宋_GB2312" w:hAnsi="仿宋" w:eastAsia="仿宋_GB2312"/>
          <w:sz w:val="32"/>
          <w:szCs w:val="32"/>
        </w:rPr>
      </w:pPr>
      <w:r>
        <w:rPr>
          <w:rFonts w:ascii="仿宋_GB2312" w:hAnsi="仿宋" w:eastAsia="仿宋_GB2312"/>
          <w:sz w:val="32"/>
          <w:szCs w:val="32"/>
        </w:rPr>
        <w:t>二是重环境，打击非法违规行为。严厉打击违法占地、非法加油站点、焚烧秸秆、“五小”企业等各种非法违规及破坏大气环境的行为。控煤、抑尘、治气相结合，继续坚定不移抓好散小乱污企业治理；严格落实“三拆、一绿、一统一”的全域旅游发展要求，积极做好拆违工作，做实、做好辖区群众工作，确保各项重点项目建设无障碍进场施工。</w:t>
      </w:r>
    </w:p>
    <w:p>
      <w:pPr>
        <w:keepNext w:val="0"/>
        <w:keepLines w:val="0"/>
        <w:pageBreakBefore w:val="0"/>
        <w:widowControl w:val="0"/>
        <w:kinsoku/>
        <w:wordWrap/>
        <w:overflowPunct/>
        <w:topLinePunct w:val="0"/>
        <w:autoSpaceDE/>
        <w:autoSpaceDN/>
        <w:bidi w:val="0"/>
        <w:adjustRightInd/>
        <w:snapToGrid/>
        <w:spacing w:before="156" w:beforeLines="50" w:after="156" w:afterLines="50"/>
        <w:ind w:firstLine="640" w:firstLineChars="200"/>
        <w:jc w:val="left"/>
        <w:textAlignment w:val="auto"/>
        <w:outlineLvl w:val="1"/>
        <w:rPr>
          <w:rFonts w:ascii="仿宋_GB2312" w:hAnsi="仿宋" w:eastAsia="仿宋_GB2312"/>
          <w:sz w:val="32"/>
          <w:szCs w:val="32"/>
        </w:rPr>
      </w:pPr>
      <w:r>
        <w:rPr>
          <w:rFonts w:ascii="仿宋_GB2312" w:hAnsi="仿宋" w:eastAsia="仿宋_GB2312"/>
          <w:sz w:val="32"/>
          <w:szCs w:val="32"/>
        </w:rPr>
        <w:t>三是培育一流的干部队伍，夯实执政的基础。将学习、宣传、贯彻党的十九大精神和加强两委干部培训相结合，突出党支部书记、两委干部、全体党员、积极分子四个层面的培训教育，努力打造一支群众满意、敢抓敢管的“高铁动车组”。进一步深化拓展“双集中双提升”活动，抓好后进支部和党建示范村培树，积极探索为民服务全程代理的新举措，统筹推进企业党建工作，让基层党组织永葆生机活力。巩固“一问责八清理”暨微腐败治理行动成果，始终保持正风肃纪的高压态势。</w:t>
      </w:r>
    </w:p>
    <w:p>
      <w:pPr>
        <w:keepNext w:val="0"/>
        <w:keepLines w:val="0"/>
        <w:pageBreakBefore w:val="0"/>
        <w:widowControl w:val="0"/>
        <w:kinsoku/>
        <w:wordWrap/>
        <w:overflowPunct/>
        <w:topLinePunct w:val="0"/>
        <w:autoSpaceDE/>
        <w:autoSpaceDN/>
        <w:bidi w:val="0"/>
        <w:adjustRightInd/>
        <w:snapToGrid/>
        <w:spacing w:before="156" w:beforeLines="50" w:after="156" w:afterLines="50"/>
        <w:ind w:firstLine="640" w:firstLineChars="200"/>
        <w:jc w:val="left"/>
        <w:textAlignment w:val="auto"/>
        <w:outlineLvl w:val="1"/>
        <w:rPr>
          <w:rFonts w:ascii="仿宋_GB2312" w:hAnsi="仿宋" w:eastAsia="仿宋_GB2312"/>
          <w:sz w:val="32"/>
          <w:szCs w:val="32"/>
        </w:rPr>
      </w:pPr>
      <w:r>
        <w:rPr>
          <w:rFonts w:ascii="仿宋_GB2312" w:hAnsi="仿宋" w:eastAsia="仿宋_GB2312"/>
          <w:sz w:val="32"/>
          <w:szCs w:val="32"/>
        </w:rPr>
        <w:t>四是创造一流的社会环境，凝聚发展的强大合力。和谐稳定的社会环境是发展的前提，也是人民群众的期盼和要求。把做好群众信访工作作为和谐社会的重中之重，把解决问题作为信访工作的核心之举，深入推进领导干部公开接访、重点约访、带案下访“三访结合”，集中力量清积案、化新案，同时，做好重点信访人员的稳控工作，确保小事不出村、大事不出镇。全面推进依法治镇，坚持有法可依、有法必依，全面实施普法宣传教育，培育良好的社会秩序。高度重视安全生产、食品药品安全、防范处理邪教等工作，始终保持可持续稳定的良好局面。</w:t>
      </w:r>
    </w:p>
    <w:p>
      <w:pPr>
        <w:keepNext w:val="0"/>
        <w:keepLines w:val="0"/>
        <w:pageBreakBefore w:val="0"/>
        <w:widowControl w:val="0"/>
        <w:kinsoku/>
        <w:wordWrap/>
        <w:overflowPunct/>
        <w:topLinePunct w:val="0"/>
        <w:autoSpaceDE/>
        <w:autoSpaceDN/>
        <w:bidi w:val="0"/>
        <w:adjustRightInd/>
        <w:snapToGrid/>
        <w:spacing w:before="156" w:beforeLines="50" w:after="156" w:afterLines="50"/>
        <w:ind w:firstLine="640" w:firstLineChars="200"/>
        <w:jc w:val="left"/>
        <w:textAlignment w:val="auto"/>
        <w:outlineLvl w:val="1"/>
        <w:rPr>
          <w:rFonts w:ascii="仿宋_GB2312" w:hAnsi="仿宋" w:eastAsia="仿宋_GB2312"/>
          <w:sz w:val="32"/>
          <w:szCs w:val="32"/>
        </w:rPr>
      </w:pPr>
      <w:bookmarkStart w:id="1" w:name="_Toc70329494"/>
      <w:r>
        <w:rPr>
          <w:rFonts w:hint="eastAsia" w:ascii="仿宋_GB2312" w:hAnsi="仿宋" w:eastAsia="仿宋_GB2312"/>
          <w:sz w:val="32"/>
          <w:szCs w:val="32"/>
        </w:rPr>
        <w:t>二、分项绩效目标</w:t>
      </w:r>
      <w:bookmarkEnd w:id="1"/>
    </w:p>
    <w:p>
      <w:pPr>
        <w:keepNext w:val="0"/>
        <w:keepLines w:val="0"/>
        <w:pageBreakBefore w:val="0"/>
        <w:widowControl w:val="0"/>
        <w:kinsoku/>
        <w:wordWrap/>
        <w:overflowPunct/>
        <w:topLinePunct w:val="0"/>
        <w:autoSpaceDE/>
        <w:autoSpaceDN/>
        <w:bidi w:val="0"/>
        <w:adjustRightInd/>
        <w:snapToGrid/>
        <w:spacing w:before="156" w:beforeLines="50" w:after="156" w:afterLines="50"/>
        <w:ind w:firstLine="640" w:firstLineChars="200"/>
        <w:jc w:val="left"/>
        <w:textAlignment w:val="auto"/>
        <w:outlineLvl w:val="1"/>
        <w:rPr>
          <w:rFonts w:ascii="仿宋_GB2312" w:hAnsi="仿宋" w:eastAsia="仿宋_GB2312"/>
          <w:sz w:val="32"/>
          <w:szCs w:val="32"/>
        </w:rPr>
      </w:pPr>
      <w:r>
        <w:rPr>
          <w:rFonts w:ascii="仿宋_GB2312" w:hAnsi="仿宋" w:eastAsia="仿宋_GB2312"/>
          <w:sz w:val="32"/>
          <w:szCs w:val="32"/>
        </w:rPr>
        <w:t>职责分类绩效目标情况说明</w:t>
      </w:r>
    </w:p>
    <w:p>
      <w:pPr>
        <w:keepNext w:val="0"/>
        <w:keepLines w:val="0"/>
        <w:pageBreakBefore w:val="0"/>
        <w:widowControl w:val="0"/>
        <w:kinsoku/>
        <w:wordWrap/>
        <w:overflowPunct/>
        <w:topLinePunct w:val="0"/>
        <w:autoSpaceDE/>
        <w:autoSpaceDN/>
        <w:bidi w:val="0"/>
        <w:adjustRightInd/>
        <w:snapToGrid/>
        <w:spacing w:before="156" w:beforeLines="50" w:after="156" w:afterLines="50"/>
        <w:ind w:firstLine="640" w:firstLineChars="200"/>
        <w:jc w:val="left"/>
        <w:textAlignment w:val="auto"/>
        <w:outlineLvl w:val="1"/>
        <w:rPr>
          <w:rFonts w:ascii="仿宋_GB2312" w:hAnsi="仿宋" w:eastAsia="仿宋_GB2312"/>
          <w:sz w:val="32"/>
          <w:szCs w:val="32"/>
        </w:rPr>
      </w:pPr>
      <w:r>
        <w:rPr>
          <w:rFonts w:ascii="仿宋_GB2312" w:hAnsi="仿宋" w:eastAsia="仿宋_GB2312"/>
          <w:sz w:val="32"/>
          <w:szCs w:val="32"/>
        </w:rPr>
        <w:t>部门职责1人大监督、人大代表。</w:t>
      </w:r>
    </w:p>
    <w:p>
      <w:pPr>
        <w:keepNext w:val="0"/>
        <w:keepLines w:val="0"/>
        <w:pageBreakBefore w:val="0"/>
        <w:widowControl w:val="0"/>
        <w:kinsoku/>
        <w:wordWrap/>
        <w:overflowPunct/>
        <w:topLinePunct w:val="0"/>
        <w:autoSpaceDE/>
        <w:autoSpaceDN/>
        <w:bidi w:val="0"/>
        <w:adjustRightInd/>
        <w:snapToGrid/>
        <w:spacing w:before="156" w:beforeLines="50" w:after="156" w:afterLines="50"/>
        <w:ind w:firstLine="640" w:firstLineChars="200"/>
        <w:jc w:val="left"/>
        <w:textAlignment w:val="auto"/>
        <w:outlineLvl w:val="1"/>
        <w:rPr>
          <w:rFonts w:ascii="仿宋_GB2312" w:hAnsi="仿宋" w:eastAsia="仿宋_GB2312"/>
          <w:sz w:val="32"/>
          <w:szCs w:val="32"/>
        </w:rPr>
      </w:pPr>
      <w:r>
        <w:rPr>
          <w:rFonts w:ascii="仿宋_GB2312" w:hAnsi="仿宋" w:eastAsia="仿宋_GB2312"/>
          <w:sz w:val="32"/>
          <w:szCs w:val="32"/>
        </w:rPr>
        <w:t>确保有关选举的法律法规符合实际，在充分考察调研的基础上，实施对其进行修改。对乡镇政府组成人员和乡镇人民法院主要负责人进行目标责任监督，确保依法履行职责，完成目标任务。承担乡镇人大换届选举、乡镇区领导人的选举和常委会人事任免的服务工作；负责对乡镇政府组成人员和乡镇人民法院主要负责人的目标责任书、述职报告的督办工作。</w:t>
      </w:r>
    </w:p>
    <w:p>
      <w:pPr>
        <w:keepNext w:val="0"/>
        <w:keepLines w:val="0"/>
        <w:pageBreakBefore w:val="0"/>
        <w:widowControl w:val="0"/>
        <w:kinsoku/>
        <w:wordWrap/>
        <w:overflowPunct/>
        <w:topLinePunct w:val="0"/>
        <w:autoSpaceDE/>
        <w:autoSpaceDN/>
        <w:bidi w:val="0"/>
        <w:adjustRightInd/>
        <w:snapToGrid/>
        <w:spacing w:before="156" w:beforeLines="50" w:after="156" w:afterLines="50"/>
        <w:ind w:firstLine="640" w:firstLineChars="200"/>
        <w:jc w:val="left"/>
        <w:textAlignment w:val="auto"/>
        <w:outlineLvl w:val="1"/>
        <w:rPr>
          <w:rFonts w:ascii="仿宋_GB2312" w:hAnsi="仿宋" w:eastAsia="仿宋_GB2312"/>
          <w:sz w:val="32"/>
          <w:szCs w:val="32"/>
        </w:rPr>
      </w:pPr>
      <w:r>
        <w:rPr>
          <w:rFonts w:ascii="仿宋_GB2312" w:hAnsi="仿宋" w:eastAsia="仿宋_GB2312"/>
          <w:sz w:val="32"/>
          <w:szCs w:val="32"/>
        </w:rPr>
        <w:t>部门职责2民族宗教事务管理</w:t>
      </w:r>
    </w:p>
    <w:p>
      <w:pPr>
        <w:keepNext w:val="0"/>
        <w:keepLines w:val="0"/>
        <w:pageBreakBefore w:val="0"/>
        <w:widowControl w:val="0"/>
        <w:kinsoku/>
        <w:wordWrap/>
        <w:overflowPunct/>
        <w:topLinePunct w:val="0"/>
        <w:autoSpaceDE/>
        <w:autoSpaceDN/>
        <w:bidi w:val="0"/>
        <w:adjustRightInd/>
        <w:snapToGrid/>
        <w:spacing w:before="156" w:beforeLines="50" w:after="156" w:afterLines="50"/>
        <w:ind w:firstLine="640" w:firstLineChars="200"/>
        <w:jc w:val="left"/>
        <w:textAlignment w:val="auto"/>
        <w:outlineLvl w:val="1"/>
        <w:rPr>
          <w:rFonts w:ascii="仿宋_GB2312" w:hAnsi="仿宋" w:eastAsia="仿宋_GB2312"/>
          <w:sz w:val="32"/>
          <w:szCs w:val="32"/>
        </w:rPr>
      </w:pPr>
      <w:r>
        <w:rPr>
          <w:rFonts w:ascii="仿宋_GB2312" w:hAnsi="仿宋" w:eastAsia="仿宋_GB2312"/>
          <w:sz w:val="32"/>
          <w:szCs w:val="32"/>
        </w:rPr>
        <w:t>加强民族宗教的法制宣传和团结教育，团结和动员广大信教群众为改革开放和经济建设服务。协助处理民族宗教方面的维稳问题。进行清真食品检查；处理其他不可预见的民族宗教问题。对地下主教、神甫及其骨干分子进行监控、反渗透，巩固爱国人员的领导地位。</w:t>
      </w:r>
    </w:p>
    <w:p>
      <w:pPr>
        <w:keepNext w:val="0"/>
        <w:keepLines w:val="0"/>
        <w:pageBreakBefore w:val="0"/>
        <w:widowControl w:val="0"/>
        <w:kinsoku/>
        <w:wordWrap/>
        <w:overflowPunct/>
        <w:topLinePunct w:val="0"/>
        <w:autoSpaceDE/>
        <w:autoSpaceDN/>
        <w:bidi w:val="0"/>
        <w:adjustRightInd/>
        <w:snapToGrid/>
        <w:spacing w:before="156" w:beforeLines="50" w:after="156" w:afterLines="50"/>
        <w:ind w:firstLine="640" w:firstLineChars="200"/>
        <w:jc w:val="left"/>
        <w:textAlignment w:val="auto"/>
        <w:outlineLvl w:val="1"/>
        <w:rPr>
          <w:rFonts w:ascii="仿宋_GB2312" w:hAnsi="仿宋" w:eastAsia="仿宋_GB2312"/>
          <w:sz w:val="32"/>
          <w:szCs w:val="32"/>
        </w:rPr>
      </w:pPr>
      <w:r>
        <w:rPr>
          <w:rFonts w:ascii="仿宋_GB2312" w:hAnsi="仿宋" w:eastAsia="仿宋_GB2312"/>
          <w:sz w:val="32"/>
          <w:szCs w:val="32"/>
        </w:rPr>
        <w:t>部门职责3党政事务管理</w:t>
      </w:r>
    </w:p>
    <w:p>
      <w:pPr>
        <w:keepNext w:val="0"/>
        <w:keepLines w:val="0"/>
        <w:pageBreakBefore w:val="0"/>
        <w:widowControl w:val="0"/>
        <w:kinsoku/>
        <w:wordWrap/>
        <w:overflowPunct/>
        <w:topLinePunct w:val="0"/>
        <w:autoSpaceDE/>
        <w:autoSpaceDN/>
        <w:bidi w:val="0"/>
        <w:adjustRightInd/>
        <w:snapToGrid/>
        <w:spacing w:before="156" w:beforeLines="50" w:after="156" w:afterLines="50"/>
        <w:ind w:firstLine="640" w:firstLineChars="200"/>
        <w:jc w:val="left"/>
        <w:textAlignment w:val="auto"/>
        <w:outlineLvl w:val="1"/>
        <w:rPr>
          <w:rFonts w:ascii="仿宋_GB2312" w:hAnsi="仿宋" w:eastAsia="仿宋_GB2312"/>
          <w:sz w:val="32"/>
          <w:szCs w:val="32"/>
        </w:rPr>
      </w:pPr>
      <w:r>
        <w:rPr>
          <w:rFonts w:ascii="仿宋_GB2312" w:hAnsi="仿宋" w:eastAsia="仿宋_GB2312"/>
          <w:sz w:val="32"/>
          <w:szCs w:val="32"/>
        </w:rPr>
        <w:t>完成党委、人大、纪检、组织、宣传、统计、妇联等工作，协调各办公室的工作关系，完成政府日常事务和机关后勤工作，完成党委政府交办的其他事项。</w:t>
      </w:r>
    </w:p>
    <w:p>
      <w:pPr>
        <w:keepNext w:val="0"/>
        <w:keepLines w:val="0"/>
        <w:pageBreakBefore w:val="0"/>
        <w:widowControl w:val="0"/>
        <w:kinsoku/>
        <w:wordWrap/>
        <w:overflowPunct/>
        <w:topLinePunct w:val="0"/>
        <w:autoSpaceDE/>
        <w:autoSpaceDN/>
        <w:bidi w:val="0"/>
        <w:adjustRightInd/>
        <w:snapToGrid/>
        <w:spacing w:before="156" w:beforeLines="50" w:after="156" w:afterLines="50"/>
        <w:ind w:firstLine="640" w:firstLineChars="200"/>
        <w:jc w:val="left"/>
        <w:textAlignment w:val="auto"/>
        <w:outlineLvl w:val="1"/>
        <w:rPr>
          <w:rFonts w:ascii="仿宋_GB2312" w:hAnsi="仿宋" w:eastAsia="仿宋_GB2312"/>
          <w:sz w:val="32"/>
          <w:szCs w:val="32"/>
        </w:rPr>
      </w:pPr>
      <w:r>
        <w:rPr>
          <w:rFonts w:ascii="仿宋_GB2312" w:hAnsi="仿宋" w:eastAsia="仿宋_GB2312"/>
          <w:sz w:val="32"/>
          <w:szCs w:val="32"/>
        </w:rPr>
        <w:t>部门职责4政法综治稳定和国家安全</w:t>
      </w:r>
    </w:p>
    <w:p>
      <w:pPr>
        <w:keepNext w:val="0"/>
        <w:keepLines w:val="0"/>
        <w:pageBreakBefore w:val="0"/>
        <w:widowControl w:val="0"/>
        <w:kinsoku/>
        <w:wordWrap/>
        <w:overflowPunct/>
        <w:topLinePunct w:val="0"/>
        <w:autoSpaceDE/>
        <w:autoSpaceDN/>
        <w:bidi w:val="0"/>
        <w:adjustRightInd/>
        <w:snapToGrid/>
        <w:spacing w:before="156" w:beforeLines="50" w:after="156" w:afterLines="50"/>
        <w:ind w:firstLine="640" w:firstLineChars="200"/>
        <w:jc w:val="left"/>
        <w:textAlignment w:val="auto"/>
        <w:outlineLvl w:val="1"/>
        <w:rPr>
          <w:rFonts w:ascii="仿宋_GB2312" w:hAnsi="仿宋" w:eastAsia="仿宋_GB2312"/>
          <w:sz w:val="32"/>
          <w:szCs w:val="32"/>
        </w:rPr>
      </w:pPr>
      <w:r>
        <w:rPr>
          <w:rFonts w:ascii="仿宋_GB2312" w:hAnsi="仿宋" w:eastAsia="仿宋_GB2312"/>
          <w:sz w:val="32"/>
          <w:szCs w:val="32"/>
        </w:rPr>
        <w:t>排查、化解影响社会稳定的重大不稳定隐患、群体性事件和突发事件及影响国家安全的事件。认真做好群众来信来访工作，特别是涉及政法各部门的案件，信件，要及时准确的做好解释疏导工作，并转办（交办)政法各部限期办理或督导检查落实情况，维护群众利益诉求。完善矛盾纠纷排查机制，对乡镇内矛盾纠纷随时排查及时化解，做到小事不出村，大事不出乡镇，把矛盾化解在基层、化解在萌芽状态。组织开展好全国两会及其他重要时期公路护路联防工作，维护好公路的安全运行，保障公路运输及过往人员安全.</w:t>
      </w:r>
    </w:p>
    <w:p>
      <w:pPr>
        <w:keepNext w:val="0"/>
        <w:keepLines w:val="0"/>
        <w:pageBreakBefore w:val="0"/>
        <w:widowControl w:val="0"/>
        <w:kinsoku/>
        <w:wordWrap/>
        <w:overflowPunct/>
        <w:topLinePunct w:val="0"/>
        <w:autoSpaceDE/>
        <w:autoSpaceDN/>
        <w:bidi w:val="0"/>
        <w:adjustRightInd/>
        <w:snapToGrid/>
        <w:spacing w:before="156" w:beforeLines="50" w:after="156" w:afterLines="50"/>
        <w:ind w:firstLine="640" w:firstLineChars="200"/>
        <w:jc w:val="left"/>
        <w:textAlignment w:val="auto"/>
        <w:outlineLvl w:val="1"/>
        <w:rPr>
          <w:rFonts w:ascii="仿宋_GB2312" w:hAnsi="仿宋" w:eastAsia="仿宋_GB2312"/>
          <w:sz w:val="32"/>
          <w:szCs w:val="32"/>
        </w:rPr>
      </w:pPr>
      <w:r>
        <w:rPr>
          <w:rFonts w:ascii="仿宋_GB2312" w:hAnsi="仿宋" w:eastAsia="仿宋_GB2312"/>
          <w:sz w:val="32"/>
          <w:szCs w:val="32"/>
        </w:rPr>
        <w:t>部门职责5社会管理与服务</w:t>
      </w:r>
    </w:p>
    <w:p>
      <w:pPr>
        <w:keepNext w:val="0"/>
        <w:keepLines w:val="0"/>
        <w:pageBreakBefore w:val="0"/>
        <w:widowControl w:val="0"/>
        <w:kinsoku/>
        <w:wordWrap/>
        <w:overflowPunct/>
        <w:topLinePunct w:val="0"/>
        <w:autoSpaceDE/>
        <w:autoSpaceDN/>
        <w:bidi w:val="0"/>
        <w:adjustRightInd/>
        <w:snapToGrid/>
        <w:spacing w:before="156" w:beforeLines="50" w:after="156" w:afterLines="50"/>
        <w:ind w:firstLine="640" w:firstLineChars="200"/>
        <w:jc w:val="left"/>
        <w:textAlignment w:val="auto"/>
        <w:outlineLvl w:val="1"/>
        <w:rPr>
          <w:rFonts w:ascii="仿宋_GB2312" w:hAnsi="仿宋" w:eastAsia="仿宋_GB2312"/>
          <w:sz w:val="32"/>
          <w:szCs w:val="32"/>
        </w:rPr>
      </w:pPr>
      <w:r>
        <w:rPr>
          <w:rFonts w:ascii="仿宋_GB2312" w:hAnsi="仿宋" w:eastAsia="仿宋_GB2312"/>
          <w:sz w:val="32"/>
          <w:szCs w:val="32"/>
        </w:rPr>
        <w:t>组织指导乡镇、村民委员会和基层群众自治组织；指导村民委员会民主选举、民主决策、民主管理和民主监督，村务公开；指导乡镇村民委员会建设及服务管理工作。</w:t>
      </w:r>
    </w:p>
    <w:p>
      <w:pPr>
        <w:keepNext w:val="0"/>
        <w:keepLines w:val="0"/>
        <w:pageBreakBefore w:val="0"/>
        <w:widowControl w:val="0"/>
        <w:kinsoku/>
        <w:wordWrap/>
        <w:overflowPunct/>
        <w:topLinePunct w:val="0"/>
        <w:autoSpaceDE/>
        <w:autoSpaceDN/>
        <w:bidi w:val="0"/>
        <w:adjustRightInd/>
        <w:snapToGrid/>
        <w:spacing w:before="156" w:beforeLines="50" w:after="156" w:afterLines="50"/>
        <w:ind w:firstLine="640" w:firstLineChars="200"/>
        <w:jc w:val="left"/>
        <w:textAlignment w:val="auto"/>
        <w:outlineLvl w:val="1"/>
        <w:rPr>
          <w:rFonts w:ascii="仿宋_GB2312" w:hAnsi="仿宋" w:eastAsia="仿宋_GB2312"/>
          <w:sz w:val="32"/>
          <w:szCs w:val="32"/>
        </w:rPr>
      </w:pPr>
      <w:r>
        <w:rPr>
          <w:rFonts w:ascii="仿宋_GB2312" w:hAnsi="仿宋" w:eastAsia="仿宋_GB2312"/>
          <w:sz w:val="32"/>
          <w:szCs w:val="32"/>
        </w:rPr>
        <w:t>部门职责6政府专项工作服务与管理</w:t>
      </w:r>
    </w:p>
    <w:p>
      <w:pPr>
        <w:keepNext w:val="0"/>
        <w:keepLines w:val="0"/>
        <w:pageBreakBefore w:val="0"/>
        <w:widowControl w:val="0"/>
        <w:kinsoku/>
        <w:wordWrap/>
        <w:overflowPunct/>
        <w:topLinePunct w:val="0"/>
        <w:autoSpaceDE/>
        <w:autoSpaceDN/>
        <w:bidi w:val="0"/>
        <w:adjustRightInd/>
        <w:snapToGrid/>
        <w:spacing w:before="156" w:beforeLines="50" w:after="156" w:afterLines="50"/>
        <w:ind w:firstLine="640" w:firstLineChars="200"/>
        <w:jc w:val="left"/>
        <w:textAlignment w:val="auto"/>
        <w:outlineLvl w:val="1"/>
        <w:rPr>
          <w:rFonts w:ascii="仿宋_GB2312" w:hAnsi="仿宋" w:eastAsia="仿宋_GB2312"/>
          <w:sz w:val="32"/>
          <w:szCs w:val="32"/>
        </w:rPr>
      </w:pPr>
      <w:r>
        <w:rPr>
          <w:rFonts w:ascii="仿宋_GB2312" w:hAnsi="仿宋" w:eastAsia="仿宋_GB2312"/>
          <w:sz w:val="32"/>
          <w:szCs w:val="32"/>
        </w:rPr>
        <w:t>政府采购、农村综合改革、政府债务、综合治税、政府购买服务、规范津补贴等政府专项工作的服务与管理.</w:t>
      </w:r>
    </w:p>
    <w:p>
      <w:pPr>
        <w:keepNext w:val="0"/>
        <w:keepLines w:val="0"/>
        <w:pageBreakBefore w:val="0"/>
        <w:widowControl w:val="0"/>
        <w:kinsoku/>
        <w:wordWrap/>
        <w:overflowPunct/>
        <w:topLinePunct w:val="0"/>
        <w:autoSpaceDE/>
        <w:autoSpaceDN/>
        <w:bidi w:val="0"/>
        <w:adjustRightInd/>
        <w:snapToGrid/>
        <w:spacing w:before="156" w:beforeLines="50" w:after="156" w:afterLines="50"/>
        <w:ind w:firstLine="640" w:firstLineChars="200"/>
        <w:jc w:val="left"/>
        <w:textAlignment w:val="auto"/>
        <w:outlineLvl w:val="1"/>
        <w:rPr>
          <w:rFonts w:ascii="仿宋_GB2312" w:hAnsi="仿宋" w:eastAsia="仿宋_GB2312"/>
          <w:sz w:val="32"/>
          <w:szCs w:val="32"/>
        </w:rPr>
      </w:pPr>
      <w:r>
        <w:rPr>
          <w:rFonts w:ascii="仿宋_GB2312" w:hAnsi="仿宋" w:eastAsia="仿宋_GB2312"/>
          <w:sz w:val="32"/>
          <w:szCs w:val="32"/>
        </w:rPr>
        <w:t>部门职责7财政</w:t>
      </w:r>
    </w:p>
    <w:p>
      <w:pPr>
        <w:keepNext w:val="0"/>
        <w:keepLines w:val="0"/>
        <w:pageBreakBefore w:val="0"/>
        <w:widowControl w:val="0"/>
        <w:kinsoku/>
        <w:wordWrap/>
        <w:overflowPunct/>
        <w:topLinePunct w:val="0"/>
        <w:autoSpaceDE/>
        <w:autoSpaceDN/>
        <w:bidi w:val="0"/>
        <w:adjustRightInd/>
        <w:snapToGrid/>
        <w:spacing w:before="156" w:beforeLines="50" w:after="156" w:afterLines="50"/>
        <w:ind w:firstLine="640" w:firstLineChars="200"/>
        <w:jc w:val="left"/>
        <w:textAlignment w:val="auto"/>
        <w:outlineLvl w:val="1"/>
        <w:rPr>
          <w:rFonts w:ascii="仿宋_GB2312" w:hAnsi="仿宋" w:eastAsia="仿宋_GB2312"/>
          <w:sz w:val="32"/>
          <w:szCs w:val="32"/>
        </w:rPr>
      </w:pPr>
      <w:r>
        <w:rPr>
          <w:rFonts w:ascii="仿宋_GB2312" w:hAnsi="仿宋" w:eastAsia="仿宋_GB2312"/>
          <w:sz w:val="32"/>
          <w:szCs w:val="32"/>
        </w:rPr>
        <w:t>负责编制乡财政预算、决算预算，财政工作加强财务会计管理工作，依法按照财经制度管理会计事务。维护财经制度，办理好各项财经事项。</w:t>
      </w:r>
    </w:p>
    <w:p>
      <w:pPr>
        <w:keepNext w:val="0"/>
        <w:keepLines w:val="0"/>
        <w:pageBreakBefore w:val="0"/>
        <w:widowControl w:val="0"/>
        <w:kinsoku/>
        <w:wordWrap/>
        <w:overflowPunct/>
        <w:topLinePunct w:val="0"/>
        <w:autoSpaceDE/>
        <w:autoSpaceDN/>
        <w:bidi w:val="0"/>
        <w:adjustRightInd/>
        <w:snapToGrid/>
        <w:spacing w:before="156" w:beforeLines="50" w:after="156" w:afterLines="50"/>
        <w:ind w:firstLine="640" w:firstLineChars="200"/>
        <w:jc w:val="left"/>
        <w:textAlignment w:val="auto"/>
        <w:outlineLvl w:val="1"/>
        <w:rPr>
          <w:rFonts w:ascii="仿宋_GB2312" w:hAnsi="仿宋" w:eastAsia="仿宋_GB2312"/>
          <w:sz w:val="32"/>
          <w:szCs w:val="32"/>
        </w:rPr>
      </w:pPr>
      <w:r>
        <w:rPr>
          <w:rFonts w:ascii="仿宋_GB2312" w:hAnsi="仿宋" w:eastAsia="仿宋_GB2312"/>
          <w:sz w:val="32"/>
          <w:szCs w:val="32"/>
        </w:rPr>
        <w:t>部门职责8水利水电项目建设与管理</w:t>
      </w:r>
      <w:r>
        <w:rPr>
          <w:rFonts w:ascii="仿宋_GB2312" w:hAnsi="仿宋" w:eastAsia="仿宋_GB2312"/>
          <w:sz w:val="32"/>
          <w:szCs w:val="32"/>
        </w:rPr>
        <w:tab/>
      </w:r>
    </w:p>
    <w:p>
      <w:pPr>
        <w:keepNext w:val="0"/>
        <w:keepLines w:val="0"/>
        <w:pageBreakBefore w:val="0"/>
        <w:widowControl w:val="0"/>
        <w:kinsoku/>
        <w:wordWrap/>
        <w:overflowPunct/>
        <w:topLinePunct w:val="0"/>
        <w:autoSpaceDE/>
        <w:autoSpaceDN/>
        <w:bidi w:val="0"/>
        <w:adjustRightInd/>
        <w:snapToGrid/>
        <w:spacing w:before="156" w:beforeLines="50" w:after="156" w:afterLines="50"/>
        <w:ind w:firstLine="640" w:firstLineChars="200"/>
        <w:jc w:val="left"/>
        <w:textAlignment w:val="auto"/>
        <w:outlineLvl w:val="1"/>
        <w:rPr>
          <w:rFonts w:ascii="仿宋_GB2312" w:hAnsi="仿宋" w:eastAsia="仿宋_GB2312"/>
          <w:sz w:val="32"/>
          <w:szCs w:val="32"/>
        </w:rPr>
      </w:pPr>
      <w:r>
        <w:rPr>
          <w:rFonts w:ascii="仿宋_GB2312" w:hAnsi="仿宋" w:eastAsia="仿宋_GB2312"/>
          <w:sz w:val="32"/>
          <w:szCs w:val="32"/>
        </w:rPr>
        <w:t>开展河道堤防、水库、排涝、水文等水利工程运行管理和加强对乡镇水利行业的安全生产监督、检查。对水利工程进行维修养护，确保工程安全运行，在全乡范围内通过实施农村饮水安全项目，解决农村居民饮水不安全问题。建设小型农田水利设施，实施节水灌溉、灌区续建配套与节水改造等，推广综合节水技术，农业水价综合改革，开展乡镇水利站建设。负责乡镇防汛抗旱组织建设，应急调度，建设应急度汛、抗旱应急、山洪灾害防治项目，储备管理防汛抗旱物资，建设水利信息化基础设施，提高乡镇抗御水旱灾害能力。</w:t>
      </w:r>
    </w:p>
    <w:p>
      <w:pPr>
        <w:keepNext w:val="0"/>
        <w:keepLines w:val="0"/>
        <w:pageBreakBefore w:val="0"/>
        <w:widowControl w:val="0"/>
        <w:kinsoku/>
        <w:wordWrap/>
        <w:overflowPunct/>
        <w:topLinePunct w:val="0"/>
        <w:autoSpaceDE/>
        <w:autoSpaceDN/>
        <w:bidi w:val="0"/>
        <w:adjustRightInd/>
        <w:snapToGrid/>
        <w:spacing w:before="156" w:beforeLines="50" w:after="156" w:afterLines="50"/>
        <w:ind w:firstLine="640" w:firstLineChars="200"/>
        <w:jc w:val="left"/>
        <w:textAlignment w:val="auto"/>
        <w:outlineLvl w:val="1"/>
        <w:rPr>
          <w:rFonts w:ascii="仿宋_GB2312" w:hAnsi="仿宋" w:eastAsia="仿宋_GB2312"/>
          <w:sz w:val="32"/>
          <w:szCs w:val="32"/>
        </w:rPr>
      </w:pPr>
      <w:r>
        <w:rPr>
          <w:rFonts w:ascii="仿宋_GB2312" w:hAnsi="仿宋" w:eastAsia="仿宋_GB2312"/>
          <w:sz w:val="32"/>
          <w:szCs w:val="32"/>
        </w:rPr>
        <w:t>部门职责9城乡建设管理</w:t>
      </w:r>
    </w:p>
    <w:p>
      <w:pPr>
        <w:keepNext w:val="0"/>
        <w:keepLines w:val="0"/>
        <w:pageBreakBefore w:val="0"/>
        <w:widowControl w:val="0"/>
        <w:kinsoku/>
        <w:wordWrap/>
        <w:overflowPunct/>
        <w:topLinePunct w:val="0"/>
        <w:autoSpaceDE/>
        <w:autoSpaceDN/>
        <w:bidi w:val="0"/>
        <w:adjustRightInd/>
        <w:snapToGrid/>
        <w:spacing w:before="156" w:beforeLines="50" w:after="156" w:afterLines="50"/>
        <w:ind w:firstLine="640" w:firstLineChars="200"/>
        <w:jc w:val="left"/>
        <w:textAlignment w:val="auto"/>
        <w:outlineLvl w:val="1"/>
        <w:rPr>
          <w:rFonts w:ascii="仿宋_GB2312" w:hAnsi="仿宋" w:eastAsia="仿宋_GB2312"/>
          <w:sz w:val="32"/>
          <w:szCs w:val="32"/>
        </w:rPr>
      </w:pPr>
      <w:r>
        <w:rPr>
          <w:rFonts w:ascii="仿宋_GB2312" w:hAnsi="仿宋" w:eastAsia="仿宋_GB2312"/>
          <w:sz w:val="32"/>
          <w:szCs w:val="32"/>
        </w:rPr>
        <w:t>乡镇公用设施建设、安全和应急管理；落实村庄和小城镇建设政策；指导农村住房建设、住房安全和危房改造；改善小城镇和村庄人居环境。</w:t>
      </w:r>
    </w:p>
    <w:p>
      <w:pPr>
        <w:keepNext w:val="0"/>
        <w:keepLines w:val="0"/>
        <w:pageBreakBefore w:val="0"/>
        <w:widowControl w:val="0"/>
        <w:kinsoku/>
        <w:wordWrap/>
        <w:overflowPunct/>
        <w:topLinePunct w:val="0"/>
        <w:autoSpaceDE/>
        <w:autoSpaceDN/>
        <w:bidi w:val="0"/>
        <w:adjustRightInd/>
        <w:snapToGrid/>
        <w:spacing w:before="156" w:beforeLines="50" w:after="156" w:afterLines="50"/>
        <w:ind w:firstLine="640" w:firstLineChars="200"/>
        <w:jc w:val="left"/>
        <w:textAlignment w:val="auto"/>
        <w:outlineLvl w:val="1"/>
        <w:rPr>
          <w:rFonts w:ascii="仿宋_GB2312" w:hAnsi="仿宋" w:eastAsia="仿宋_GB2312"/>
          <w:sz w:val="32"/>
          <w:szCs w:val="32"/>
        </w:rPr>
      </w:pPr>
      <w:r>
        <w:rPr>
          <w:rFonts w:ascii="仿宋_GB2312" w:hAnsi="仿宋" w:eastAsia="仿宋_GB2312"/>
          <w:sz w:val="32"/>
          <w:szCs w:val="32"/>
        </w:rPr>
        <w:t>部门职责10交通运输基础设施建设</w:t>
      </w:r>
    </w:p>
    <w:p>
      <w:pPr>
        <w:keepNext w:val="0"/>
        <w:keepLines w:val="0"/>
        <w:pageBreakBefore w:val="0"/>
        <w:widowControl w:val="0"/>
        <w:kinsoku/>
        <w:wordWrap/>
        <w:overflowPunct/>
        <w:topLinePunct w:val="0"/>
        <w:autoSpaceDE/>
        <w:autoSpaceDN/>
        <w:bidi w:val="0"/>
        <w:adjustRightInd/>
        <w:snapToGrid/>
        <w:spacing w:before="156" w:beforeLines="50" w:after="156" w:afterLines="50"/>
        <w:ind w:firstLine="640" w:firstLineChars="200"/>
        <w:jc w:val="left"/>
        <w:textAlignment w:val="auto"/>
        <w:outlineLvl w:val="1"/>
        <w:rPr>
          <w:rFonts w:ascii="仿宋_GB2312" w:hAnsi="仿宋" w:eastAsia="仿宋_GB2312"/>
          <w:sz w:val="32"/>
          <w:szCs w:val="32"/>
        </w:rPr>
      </w:pPr>
      <w:r>
        <w:rPr>
          <w:rFonts w:ascii="仿宋_GB2312" w:hAnsi="仿宋" w:eastAsia="仿宋_GB2312"/>
          <w:sz w:val="32"/>
          <w:szCs w:val="32"/>
        </w:rPr>
        <w:t>完成路基路面大中型维修，加固桥梁，治理隐患；开展高速绿色廊道建设；农村公路养护实施“以奖代补”。</w:t>
      </w:r>
    </w:p>
    <w:p>
      <w:pPr>
        <w:keepNext w:val="0"/>
        <w:keepLines w:val="0"/>
        <w:pageBreakBefore w:val="0"/>
        <w:widowControl w:val="0"/>
        <w:kinsoku/>
        <w:wordWrap/>
        <w:overflowPunct/>
        <w:topLinePunct w:val="0"/>
        <w:autoSpaceDE/>
        <w:autoSpaceDN/>
        <w:bidi w:val="0"/>
        <w:adjustRightInd/>
        <w:snapToGrid/>
        <w:spacing w:before="156" w:beforeLines="50" w:after="156" w:afterLines="50"/>
        <w:ind w:firstLine="640" w:firstLineChars="200"/>
        <w:jc w:val="left"/>
        <w:textAlignment w:val="auto"/>
        <w:outlineLvl w:val="1"/>
        <w:rPr>
          <w:rFonts w:ascii="仿宋_GB2312" w:hAnsi="仿宋" w:eastAsia="仿宋_GB2312"/>
          <w:sz w:val="32"/>
          <w:szCs w:val="32"/>
        </w:rPr>
      </w:pPr>
      <w:r>
        <w:rPr>
          <w:rFonts w:ascii="仿宋_GB2312" w:hAnsi="仿宋" w:eastAsia="仿宋_GB2312"/>
          <w:sz w:val="32"/>
          <w:szCs w:val="32"/>
        </w:rPr>
        <w:t>部门职责11政务管理</w:t>
      </w:r>
    </w:p>
    <w:p>
      <w:pPr>
        <w:keepNext w:val="0"/>
        <w:keepLines w:val="0"/>
        <w:pageBreakBefore w:val="0"/>
        <w:widowControl w:val="0"/>
        <w:kinsoku/>
        <w:wordWrap/>
        <w:overflowPunct/>
        <w:topLinePunct w:val="0"/>
        <w:autoSpaceDE/>
        <w:autoSpaceDN/>
        <w:bidi w:val="0"/>
        <w:adjustRightInd/>
        <w:snapToGrid/>
        <w:spacing w:before="156" w:beforeLines="50" w:after="156" w:afterLines="50"/>
        <w:ind w:firstLine="640" w:firstLineChars="200"/>
        <w:jc w:val="left"/>
        <w:textAlignment w:val="auto"/>
        <w:outlineLvl w:val="1"/>
        <w:rPr>
          <w:rFonts w:ascii="仿宋_GB2312" w:hAnsi="仿宋" w:eastAsia="仿宋_GB2312"/>
          <w:sz w:val="32"/>
          <w:szCs w:val="32"/>
        </w:rPr>
      </w:pPr>
      <w:r>
        <w:rPr>
          <w:rFonts w:ascii="仿宋_GB2312" w:hAnsi="仿宋" w:eastAsia="仿宋_GB2312"/>
          <w:sz w:val="32"/>
          <w:szCs w:val="32"/>
        </w:rPr>
        <w:t>管理乡镇机关网络建设、运转维护和电子政务；机关标准化建设、保密、档案以及政务接待、公务。办公楼修缮、供水、供电、供暖以及机关环境绿化美化、卫生保洁、安全保卫。离退休干部慰问。党组织活动。处理人民群众来信、来访。</w:t>
      </w:r>
    </w:p>
    <w:p>
      <w:pPr>
        <w:keepNext w:val="0"/>
        <w:keepLines w:val="0"/>
        <w:pageBreakBefore w:val="0"/>
        <w:widowControl w:val="0"/>
        <w:kinsoku/>
        <w:wordWrap/>
        <w:overflowPunct/>
        <w:topLinePunct w:val="0"/>
        <w:autoSpaceDE/>
        <w:autoSpaceDN/>
        <w:bidi w:val="0"/>
        <w:adjustRightInd/>
        <w:snapToGrid/>
        <w:spacing w:before="156" w:beforeLines="50" w:after="156" w:afterLines="50"/>
        <w:ind w:firstLine="640" w:firstLineChars="200"/>
        <w:jc w:val="left"/>
        <w:textAlignment w:val="auto"/>
        <w:outlineLvl w:val="1"/>
        <w:rPr>
          <w:rFonts w:ascii="仿宋_GB2312" w:hAnsi="仿宋" w:eastAsia="仿宋_GB2312"/>
          <w:sz w:val="32"/>
          <w:szCs w:val="32"/>
        </w:rPr>
      </w:pPr>
      <w:r>
        <w:rPr>
          <w:rFonts w:ascii="仿宋_GB2312" w:hAnsi="仿宋" w:eastAsia="仿宋_GB2312"/>
          <w:sz w:val="32"/>
          <w:szCs w:val="32"/>
        </w:rPr>
        <w:t>部门职责12医疗保障</w:t>
      </w:r>
    </w:p>
    <w:p>
      <w:pPr>
        <w:keepNext w:val="0"/>
        <w:keepLines w:val="0"/>
        <w:pageBreakBefore w:val="0"/>
        <w:widowControl w:val="0"/>
        <w:kinsoku/>
        <w:wordWrap/>
        <w:overflowPunct/>
        <w:topLinePunct w:val="0"/>
        <w:autoSpaceDE/>
        <w:autoSpaceDN/>
        <w:bidi w:val="0"/>
        <w:adjustRightInd/>
        <w:snapToGrid/>
        <w:spacing w:before="156" w:beforeLines="50" w:after="156" w:afterLines="50"/>
        <w:ind w:firstLine="640" w:firstLineChars="200"/>
        <w:jc w:val="left"/>
        <w:textAlignment w:val="auto"/>
        <w:outlineLvl w:val="1"/>
        <w:rPr>
          <w:rFonts w:ascii="仿宋_GB2312" w:hAnsi="仿宋" w:eastAsia="仿宋_GB2312"/>
          <w:sz w:val="32"/>
          <w:szCs w:val="32"/>
        </w:rPr>
      </w:pPr>
      <w:r>
        <w:rPr>
          <w:rFonts w:ascii="仿宋_GB2312" w:hAnsi="仿宋" w:eastAsia="仿宋_GB2312"/>
          <w:sz w:val="32"/>
          <w:szCs w:val="32"/>
        </w:rPr>
        <w:t>组织、引导、支持，农民自愿参加新型农村合作医疗，提高农村居民的医疗保障水平；建立大病保险制度；对城乡居民因患大病发生的高额医疗费用给予报销。</w:t>
      </w:r>
    </w:p>
    <w:p>
      <w:pPr>
        <w:keepNext w:val="0"/>
        <w:keepLines w:val="0"/>
        <w:pageBreakBefore w:val="0"/>
        <w:widowControl w:val="0"/>
        <w:kinsoku/>
        <w:wordWrap/>
        <w:overflowPunct/>
        <w:topLinePunct w:val="0"/>
        <w:autoSpaceDE/>
        <w:autoSpaceDN/>
        <w:bidi w:val="0"/>
        <w:adjustRightInd/>
        <w:snapToGrid/>
        <w:spacing w:before="156" w:beforeLines="50" w:after="156" w:afterLines="50"/>
        <w:ind w:firstLine="640" w:firstLineChars="200"/>
        <w:jc w:val="left"/>
        <w:textAlignment w:val="auto"/>
        <w:outlineLvl w:val="1"/>
        <w:rPr>
          <w:rFonts w:ascii="仿宋_GB2312" w:hAnsi="仿宋" w:eastAsia="仿宋_GB2312"/>
          <w:sz w:val="32"/>
          <w:szCs w:val="32"/>
        </w:rPr>
      </w:pPr>
      <w:r>
        <w:rPr>
          <w:rFonts w:ascii="仿宋_GB2312" w:hAnsi="仿宋" w:eastAsia="仿宋_GB2312"/>
          <w:sz w:val="32"/>
          <w:szCs w:val="32"/>
        </w:rPr>
        <w:t>部门职责13计划生育</w:t>
      </w:r>
    </w:p>
    <w:p>
      <w:pPr>
        <w:keepNext w:val="0"/>
        <w:keepLines w:val="0"/>
        <w:pageBreakBefore w:val="0"/>
        <w:widowControl w:val="0"/>
        <w:kinsoku/>
        <w:wordWrap/>
        <w:overflowPunct/>
        <w:topLinePunct w:val="0"/>
        <w:autoSpaceDE/>
        <w:autoSpaceDN/>
        <w:bidi w:val="0"/>
        <w:adjustRightInd/>
        <w:snapToGrid/>
        <w:spacing w:before="156" w:beforeLines="50" w:after="156" w:afterLines="50"/>
        <w:ind w:firstLine="640" w:firstLineChars="200"/>
        <w:jc w:val="left"/>
        <w:textAlignment w:val="auto"/>
        <w:outlineLvl w:val="1"/>
        <w:rPr>
          <w:rFonts w:ascii="仿宋_GB2312" w:hAnsi="仿宋" w:eastAsia="仿宋_GB2312"/>
          <w:sz w:val="32"/>
          <w:szCs w:val="32"/>
        </w:rPr>
      </w:pPr>
      <w:r>
        <w:rPr>
          <w:rFonts w:ascii="仿宋_GB2312" w:hAnsi="仿宋" w:eastAsia="仿宋_GB2312"/>
          <w:sz w:val="32"/>
          <w:szCs w:val="32"/>
        </w:rPr>
        <w:t>提供各类计划生育技术服务，建立利益导向机制，开展出生人口性别比治理以及流动人口计划生育管理等各项工作。</w:t>
      </w:r>
      <w:r>
        <w:rPr>
          <w:rFonts w:ascii="仿宋_GB2312" w:hAnsi="仿宋" w:eastAsia="仿宋_GB2312"/>
          <w:sz w:val="32"/>
          <w:szCs w:val="32"/>
        </w:rPr>
        <w:tab/>
      </w:r>
    </w:p>
    <w:p>
      <w:pPr>
        <w:keepNext w:val="0"/>
        <w:keepLines w:val="0"/>
        <w:pageBreakBefore w:val="0"/>
        <w:widowControl w:val="0"/>
        <w:kinsoku/>
        <w:wordWrap/>
        <w:overflowPunct/>
        <w:topLinePunct w:val="0"/>
        <w:autoSpaceDE/>
        <w:autoSpaceDN/>
        <w:bidi w:val="0"/>
        <w:adjustRightInd/>
        <w:snapToGrid/>
        <w:spacing w:before="156" w:beforeLines="50" w:after="156" w:afterLines="50"/>
        <w:ind w:firstLine="640" w:firstLineChars="200"/>
        <w:jc w:val="left"/>
        <w:textAlignment w:val="auto"/>
        <w:outlineLvl w:val="1"/>
        <w:rPr>
          <w:rFonts w:ascii="仿宋_GB2312" w:hAnsi="仿宋" w:eastAsia="仿宋_GB2312"/>
          <w:sz w:val="32"/>
          <w:szCs w:val="32"/>
        </w:rPr>
      </w:pPr>
      <w:r>
        <w:rPr>
          <w:rFonts w:ascii="仿宋_GB2312" w:hAnsi="仿宋" w:eastAsia="仿宋_GB2312"/>
          <w:sz w:val="32"/>
          <w:szCs w:val="32"/>
        </w:rPr>
        <w:t>部门职责14农村文化建设</w:t>
      </w:r>
    </w:p>
    <w:p>
      <w:pPr>
        <w:keepNext w:val="0"/>
        <w:keepLines w:val="0"/>
        <w:pageBreakBefore w:val="0"/>
        <w:widowControl w:val="0"/>
        <w:kinsoku/>
        <w:wordWrap/>
        <w:overflowPunct/>
        <w:topLinePunct w:val="0"/>
        <w:autoSpaceDE/>
        <w:autoSpaceDN/>
        <w:bidi w:val="0"/>
        <w:adjustRightInd/>
        <w:snapToGrid/>
        <w:spacing w:before="156" w:beforeLines="50" w:after="156" w:afterLines="50"/>
        <w:ind w:firstLine="640" w:firstLineChars="200"/>
        <w:jc w:val="left"/>
        <w:textAlignment w:val="auto"/>
        <w:outlineLvl w:val="1"/>
        <w:rPr>
          <w:rFonts w:ascii="仿宋_GB2312" w:hAnsi="仿宋" w:eastAsia="仿宋_GB2312"/>
          <w:sz w:val="32"/>
          <w:szCs w:val="32"/>
        </w:rPr>
      </w:pPr>
      <w:r>
        <w:rPr>
          <w:rFonts w:ascii="仿宋_GB2312" w:hAnsi="仿宋" w:eastAsia="仿宋_GB2312"/>
          <w:sz w:val="32"/>
          <w:szCs w:val="32"/>
        </w:rPr>
        <w:t>协助完成国家下达的广播直播卫星户户通工程、农村电影工作、数字影院升级改造、农家书屋建设、全民阅读活动、老放映员生活补助以及应急广播体系建设等任务目标。</w:t>
      </w:r>
    </w:p>
    <w:p>
      <w:pPr>
        <w:keepNext w:val="0"/>
        <w:keepLines w:val="0"/>
        <w:pageBreakBefore w:val="0"/>
        <w:widowControl w:val="0"/>
        <w:kinsoku/>
        <w:wordWrap/>
        <w:overflowPunct/>
        <w:topLinePunct w:val="0"/>
        <w:autoSpaceDE/>
        <w:autoSpaceDN/>
        <w:bidi w:val="0"/>
        <w:adjustRightInd/>
        <w:snapToGrid/>
        <w:spacing w:before="156" w:beforeLines="50" w:after="156" w:afterLines="50"/>
        <w:ind w:firstLine="640" w:firstLineChars="200"/>
        <w:jc w:val="left"/>
        <w:textAlignment w:val="auto"/>
        <w:outlineLvl w:val="1"/>
        <w:rPr>
          <w:rFonts w:ascii="仿宋_GB2312" w:hAnsi="仿宋" w:eastAsia="仿宋_GB2312"/>
          <w:sz w:val="32"/>
          <w:szCs w:val="32"/>
        </w:rPr>
      </w:pPr>
      <w:r>
        <w:rPr>
          <w:rFonts w:ascii="仿宋_GB2312" w:hAnsi="仿宋" w:eastAsia="仿宋_GB2312"/>
          <w:sz w:val="32"/>
          <w:szCs w:val="32"/>
        </w:rPr>
        <w:t>部门职责15环境污染综合防治</w:t>
      </w:r>
    </w:p>
    <w:p>
      <w:pPr>
        <w:keepNext w:val="0"/>
        <w:keepLines w:val="0"/>
        <w:pageBreakBefore w:val="0"/>
        <w:widowControl w:val="0"/>
        <w:kinsoku/>
        <w:wordWrap/>
        <w:overflowPunct/>
        <w:topLinePunct w:val="0"/>
        <w:autoSpaceDE/>
        <w:autoSpaceDN/>
        <w:bidi w:val="0"/>
        <w:adjustRightInd/>
        <w:snapToGrid/>
        <w:spacing w:before="156" w:beforeLines="50" w:after="156" w:afterLines="50"/>
        <w:ind w:firstLine="640" w:firstLineChars="200"/>
        <w:jc w:val="left"/>
        <w:textAlignment w:val="auto"/>
        <w:outlineLvl w:val="1"/>
        <w:rPr>
          <w:rFonts w:ascii="仿宋_GB2312" w:hAnsi="仿宋" w:eastAsia="仿宋_GB2312"/>
          <w:sz w:val="32"/>
          <w:szCs w:val="32"/>
        </w:rPr>
      </w:pPr>
      <w:r>
        <w:rPr>
          <w:rFonts w:ascii="仿宋_GB2312" w:hAnsi="仿宋" w:eastAsia="仿宋_GB2312"/>
          <w:sz w:val="32"/>
          <w:szCs w:val="32"/>
        </w:rPr>
        <w:t>贯彻落实大气、水体、固体废物、化学品、机动车等污染防治管理制度，开展饮用水水源地环境保护。强化生态保护和监察监管，提高自然保护区建设水平，加强生物多样性保护力度，提升农村生态环境质量。</w:t>
      </w:r>
    </w:p>
    <w:p>
      <w:pPr>
        <w:keepNext w:val="0"/>
        <w:keepLines w:val="0"/>
        <w:pageBreakBefore w:val="0"/>
        <w:widowControl w:val="0"/>
        <w:kinsoku/>
        <w:wordWrap/>
        <w:overflowPunct/>
        <w:topLinePunct w:val="0"/>
        <w:autoSpaceDE/>
        <w:autoSpaceDN/>
        <w:bidi w:val="0"/>
        <w:adjustRightInd/>
        <w:snapToGrid/>
        <w:spacing w:before="156" w:beforeLines="50" w:after="156" w:afterLines="50"/>
        <w:ind w:firstLine="640" w:firstLineChars="200"/>
        <w:jc w:val="left"/>
        <w:textAlignment w:val="auto"/>
        <w:outlineLvl w:val="1"/>
        <w:rPr>
          <w:rFonts w:ascii="仿宋_GB2312" w:hAnsi="仿宋" w:eastAsia="仿宋_GB2312"/>
          <w:sz w:val="32"/>
          <w:szCs w:val="32"/>
        </w:rPr>
      </w:pPr>
      <w:r>
        <w:rPr>
          <w:rFonts w:ascii="仿宋_GB2312" w:hAnsi="仿宋" w:eastAsia="仿宋_GB2312"/>
          <w:sz w:val="32"/>
          <w:szCs w:val="32"/>
        </w:rPr>
        <w:t>部门职责16信访问题处理</w:t>
      </w:r>
    </w:p>
    <w:p>
      <w:pPr>
        <w:keepNext w:val="0"/>
        <w:keepLines w:val="0"/>
        <w:pageBreakBefore w:val="0"/>
        <w:widowControl w:val="0"/>
        <w:kinsoku/>
        <w:wordWrap/>
        <w:overflowPunct/>
        <w:topLinePunct w:val="0"/>
        <w:autoSpaceDE/>
        <w:autoSpaceDN/>
        <w:bidi w:val="0"/>
        <w:adjustRightInd/>
        <w:snapToGrid/>
        <w:spacing w:before="156" w:beforeLines="50" w:after="156" w:afterLines="50"/>
        <w:ind w:firstLine="640" w:firstLineChars="200"/>
        <w:jc w:val="left"/>
        <w:textAlignment w:val="auto"/>
        <w:outlineLvl w:val="1"/>
        <w:rPr>
          <w:rFonts w:ascii="仿宋_GB2312" w:hAnsi="仿宋" w:eastAsia="仿宋_GB2312"/>
          <w:sz w:val="32"/>
          <w:szCs w:val="32"/>
        </w:rPr>
      </w:pPr>
      <w:r>
        <w:rPr>
          <w:rFonts w:ascii="仿宋_GB2312" w:hAnsi="仿宋" w:eastAsia="仿宋_GB2312"/>
          <w:sz w:val="32"/>
          <w:szCs w:val="32"/>
        </w:rPr>
        <w:t>负责正常信访、非访、突发性及群体性事件的办理；提供相关服务保障；协助区信访局处理群众进京上访；信访事项督查、复查、复核、听证。</w:t>
      </w:r>
    </w:p>
    <w:p>
      <w:pPr>
        <w:keepNext w:val="0"/>
        <w:keepLines w:val="0"/>
        <w:pageBreakBefore w:val="0"/>
        <w:widowControl w:val="0"/>
        <w:kinsoku/>
        <w:wordWrap/>
        <w:overflowPunct/>
        <w:topLinePunct w:val="0"/>
        <w:autoSpaceDE/>
        <w:autoSpaceDN/>
        <w:bidi w:val="0"/>
        <w:adjustRightInd/>
        <w:snapToGrid/>
        <w:spacing w:before="156" w:beforeLines="50" w:after="156" w:afterLines="50"/>
        <w:ind w:firstLine="640" w:firstLineChars="200"/>
        <w:jc w:val="left"/>
        <w:textAlignment w:val="auto"/>
        <w:outlineLvl w:val="1"/>
        <w:rPr>
          <w:rFonts w:ascii="仿宋_GB2312" w:hAnsi="仿宋" w:eastAsia="仿宋_GB2312"/>
          <w:sz w:val="32"/>
          <w:szCs w:val="32"/>
        </w:rPr>
      </w:pPr>
      <w:r>
        <w:rPr>
          <w:rFonts w:ascii="仿宋_GB2312" w:hAnsi="仿宋" w:eastAsia="仿宋_GB2312"/>
          <w:sz w:val="32"/>
          <w:szCs w:val="32"/>
        </w:rPr>
        <w:t>部门职责17民兵训练和专武干部培训</w:t>
      </w:r>
    </w:p>
    <w:p>
      <w:pPr>
        <w:keepNext w:val="0"/>
        <w:keepLines w:val="0"/>
        <w:pageBreakBefore w:val="0"/>
        <w:widowControl w:val="0"/>
        <w:kinsoku/>
        <w:wordWrap/>
        <w:overflowPunct/>
        <w:topLinePunct w:val="0"/>
        <w:autoSpaceDE/>
        <w:autoSpaceDN/>
        <w:bidi w:val="0"/>
        <w:adjustRightInd/>
        <w:snapToGrid/>
        <w:spacing w:before="156" w:beforeLines="50" w:after="156" w:afterLines="50"/>
        <w:ind w:firstLine="640" w:firstLineChars="200"/>
        <w:jc w:val="left"/>
        <w:textAlignment w:val="auto"/>
        <w:outlineLvl w:val="1"/>
        <w:rPr>
          <w:rFonts w:ascii="仿宋_GB2312" w:hAnsi="仿宋" w:eastAsia="仿宋_GB2312"/>
          <w:sz w:val="32"/>
          <w:szCs w:val="32"/>
        </w:rPr>
      </w:pPr>
      <w:r>
        <w:rPr>
          <w:rFonts w:ascii="仿宋_GB2312" w:hAnsi="仿宋" w:eastAsia="仿宋_GB2312"/>
          <w:sz w:val="32"/>
          <w:szCs w:val="32"/>
        </w:rPr>
        <w:t>根据上级要求，认真制定基干民兵和专武干部培训计划和方案，严格组织人员按质按量完成训练任务。保证装备器材的良好状态，随时执行紧急拉动和应急任务。</w:t>
      </w:r>
    </w:p>
    <w:p>
      <w:pPr>
        <w:keepNext w:val="0"/>
        <w:keepLines w:val="0"/>
        <w:pageBreakBefore w:val="0"/>
        <w:widowControl w:val="0"/>
        <w:kinsoku/>
        <w:wordWrap/>
        <w:overflowPunct/>
        <w:topLinePunct w:val="0"/>
        <w:autoSpaceDE/>
        <w:autoSpaceDN/>
        <w:bidi w:val="0"/>
        <w:adjustRightInd/>
        <w:snapToGrid/>
        <w:spacing w:before="156" w:beforeLines="50" w:after="156" w:afterLines="50"/>
        <w:ind w:firstLine="640" w:firstLineChars="200"/>
        <w:jc w:val="left"/>
        <w:textAlignment w:val="auto"/>
        <w:outlineLvl w:val="1"/>
        <w:rPr>
          <w:rFonts w:ascii="仿宋_GB2312" w:hAnsi="仿宋" w:eastAsia="仿宋_GB2312"/>
          <w:sz w:val="32"/>
          <w:szCs w:val="32"/>
        </w:rPr>
      </w:pPr>
      <w:r>
        <w:rPr>
          <w:rFonts w:ascii="仿宋_GB2312" w:hAnsi="仿宋" w:eastAsia="仿宋_GB2312"/>
          <w:sz w:val="32"/>
          <w:szCs w:val="32"/>
        </w:rPr>
        <w:t>部门职责18义务教育</w:t>
      </w:r>
    </w:p>
    <w:p>
      <w:pPr>
        <w:keepNext w:val="0"/>
        <w:keepLines w:val="0"/>
        <w:pageBreakBefore w:val="0"/>
        <w:widowControl w:val="0"/>
        <w:kinsoku/>
        <w:wordWrap/>
        <w:overflowPunct/>
        <w:topLinePunct w:val="0"/>
        <w:autoSpaceDE/>
        <w:autoSpaceDN/>
        <w:bidi w:val="0"/>
        <w:adjustRightInd/>
        <w:snapToGrid/>
        <w:spacing w:before="156" w:beforeLines="50" w:after="156" w:afterLines="50"/>
        <w:ind w:firstLine="640" w:firstLineChars="200"/>
        <w:jc w:val="left"/>
        <w:textAlignment w:val="auto"/>
        <w:outlineLvl w:val="1"/>
        <w:rPr>
          <w:rFonts w:ascii="仿宋_GB2312" w:hAnsi="仿宋" w:eastAsia="仿宋_GB2312"/>
          <w:sz w:val="32"/>
          <w:szCs w:val="32"/>
        </w:rPr>
      </w:pPr>
      <w:r>
        <w:rPr>
          <w:rFonts w:ascii="仿宋_GB2312" w:hAnsi="仿宋" w:eastAsia="仿宋_GB2312"/>
          <w:sz w:val="32"/>
          <w:szCs w:val="32"/>
        </w:rPr>
        <w:t>提高义务教育公用经费保障水平，改善办学条件，均衡配置基础教育资源，缩小城乡、区域、校际之间办学差距，落实学生资助政策。</w:t>
      </w:r>
    </w:p>
    <w:p>
      <w:pPr>
        <w:keepNext w:val="0"/>
        <w:keepLines w:val="0"/>
        <w:pageBreakBefore w:val="0"/>
        <w:widowControl w:val="0"/>
        <w:kinsoku/>
        <w:wordWrap/>
        <w:overflowPunct/>
        <w:topLinePunct w:val="0"/>
        <w:autoSpaceDE/>
        <w:autoSpaceDN/>
        <w:bidi w:val="0"/>
        <w:adjustRightInd/>
        <w:snapToGrid/>
        <w:spacing w:before="156" w:beforeLines="50" w:after="156" w:afterLines="50"/>
        <w:ind w:firstLine="640" w:firstLineChars="200"/>
        <w:jc w:val="left"/>
        <w:textAlignment w:val="auto"/>
        <w:outlineLvl w:val="1"/>
        <w:rPr>
          <w:rFonts w:ascii="仿宋_GB2312" w:hAnsi="仿宋" w:eastAsia="仿宋_GB2312"/>
          <w:sz w:val="32"/>
          <w:szCs w:val="32"/>
        </w:rPr>
      </w:pPr>
      <w:r>
        <w:rPr>
          <w:rFonts w:ascii="仿宋_GB2312" w:hAnsi="仿宋" w:eastAsia="仿宋_GB2312"/>
          <w:sz w:val="32"/>
          <w:szCs w:val="32"/>
        </w:rPr>
        <w:t>部门职责19食品药品安全管理</w:t>
      </w:r>
    </w:p>
    <w:p>
      <w:pPr>
        <w:keepNext w:val="0"/>
        <w:keepLines w:val="0"/>
        <w:pageBreakBefore w:val="0"/>
        <w:widowControl w:val="0"/>
        <w:kinsoku/>
        <w:wordWrap/>
        <w:overflowPunct/>
        <w:topLinePunct w:val="0"/>
        <w:autoSpaceDE/>
        <w:autoSpaceDN/>
        <w:bidi w:val="0"/>
        <w:adjustRightInd/>
        <w:snapToGrid/>
        <w:spacing w:before="156" w:beforeLines="50" w:after="156" w:afterLines="50"/>
        <w:ind w:firstLine="640" w:firstLineChars="200"/>
        <w:jc w:val="left"/>
        <w:textAlignment w:val="auto"/>
        <w:outlineLvl w:val="1"/>
        <w:rPr>
          <w:rFonts w:ascii="仿宋_GB2312" w:hAnsi="仿宋" w:eastAsia="仿宋_GB2312"/>
          <w:sz w:val="32"/>
          <w:szCs w:val="32"/>
        </w:rPr>
      </w:pPr>
      <w:r>
        <w:rPr>
          <w:rFonts w:ascii="仿宋_GB2312" w:hAnsi="仿宋" w:eastAsia="仿宋_GB2312"/>
          <w:sz w:val="32"/>
          <w:szCs w:val="32"/>
        </w:rPr>
        <w:t>对食品制作流通各环节进行监管，及时发现和排除食品安全问题，确保大型活动期间的餐饮安全。</w:t>
      </w:r>
    </w:p>
    <w:p>
      <w:pPr>
        <w:keepNext w:val="0"/>
        <w:keepLines w:val="0"/>
        <w:pageBreakBefore w:val="0"/>
        <w:widowControl w:val="0"/>
        <w:kinsoku/>
        <w:wordWrap/>
        <w:overflowPunct/>
        <w:topLinePunct w:val="0"/>
        <w:autoSpaceDE/>
        <w:autoSpaceDN/>
        <w:bidi w:val="0"/>
        <w:adjustRightInd/>
        <w:snapToGrid/>
        <w:spacing w:before="156" w:beforeLines="50" w:after="156" w:afterLines="50"/>
        <w:ind w:firstLine="640" w:firstLineChars="200"/>
        <w:jc w:val="left"/>
        <w:textAlignment w:val="auto"/>
        <w:outlineLvl w:val="1"/>
        <w:rPr>
          <w:rFonts w:ascii="仿宋_GB2312" w:hAnsi="仿宋" w:eastAsia="仿宋_GB2312"/>
          <w:sz w:val="32"/>
          <w:szCs w:val="32"/>
        </w:rPr>
      </w:pPr>
      <w:r>
        <w:rPr>
          <w:rFonts w:ascii="仿宋_GB2312" w:hAnsi="仿宋" w:eastAsia="仿宋_GB2312"/>
          <w:sz w:val="32"/>
          <w:szCs w:val="32"/>
        </w:rPr>
        <w:t>部门职责20安全生产综合监督管理</w:t>
      </w:r>
    </w:p>
    <w:p>
      <w:pPr>
        <w:keepNext w:val="0"/>
        <w:keepLines w:val="0"/>
        <w:pageBreakBefore w:val="0"/>
        <w:widowControl w:val="0"/>
        <w:kinsoku/>
        <w:wordWrap/>
        <w:overflowPunct/>
        <w:topLinePunct w:val="0"/>
        <w:autoSpaceDE/>
        <w:autoSpaceDN/>
        <w:bidi w:val="0"/>
        <w:adjustRightInd/>
        <w:snapToGrid/>
        <w:spacing w:before="156" w:beforeLines="50" w:after="156" w:afterLines="50"/>
        <w:ind w:firstLine="640" w:firstLineChars="200"/>
        <w:jc w:val="left"/>
        <w:textAlignment w:val="auto"/>
        <w:outlineLvl w:val="1"/>
        <w:rPr>
          <w:rFonts w:ascii="仿宋_GB2312" w:hAnsi="仿宋" w:eastAsia="仿宋_GB2312"/>
          <w:sz w:val="32"/>
          <w:szCs w:val="32"/>
        </w:rPr>
      </w:pPr>
      <w:r>
        <w:rPr>
          <w:rFonts w:ascii="仿宋_GB2312" w:hAnsi="仿宋" w:eastAsia="仿宋_GB2312"/>
          <w:sz w:val="32"/>
          <w:szCs w:val="32"/>
        </w:rPr>
        <w:t>承担全乡安全生产综合监督管理责任，依法行使综合监督管理职权；根据《</w:t>
      </w:r>
      <w:r>
        <w:rPr>
          <w:rFonts w:hint="eastAsia" w:ascii="仿宋_GB2312" w:hAnsi="仿宋" w:eastAsia="仿宋_GB2312"/>
          <w:sz w:val="32"/>
          <w:szCs w:val="32"/>
          <w:lang w:eastAsia="zh-CN"/>
        </w:rPr>
        <w:t>中华人民共和国</w:t>
      </w:r>
      <w:r>
        <w:rPr>
          <w:rFonts w:ascii="仿宋_GB2312" w:hAnsi="仿宋" w:eastAsia="仿宋_GB2312"/>
          <w:sz w:val="32"/>
          <w:szCs w:val="32"/>
        </w:rPr>
        <w:t>安全生产法》、《安全生产违法行为行政处罚办法》等法律法规，依法开展执法检查工作，对发现的安全生产违法行为依法进行行政处罚，遏制重特大事故发生，确保全乡安全生产形势稳定好转。</w:t>
      </w:r>
    </w:p>
    <w:p>
      <w:pPr>
        <w:keepNext w:val="0"/>
        <w:keepLines w:val="0"/>
        <w:pageBreakBefore w:val="0"/>
        <w:widowControl w:val="0"/>
        <w:kinsoku/>
        <w:wordWrap/>
        <w:overflowPunct/>
        <w:topLinePunct w:val="0"/>
        <w:autoSpaceDE/>
        <w:autoSpaceDN/>
        <w:bidi w:val="0"/>
        <w:adjustRightInd/>
        <w:snapToGrid/>
        <w:spacing w:before="156" w:beforeLines="50" w:after="156" w:afterLines="50"/>
        <w:ind w:firstLine="640" w:firstLineChars="200"/>
        <w:jc w:val="left"/>
        <w:textAlignment w:val="auto"/>
        <w:outlineLvl w:val="1"/>
        <w:rPr>
          <w:rFonts w:ascii="仿宋_GB2312" w:hAnsi="仿宋" w:eastAsia="仿宋_GB2312"/>
          <w:sz w:val="32"/>
          <w:szCs w:val="32"/>
        </w:rPr>
      </w:pPr>
      <w:r>
        <w:rPr>
          <w:rFonts w:ascii="仿宋_GB2312" w:hAnsi="仿宋" w:eastAsia="仿宋_GB2312"/>
          <w:sz w:val="32"/>
          <w:szCs w:val="32"/>
        </w:rPr>
        <w:t>部门职责21防灾减灾救灾</w:t>
      </w:r>
    </w:p>
    <w:p>
      <w:pPr>
        <w:keepNext w:val="0"/>
        <w:keepLines w:val="0"/>
        <w:pageBreakBefore w:val="0"/>
        <w:widowControl w:val="0"/>
        <w:kinsoku/>
        <w:wordWrap/>
        <w:overflowPunct/>
        <w:topLinePunct w:val="0"/>
        <w:autoSpaceDE/>
        <w:autoSpaceDN/>
        <w:bidi w:val="0"/>
        <w:adjustRightInd/>
        <w:snapToGrid/>
        <w:spacing w:before="156" w:beforeLines="50" w:after="156" w:afterLines="50"/>
        <w:ind w:firstLine="640" w:firstLineChars="200"/>
        <w:jc w:val="left"/>
        <w:textAlignment w:val="auto"/>
        <w:outlineLvl w:val="1"/>
        <w:rPr>
          <w:rFonts w:ascii="仿宋_GB2312" w:hAnsi="仿宋" w:eastAsia="仿宋_GB2312"/>
          <w:sz w:val="32"/>
          <w:szCs w:val="32"/>
        </w:rPr>
      </w:pPr>
      <w:r>
        <w:rPr>
          <w:rFonts w:ascii="仿宋_GB2312" w:hAnsi="仿宋" w:eastAsia="仿宋_GB2312"/>
          <w:sz w:val="32"/>
          <w:szCs w:val="32"/>
        </w:rPr>
        <w:t>组织开展乡镇防灾减灾救灾工作；组织救灾捐赠工作，负责救灾捐赠款物的接收和分配。</w:t>
      </w:r>
    </w:p>
    <w:p>
      <w:pPr>
        <w:keepNext w:val="0"/>
        <w:keepLines w:val="0"/>
        <w:pageBreakBefore w:val="0"/>
        <w:widowControl w:val="0"/>
        <w:kinsoku/>
        <w:wordWrap/>
        <w:overflowPunct/>
        <w:topLinePunct w:val="0"/>
        <w:autoSpaceDE/>
        <w:autoSpaceDN/>
        <w:bidi w:val="0"/>
        <w:adjustRightInd/>
        <w:snapToGrid/>
        <w:spacing w:before="156" w:beforeLines="50" w:after="156" w:afterLines="50"/>
        <w:ind w:firstLine="640" w:firstLineChars="200"/>
        <w:jc w:val="left"/>
        <w:textAlignment w:val="auto"/>
        <w:outlineLvl w:val="1"/>
        <w:rPr>
          <w:rFonts w:ascii="仿宋_GB2312" w:hAnsi="仿宋" w:eastAsia="仿宋_GB2312"/>
          <w:sz w:val="32"/>
          <w:szCs w:val="32"/>
        </w:rPr>
      </w:pPr>
      <w:r>
        <w:rPr>
          <w:rFonts w:ascii="仿宋_GB2312" w:hAnsi="仿宋" w:eastAsia="仿宋_GB2312"/>
          <w:sz w:val="32"/>
          <w:szCs w:val="32"/>
        </w:rPr>
        <w:t>部门职责22扶持农产品生产</w:t>
      </w:r>
    </w:p>
    <w:p>
      <w:pPr>
        <w:keepNext w:val="0"/>
        <w:keepLines w:val="0"/>
        <w:pageBreakBefore w:val="0"/>
        <w:widowControl w:val="0"/>
        <w:kinsoku/>
        <w:wordWrap/>
        <w:overflowPunct/>
        <w:topLinePunct w:val="0"/>
        <w:autoSpaceDE/>
        <w:autoSpaceDN/>
        <w:bidi w:val="0"/>
        <w:adjustRightInd/>
        <w:snapToGrid/>
        <w:spacing w:before="156" w:beforeLines="50" w:after="156" w:afterLines="50"/>
        <w:ind w:firstLine="640" w:firstLineChars="200"/>
        <w:jc w:val="left"/>
        <w:textAlignment w:val="auto"/>
        <w:outlineLvl w:val="1"/>
        <w:rPr>
          <w:rFonts w:ascii="仿宋_GB2312" w:hAnsi="仿宋" w:eastAsia="仿宋_GB2312"/>
          <w:sz w:val="32"/>
          <w:szCs w:val="32"/>
        </w:rPr>
      </w:pPr>
      <w:r>
        <w:rPr>
          <w:rFonts w:ascii="仿宋_GB2312" w:hAnsi="仿宋" w:eastAsia="仿宋_GB2312"/>
          <w:sz w:val="32"/>
          <w:szCs w:val="32"/>
        </w:rPr>
        <w:t>对生产者采取直接补贴的办法，支持推广优良品种、先进适用种养技术，实施科学管理，提高农产品质量、产量，提高生产经营效益</w:t>
      </w:r>
    </w:p>
    <w:p>
      <w:pPr>
        <w:keepNext w:val="0"/>
        <w:keepLines w:val="0"/>
        <w:pageBreakBefore w:val="0"/>
        <w:widowControl w:val="0"/>
        <w:kinsoku/>
        <w:wordWrap/>
        <w:overflowPunct/>
        <w:topLinePunct w:val="0"/>
        <w:autoSpaceDE/>
        <w:autoSpaceDN/>
        <w:bidi w:val="0"/>
        <w:adjustRightInd/>
        <w:snapToGrid/>
        <w:spacing w:before="156" w:beforeLines="50" w:after="156" w:afterLines="50"/>
        <w:ind w:firstLine="640" w:firstLineChars="200"/>
        <w:jc w:val="left"/>
        <w:textAlignment w:val="auto"/>
        <w:outlineLvl w:val="1"/>
        <w:rPr>
          <w:rFonts w:ascii="仿宋_GB2312" w:hAnsi="仿宋" w:eastAsia="仿宋_GB2312"/>
          <w:sz w:val="32"/>
          <w:szCs w:val="32"/>
        </w:rPr>
      </w:pPr>
      <w:r>
        <w:rPr>
          <w:rFonts w:ascii="仿宋_GB2312" w:hAnsi="仿宋" w:eastAsia="仿宋_GB2312"/>
          <w:sz w:val="32"/>
          <w:szCs w:val="32"/>
        </w:rPr>
        <w:t>部门职责23完善农村经营管理体制</w:t>
      </w:r>
    </w:p>
    <w:p>
      <w:pPr>
        <w:keepNext w:val="0"/>
        <w:keepLines w:val="0"/>
        <w:pageBreakBefore w:val="0"/>
        <w:widowControl w:val="0"/>
        <w:kinsoku/>
        <w:wordWrap/>
        <w:overflowPunct/>
        <w:topLinePunct w:val="0"/>
        <w:autoSpaceDE/>
        <w:autoSpaceDN/>
        <w:bidi w:val="0"/>
        <w:adjustRightInd/>
        <w:snapToGrid/>
        <w:spacing w:before="156" w:beforeLines="50" w:after="156" w:afterLines="50"/>
        <w:ind w:firstLine="640" w:firstLineChars="200"/>
        <w:jc w:val="left"/>
        <w:textAlignment w:val="auto"/>
        <w:outlineLvl w:val="1"/>
        <w:rPr>
          <w:rFonts w:ascii="仿宋_GB2312" w:hAnsi="仿宋" w:eastAsia="仿宋_GB2312"/>
          <w:sz w:val="32"/>
          <w:szCs w:val="32"/>
        </w:rPr>
      </w:pPr>
      <w:r>
        <w:rPr>
          <w:rFonts w:ascii="仿宋_GB2312" w:hAnsi="仿宋" w:eastAsia="仿宋_GB2312"/>
          <w:sz w:val="32"/>
          <w:szCs w:val="32"/>
        </w:rPr>
        <w:t>推进农村集体产权制度改革，完善农村土地承包制度，引导农村土地合理流转。创新农业经营主体。</w:t>
      </w:r>
    </w:p>
    <w:p>
      <w:pPr>
        <w:keepNext w:val="0"/>
        <w:keepLines w:val="0"/>
        <w:pageBreakBefore w:val="0"/>
        <w:widowControl w:val="0"/>
        <w:kinsoku/>
        <w:wordWrap/>
        <w:overflowPunct/>
        <w:topLinePunct w:val="0"/>
        <w:autoSpaceDE/>
        <w:autoSpaceDN/>
        <w:bidi w:val="0"/>
        <w:adjustRightInd/>
        <w:snapToGrid/>
        <w:spacing w:before="156" w:beforeLines="50" w:after="156" w:afterLines="50"/>
        <w:ind w:firstLine="640" w:firstLineChars="200"/>
        <w:jc w:val="left"/>
        <w:textAlignment w:val="auto"/>
        <w:outlineLvl w:val="1"/>
        <w:rPr>
          <w:rFonts w:ascii="仿宋_GB2312" w:hAnsi="仿宋" w:eastAsia="仿宋_GB2312"/>
          <w:sz w:val="32"/>
          <w:szCs w:val="32"/>
        </w:rPr>
      </w:pPr>
      <w:r>
        <w:rPr>
          <w:rFonts w:ascii="仿宋_GB2312" w:hAnsi="仿宋" w:eastAsia="仿宋_GB2312"/>
          <w:sz w:val="32"/>
          <w:szCs w:val="32"/>
        </w:rPr>
        <w:t>部门职责24林业生态建设</w:t>
      </w:r>
    </w:p>
    <w:p>
      <w:pPr>
        <w:keepNext w:val="0"/>
        <w:keepLines w:val="0"/>
        <w:pageBreakBefore w:val="0"/>
        <w:widowControl w:val="0"/>
        <w:kinsoku/>
        <w:wordWrap/>
        <w:overflowPunct/>
        <w:topLinePunct w:val="0"/>
        <w:autoSpaceDE/>
        <w:autoSpaceDN/>
        <w:bidi w:val="0"/>
        <w:adjustRightInd/>
        <w:snapToGrid/>
        <w:spacing w:before="156" w:beforeLines="50" w:after="156" w:afterLines="50"/>
        <w:ind w:firstLine="640" w:firstLineChars="200"/>
        <w:jc w:val="left"/>
        <w:textAlignment w:val="auto"/>
        <w:outlineLvl w:val="1"/>
        <w:rPr>
          <w:rFonts w:ascii="仿宋_GB2312" w:hAnsi="仿宋" w:eastAsia="仿宋_GB2312"/>
          <w:sz w:val="32"/>
          <w:szCs w:val="32"/>
        </w:rPr>
      </w:pPr>
      <w:r>
        <w:rPr>
          <w:rFonts w:ascii="仿宋_GB2312" w:hAnsi="仿宋" w:eastAsia="仿宋_GB2312"/>
          <w:sz w:val="32"/>
          <w:szCs w:val="32"/>
        </w:rPr>
        <w:t>贯彻执行国家、省、关于林业及其生态建设的方针、政策和法律法规；组织落实林业及其生态环境建设、森林资源保护、国土绿化、荒漠化防治和林业产业发展的政策，并组织实施监督和检查，组织开展森林资源、承担林业生态文明建设的有关工作</w:t>
      </w:r>
    </w:p>
    <w:p>
      <w:pPr>
        <w:keepNext w:val="0"/>
        <w:keepLines w:val="0"/>
        <w:pageBreakBefore w:val="0"/>
        <w:widowControl w:val="0"/>
        <w:kinsoku/>
        <w:wordWrap/>
        <w:overflowPunct/>
        <w:topLinePunct w:val="0"/>
        <w:autoSpaceDE/>
        <w:autoSpaceDN/>
        <w:bidi w:val="0"/>
        <w:adjustRightInd/>
        <w:snapToGrid/>
        <w:spacing w:before="156" w:beforeLines="50" w:after="156" w:afterLines="50"/>
        <w:ind w:firstLine="640" w:firstLineChars="200"/>
        <w:jc w:val="left"/>
        <w:textAlignment w:val="auto"/>
        <w:outlineLvl w:val="1"/>
        <w:rPr>
          <w:rFonts w:ascii="仿宋_GB2312" w:hAnsi="仿宋" w:eastAsia="仿宋_GB2312"/>
          <w:sz w:val="32"/>
          <w:szCs w:val="32"/>
        </w:rPr>
      </w:pPr>
      <w:r>
        <w:rPr>
          <w:rFonts w:ascii="仿宋_GB2312" w:hAnsi="仿宋" w:eastAsia="仿宋_GB2312"/>
          <w:sz w:val="32"/>
          <w:szCs w:val="32"/>
        </w:rPr>
        <w:t>部门职责25推进新农村建设</w:t>
      </w:r>
    </w:p>
    <w:p>
      <w:pPr>
        <w:keepNext w:val="0"/>
        <w:keepLines w:val="0"/>
        <w:pageBreakBefore w:val="0"/>
        <w:widowControl w:val="0"/>
        <w:kinsoku/>
        <w:wordWrap/>
        <w:overflowPunct/>
        <w:topLinePunct w:val="0"/>
        <w:autoSpaceDE/>
        <w:autoSpaceDN/>
        <w:bidi w:val="0"/>
        <w:adjustRightInd/>
        <w:snapToGrid/>
        <w:spacing w:before="156" w:beforeLines="50" w:after="156" w:afterLines="50"/>
        <w:ind w:firstLine="640" w:firstLineChars="200"/>
        <w:jc w:val="left"/>
        <w:textAlignment w:val="auto"/>
        <w:outlineLvl w:val="1"/>
        <w:rPr>
          <w:rFonts w:ascii="仿宋_GB2312" w:hAnsi="仿宋" w:eastAsia="仿宋_GB2312"/>
          <w:sz w:val="32"/>
          <w:szCs w:val="32"/>
        </w:rPr>
      </w:pPr>
      <w:r>
        <w:rPr>
          <w:rFonts w:ascii="仿宋_GB2312" w:hAnsi="仿宋" w:eastAsia="仿宋_GB2312"/>
          <w:sz w:val="32"/>
          <w:szCs w:val="32"/>
        </w:rPr>
        <w:t>通过实施农村面貌改造提升行动和开展新民居中心村示范点建设，加快建设社会主义新农村。改善农村环境面貌，提升农民生产生活条件。</w:t>
      </w:r>
    </w:p>
    <w:p>
      <w:pPr>
        <w:spacing w:line="520" w:lineRule="exact"/>
        <w:ind w:firstLine="643" w:firstLineChars="200"/>
        <w:jc w:val="left"/>
        <w:outlineLvl w:val="0"/>
        <w:rPr>
          <w:rFonts w:ascii="仿宋_GB2312" w:hAnsi="仿宋" w:eastAsia="仿宋_GB2312"/>
          <w:b/>
          <w:bCs/>
          <w:sz w:val="32"/>
          <w:szCs w:val="32"/>
        </w:rPr>
      </w:pPr>
      <w:r>
        <w:rPr>
          <w:rFonts w:hint="eastAsia" w:ascii="仿宋_GB2312" w:hAnsi="仿宋" w:eastAsia="仿宋_GB2312"/>
          <w:b/>
          <w:bCs/>
          <w:sz w:val="32"/>
          <w:szCs w:val="32"/>
        </w:rPr>
        <w:t>三、工作保障措施</w:t>
      </w:r>
    </w:p>
    <w:p>
      <w:pPr>
        <w:spacing w:line="520" w:lineRule="exact"/>
        <w:ind w:firstLine="640" w:firstLineChars="200"/>
        <w:jc w:val="left"/>
        <w:outlineLvl w:val="0"/>
        <w:rPr>
          <w:rFonts w:ascii="仿宋_GB2312" w:hAnsi="仿宋" w:eastAsia="仿宋_GB2312"/>
          <w:sz w:val="32"/>
          <w:szCs w:val="32"/>
        </w:rPr>
      </w:pPr>
      <w:r>
        <w:rPr>
          <w:rFonts w:ascii="仿宋_GB2312" w:hAnsi="仿宋" w:eastAsia="仿宋_GB2312"/>
          <w:sz w:val="32"/>
          <w:szCs w:val="32"/>
        </w:rPr>
        <w:t xml:space="preserve"> 我镇将以党的十九大精神为指导，紧紧围绕区委、区政府，继续以人民群众利益为根本，定目标、赶进度,以项目建设为重点，抢抓机遇促发展，坚持夯实党建基础，认真抓好生态资源保护，主动适应新常态，推进全镇各项工作进一步开展。</w:t>
      </w:r>
    </w:p>
    <w:p>
      <w:pPr>
        <w:spacing w:line="520" w:lineRule="exact"/>
        <w:ind w:firstLine="640" w:firstLineChars="200"/>
        <w:jc w:val="left"/>
        <w:outlineLvl w:val="0"/>
        <w:rPr>
          <w:rFonts w:ascii="仿宋_GB2312" w:hAnsi="仿宋" w:eastAsia="仿宋_GB2312"/>
          <w:sz w:val="32"/>
          <w:szCs w:val="32"/>
        </w:rPr>
      </w:pPr>
      <w:r>
        <w:rPr>
          <w:rFonts w:ascii="仿宋_GB2312" w:hAnsi="仿宋" w:eastAsia="仿宋_GB2312"/>
          <w:sz w:val="32"/>
          <w:szCs w:val="32"/>
        </w:rPr>
        <w:t>一是强化保护全乡生态环境态势。继续坚持“绿水青山就是金山银山”，以高压态势维护全乡生态环境。重点对PM、VOC、二氧化硫等大气污染物进行防治,推动城镇环境质量改善。</w:t>
      </w:r>
    </w:p>
    <w:p>
      <w:pPr>
        <w:spacing w:line="520" w:lineRule="exact"/>
        <w:ind w:firstLine="640" w:firstLineChars="200"/>
        <w:jc w:val="left"/>
        <w:outlineLvl w:val="0"/>
        <w:rPr>
          <w:rFonts w:ascii="仿宋_GB2312" w:hAnsi="仿宋" w:eastAsia="仿宋_GB2312"/>
          <w:sz w:val="32"/>
          <w:szCs w:val="32"/>
        </w:rPr>
      </w:pPr>
      <w:r>
        <w:rPr>
          <w:rFonts w:ascii="仿宋_GB2312" w:hAnsi="仿宋" w:eastAsia="仿宋_GB2312"/>
          <w:sz w:val="32"/>
          <w:szCs w:val="32"/>
        </w:rPr>
        <w:t>二是加强党风廉政建设,营造风清气正、干事创业的工作氛围,巡视监督工作常态化、全覆盖。</w:t>
      </w:r>
    </w:p>
    <w:p>
      <w:pPr>
        <w:spacing w:line="520" w:lineRule="exact"/>
        <w:ind w:firstLine="640" w:firstLineChars="200"/>
        <w:jc w:val="left"/>
        <w:outlineLvl w:val="0"/>
        <w:rPr>
          <w:rFonts w:ascii="仿宋_GB2312" w:hAnsi="仿宋" w:eastAsia="仿宋_GB2312"/>
          <w:sz w:val="32"/>
          <w:szCs w:val="32"/>
        </w:rPr>
      </w:pPr>
      <w:r>
        <w:rPr>
          <w:rFonts w:ascii="仿宋_GB2312" w:hAnsi="仿宋" w:eastAsia="仿宋_GB2312"/>
          <w:sz w:val="32"/>
          <w:szCs w:val="32"/>
        </w:rPr>
        <w:t>三是进一步进行精准扶贫工作。针对各贫户不同情况，进一步强化精准扶贫举措。专人指导帮扶贫困户，切实改善贫困户生活环境，达到贫困人员真脱贫的效果。</w:t>
      </w:r>
    </w:p>
    <w:p>
      <w:pPr>
        <w:spacing w:line="520" w:lineRule="exact"/>
        <w:ind w:firstLine="640" w:firstLineChars="200"/>
        <w:jc w:val="left"/>
        <w:outlineLvl w:val="0"/>
        <w:rPr>
          <w:rFonts w:ascii="仿宋_GB2312" w:hAnsi="仿宋" w:eastAsia="仿宋_GB2312"/>
          <w:sz w:val="32"/>
          <w:szCs w:val="32"/>
        </w:rPr>
      </w:pPr>
      <w:r>
        <w:rPr>
          <w:rFonts w:ascii="仿宋_GB2312" w:hAnsi="仿宋" w:eastAsia="仿宋_GB2312"/>
          <w:sz w:val="32"/>
          <w:szCs w:val="32"/>
        </w:rPr>
        <w:t>四是强化监管手段,对食品药品生产、流通等的各个环节检查、抽验。</w:t>
      </w:r>
    </w:p>
    <w:p>
      <w:pPr>
        <w:spacing w:line="520" w:lineRule="exact"/>
        <w:ind w:firstLine="640" w:firstLineChars="200"/>
        <w:jc w:val="left"/>
        <w:outlineLvl w:val="0"/>
        <w:rPr>
          <w:rFonts w:ascii="仿宋_GB2312" w:hAnsi="仿宋" w:eastAsia="仿宋_GB2312"/>
          <w:sz w:val="32"/>
          <w:szCs w:val="32"/>
        </w:rPr>
      </w:pPr>
      <w:r>
        <w:rPr>
          <w:rFonts w:ascii="仿宋_GB2312" w:hAnsi="仿宋" w:eastAsia="仿宋_GB2312"/>
          <w:sz w:val="32"/>
          <w:szCs w:val="32"/>
        </w:rPr>
        <w:t>五是以加强</w:t>
      </w:r>
      <w:r>
        <w:rPr>
          <w:rFonts w:hint="eastAsia" w:ascii="仿宋_GB2312" w:hAnsi="仿宋" w:eastAsia="仿宋_GB2312"/>
          <w:sz w:val="32"/>
          <w:szCs w:val="32"/>
        </w:rPr>
        <w:t>镇</w:t>
      </w:r>
      <w:r>
        <w:rPr>
          <w:rFonts w:ascii="仿宋_GB2312" w:hAnsi="仿宋" w:eastAsia="仿宋_GB2312"/>
          <w:sz w:val="32"/>
          <w:szCs w:val="32"/>
        </w:rPr>
        <w:t>干部管理为目标，抓好班子自身建设。在机关内部实行上下班签到考勤制度，机关干部做到一天两签到，一周一整理，一月一汇总，对于无故迟到、早退、旷工的干部，从严处分，不包庇、不纵容；领导干部实行周一例会制度，逐一总结上周的工作情况，汇报本周的工作安排，互相探讨，互相促进，确保全镇各项工作扎实推进，加强乡镇班子的凝聚力。</w:t>
      </w:r>
    </w:p>
    <w:p>
      <w:pPr>
        <w:spacing w:line="520" w:lineRule="exact"/>
        <w:ind w:firstLine="640" w:firstLineChars="200"/>
        <w:jc w:val="left"/>
        <w:outlineLvl w:val="0"/>
        <w:rPr>
          <w:rFonts w:ascii="仿宋_GB2312" w:hAnsi="仿宋" w:eastAsia="仿宋_GB2312"/>
          <w:sz w:val="32"/>
          <w:szCs w:val="32"/>
        </w:rPr>
      </w:pPr>
      <w:r>
        <w:rPr>
          <w:rFonts w:ascii="仿宋_GB2312" w:hAnsi="仿宋" w:eastAsia="仿宋_GB2312"/>
          <w:sz w:val="32"/>
          <w:szCs w:val="32"/>
        </w:rPr>
        <w:t>六是重民生，谋发展。继续落实“党务公开、村务公开、村财乡代管、村民代表大会制度”等行之有效的措施，加大教育、计生、卫生、扶贫、社保等工作力度，将各项惠民政策落实到位，使人民群众感受国家惠民政策带来的实实在在的利益和应有的权益。</w:t>
      </w:r>
    </w:p>
    <w:p>
      <w:pPr>
        <w:spacing w:line="520" w:lineRule="exact"/>
        <w:ind w:firstLine="640" w:firstLineChars="200"/>
        <w:jc w:val="left"/>
        <w:outlineLvl w:val="0"/>
        <w:rPr>
          <w:rFonts w:ascii="仿宋_GB2312" w:hAnsi="仿宋" w:eastAsia="仿宋_GB2312"/>
          <w:sz w:val="32"/>
          <w:szCs w:val="32"/>
        </w:rPr>
      </w:pPr>
      <w:r>
        <w:rPr>
          <w:rFonts w:ascii="仿宋_GB2312" w:hAnsi="仿宋" w:eastAsia="仿宋_GB2312"/>
          <w:sz w:val="32"/>
          <w:szCs w:val="32"/>
        </w:rPr>
        <w:t>七是保稳定，促和谐。党员模范带头稳固群众基础，团结稳定促和谐。全力构建平安稳固，创建一个良好的发展环境和人居环境。</w:t>
      </w:r>
    </w:p>
    <w:p>
      <w:pPr>
        <w:spacing w:line="520" w:lineRule="exact"/>
        <w:ind w:firstLine="640" w:firstLineChars="200"/>
        <w:jc w:val="left"/>
        <w:outlineLvl w:val="0"/>
        <w:rPr>
          <w:rFonts w:ascii="仿宋_GB2312" w:hAnsi="仿宋" w:eastAsia="仿宋_GB2312"/>
          <w:sz w:val="32"/>
          <w:szCs w:val="32"/>
        </w:rPr>
      </w:pPr>
      <w:r>
        <w:rPr>
          <w:rFonts w:ascii="仿宋_GB2312" w:hAnsi="仿宋" w:eastAsia="仿宋_GB2312"/>
          <w:sz w:val="32"/>
          <w:szCs w:val="32"/>
        </w:rPr>
        <w:t>八是强组织。两委干部班子建设规范化，服务方式多样化。加强村级组织和干部作风建设，为实现全年工作目标增强凝聚力、战斗力和竞争力。</w:t>
      </w:r>
    </w:p>
    <w:p>
      <w:pPr>
        <w:spacing w:line="520" w:lineRule="exact"/>
        <w:rPr>
          <w:rFonts w:hint="eastAsia" w:ascii="黑体" w:hAnsi="黑体" w:eastAsia="黑体" w:cs="黑体"/>
          <w:sz w:val="32"/>
          <w:szCs w:val="32"/>
        </w:rPr>
      </w:pPr>
    </w:p>
    <w:p>
      <w:pPr>
        <w:outlineLvl w:val="0"/>
        <w:rPr>
          <w:rFonts w:hint="eastAsia" w:ascii="仿宋" w:hAnsi="仿宋" w:eastAsia="仿宋" w:cs="仿宋"/>
          <w:sz w:val="32"/>
          <w:szCs w:val="32"/>
        </w:rPr>
      </w:pPr>
    </w:p>
    <w:p>
      <w:pPr>
        <w:jc w:val="center"/>
        <w:outlineLvl w:val="0"/>
        <w:rPr>
          <w:rFonts w:hint="eastAsia" w:ascii="仿宋" w:hAnsi="仿宋" w:eastAsia="仿宋" w:cs="仿宋"/>
          <w:sz w:val="32"/>
          <w:szCs w:val="32"/>
        </w:rPr>
      </w:pPr>
      <w:r>
        <w:rPr>
          <w:rFonts w:hint="eastAsia" w:ascii="仿宋" w:hAnsi="仿宋" w:eastAsia="仿宋" w:cs="仿宋"/>
          <w:sz w:val="32"/>
          <w:szCs w:val="32"/>
          <w:lang w:eastAsia="zh-CN"/>
        </w:rPr>
        <w:t>预算项目</w:t>
      </w:r>
      <w:r>
        <w:rPr>
          <w:rFonts w:hint="eastAsia" w:ascii="仿宋" w:hAnsi="仿宋" w:eastAsia="仿宋" w:cs="仿宋"/>
          <w:sz w:val="32"/>
          <w:szCs w:val="32"/>
        </w:rPr>
        <w:t>绩效目标</w:t>
      </w:r>
      <w:bookmarkEnd w:id="0"/>
    </w:p>
    <w:p>
      <w:pPr>
        <w:spacing w:line="300" w:lineRule="exact"/>
        <w:jc w:val="left"/>
        <w:outlineLvl w:val="0"/>
        <w:rPr>
          <w:rFonts w:hint="eastAsia" w:ascii="仿宋" w:hAnsi="仿宋" w:eastAsia="仿宋" w:cs="仿宋"/>
          <w:sz w:val="32"/>
          <w:szCs w:val="32"/>
        </w:rPr>
      </w:pPr>
    </w:p>
    <w:p>
      <w:pPr>
        <w:ind w:firstLine="562" w:firstLineChars="200"/>
        <w:jc w:val="left"/>
        <w:outlineLvl w:val="3"/>
        <w:rPr>
          <w:rFonts w:hAnsi="宋体"/>
          <w:b/>
          <w:sz w:val="28"/>
        </w:rPr>
      </w:pPr>
      <w:bookmarkStart w:id="2" w:name="_Toc70329496"/>
      <w:r>
        <w:rPr>
          <w:rFonts w:hint="eastAsia" w:ascii="方正仿宋_GBK" w:eastAsia="方正仿宋_GBK"/>
          <w:b/>
          <w:sz w:val="28"/>
        </w:rPr>
        <w:t>1.农村文化建设资金绩效目标表</w:t>
      </w:r>
      <w:bookmarkEnd w:id="2"/>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1、农村文化建设资金绩效目标表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910001</w:t>
            </w:r>
            <w:r>
              <w:rPr>
                <w:rFonts w:hint="eastAsia" w:ascii="方正书宋_GBK" w:eastAsia="方正书宋_GBK"/>
                <w:b/>
              </w:rPr>
              <w:t>保定市满城区满城镇财政所本级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130621214786DX3KCLNOO</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hint="eastAsia" w:ascii="方正书宋_GBK" w:eastAsia="方正书宋_GBK"/>
              </w:rPr>
              <w:t>农村文化建设资金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17.00</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17.00</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hint="eastAsia" w:ascii="方正书宋_GBK" w:eastAsia="方正书宋_GBK"/>
              </w:rPr>
              <w:t>建立起适合于新农村建设的文化观念和文化发展模式，丰富精神文化生活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提高人民群众集体文化水平</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保障人民群众的精神文化生活丰富多彩</w:t>
            </w:r>
          </w:p>
        </w:tc>
      </w:tr>
    </w:tbl>
    <w:p>
      <w:pPr>
        <w:spacing w:line="14" w:lineRule="exact"/>
        <w:jc w:val="center"/>
        <w:rPr>
          <w:rFonts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组织系列文化活动数量</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组织开展系列文化活动次数（个）</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次</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文化活动率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文化活动率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资金发放是否及时</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资金发放是否及时</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是</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补贴标准</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补贴标准</w:t>
            </w:r>
          </w:p>
        </w:tc>
        <w:tc>
          <w:tcPr>
            <w:tcW w:w="1276" w:type="dxa"/>
            <w:noWrap w:val="0"/>
            <w:vAlign w:val="center"/>
          </w:tcPr>
          <w:p>
            <w:pPr>
              <w:spacing w:line="300" w:lineRule="exact"/>
              <w:jc w:val="left"/>
              <w:rPr>
                <w:rFonts w:hint="eastAsia" w:ascii="方正书宋_GBK" w:eastAsia="方正书宋_GBK"/>
              </w:rPr>
            </w:pPr>
            <w:r>
              <w:rPr>
                <w:rFonts w:ascii="方正书宋_GBK" w:eastAsia="方正书宋_GBK"/>
              </w:rPr>
              <w:t>0.5</w:t>
            </w:r>
            <w:r>
              <w:rPr>
                <w:rFonts w:hint="eastAsia" w:ascii="方正书宋_GBK" w:eastAsia="方正书宋_GBK"/>
              </w:rPr>
              <w:t>万元</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经费较上年度增加情况</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经费较上年度增加情况</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社会影响力</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得到广大受众的认可度</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文化资金上年度增加情况</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文化资金上年度增加情况</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认可</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受益人口满意度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受益人口满意度</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8080%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工作需要</w:t>
            </w:r>
          </w:p>
        </w:tc>
      </w:tr>
    </w:tbl>
    <w:p>
      <w:pPr>
        <w:spacing w:line="300" w:lineRule="exact"/>
        <w:jc w:val="left"/>
        <w:sectPr>
          <w:pgSz w:w="11907" w:h="16839"/>
          <w:pgMar w:top="1984" w:right="1304" w:bottom="1134" w:left="1304" w:header="851" w:footer="992" w:gutter="0"/>
          <w:cols w:space="720" w:num="1"/>
          <w:docGrid w:type="lines" w:linePitch="312" w:charSpace="0"/>
        </w:sectPr>
      </w:pPr>
    </w:p>
    <w:p>
      <w:pPr>
        <w:spacing w:line="300" w:lineRule="exact"/>
        <w:jc w:val="left"/>
      </w:pPr>
    </w:p>
    <w:p>
      <w:pPr>
        <w:ind w:firstLine="562" w:firstLineChars="200"/>
        <w:jc w:val="left"/>
        <w:outlineLvl w:val="3"/>
        <w:rPr>
          <w:rFonts w:hAnsi="宋体"/>
          <w:b/>
          <w:sz w:val="28"/>
        </w:rPr>
      </w:pPr>
      <w:bookmarkStart w:id="3" w:name="_Toc70329497"/>
      <w:r>
        <w:rPr>
          <w:rFonts w:hint="eastAsia" w:ascii="方正仿宋_GBK" w:eastAsia="方正仿宋_GBK"/>
          <w:b/>
          <w:sz w:val="28"/>
        </w:rPr>
        <w:t>2.服务群众专项经费绩效目标表</w:t>
      </w:r>
      <w:bookmarkEnd w:id="3"/>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2、服务群众专项经费绩效目标表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910001</w:t>
            </w:r>
            <w:r>
              <w:rPr>
                <w:rFonts w:hint="eastAsia" w:ascii="方正书宋_GBK" w:eastAsia="方正书宋_GBK"/>
                <w:b/>
              </w:rPr>
              <w:t>保定市满城区满城镇财政所本级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130621215EF6V1HC851BH</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hint="eastAsia" w:ascii="方正书宋_GBK" w:eastAsia="方正书宋_GBK"/>
              </w:rPr>
              <w:t>服务群众专项经费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30.39</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30.39</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hint="eastAsia" w:ascii="方正书宋_GBK" w:eastAsia="方正书宋_GBK"/>
              </w:rPr>
              <w:t>村级组织服务、发展壮大集体经济、加强基层组织建设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按村级实际支出拨付经费</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保障基层组织工作顺利开展</w:t>
            </w:r>
          </w:p>
        </w:tc>
      </w:tr>
    </w:tbl>
    <w:p>
      <w:pPr>
        <w:spacing w:line="14" w:lineRule="exact"/>
        <w:jc w:val="center"/>
        <w:rPr>
          <w:rFonts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受益村级数量（村）</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受益村级数量（村）</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34</w:t>
            </w:r>
            <w:r>
              <w:rPr>
                <w:rFonts w:hint="eastAsia" w:ascii="方正书宋_GBK" w:eastAsia="方正书宋_GBK"/>
              </w:rPr>
              <w:t>个</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资金发放覆盖率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资金发放覆盖率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资金发放是否及时</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资金发放是否及时</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是</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补贴标准</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补贴标准</w:t>
            </w:r>
          </w:p>
        </w:tc>
        <w:tc>
          <w:tcPr>
            <w:tcW w:w="1276" w:type="dxa"/>
            <w:noWrap w:val="0"/>
            <w:vAlign w:val="center"/>
          </w:tcPr>
          <w:p>
            <w:pPr>
              <w:spacing w:line="300" w:lineRule="exact"/>
              <w:jc w:val="left"/>
              <w:rPr>
                <w:rFonts w:hint="eastAsia" w:ascii="方正书宋_GBK" w:eastAsia="方正书宋_GBK"/>
              </w:rPr>
            </w:pPr>
            <w:r>
              <w:rPr>
                <w:rFonts w:ascii="方正书宋_GBK" w:eastAsia="方正书宋_GBK"/>
              </w:rPr>
              <w:t>0.89</w:t>
            </w:r>
            <w:r>
              <w:rPr>
                <w:rFonts w:hint="eastAsia" w:ascii="方正书宋_GBK" w:eastAsia="方正书宋_GBK"/>
              </w:rPr>
              <w:t>万元</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经费较上年度增加情况</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经费较上年度增加情况</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社会影响力</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得到广大受众的认可程度</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专项经费较上年度增加情况</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专项经费较上年度增加情况</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认可</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受益人口满意度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受益人口满意度</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工作需要</w:t>
            </w:r>
          </w:p>
        </w:tc>
      </w:tr>
    </w:tbl>
    <w:p>
      <w:pPr>
        <w:spacing w:line="300" w:lineRule="exact"/>
        <w:jc w:val="left"/>
        <w:sectPr>
          <w:pgSz w:w="11907" w:h="16839"/>
          <w:pgMar w:top="1984" w:right="1304" w:bottom="1134" w:left="1304" w:header="851" w:footer="992" w:gutter="0"/>
          <w:cols w:space="720" w:num="1"/>
          <w:docGrid w:type="lines" w:linePitch="312" w:charSpace="0"/>
        </w:sectPr>
      </w:pPr>
    </w:p>
    <w:p>
      <w:pPr>
        <w:spacing w:line="300" w:lineRule="exact"/>
        <w:jc w:val="left"/>
      </w:pPr>
    </w:p>
    <w:p>
      <w:pPr>
        <w:ind w:firstLine="562" w:firstLineChars="200"/>
        <w:jc w:val="left"/>
        <w:outlineLvl w:val="3"/>
        <w:rPr>
          <w:rFonts w:hAnsi="宋体"/>
          <w:b/>
          <w:sz w:val="28"/>
        </w:rPr>
      </w:pPr>
      <w:bookmarkStart w:id="4" w:name="_Toc70329498"/>
      <w:r>
        <w:rPr>
          <w:rFonts w:hint="eastAsia" w:ascii="方正仿宋_GBK" w:eastAsia="方正仿宋_GBK"/>
          <w:b/>
          <w:sz w:val="28"/>
        </w:rPr>
        <w:t>3.村党组织活动经费绩效目标表</w:t>
      </w:r>
      <w:bookmarkEnd w:id="4"/>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3、村党组织活动经费绩效目标表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910001</w:t>
            </w:r>
            <w:r>
              <w:rPr>
                <w:rFonts w:hint="eastAsia" w:ascii="方正书宋_GBK" w:eastAsia="方正书宋_GBK"/>
                <w:b/>
              </w:rPr>
              <w:t>保定市满城区满城镇财政所本级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130621216SAOZVA7K5N3A</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hint="eastAsia" w:ascii="方正书宋_GBK" w:eastAsia="方正书宋_GBK"/>
              </w:rPr>
              <w:t>村党组织活动经费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27.20</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27.20</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hint="eastAsia" w:ascii="方正书宋_GBK" w:eastAsia="方正书宋_GBK"/>
              </w:rPr>
              <w:t>村党员干部教育培训，主题教育培训，救助困难党员等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按村级实际支出拨付经费</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保障基层组织工作顺利开展</w:t>
            </w:r>
          </w:p>
        </w:tc>
      </w:tr>
    </w:tbl>
    <w:p>
      <w:pPr>
        <w:spacing w:line="14" w:lineRule="exact"/>
        <w:jc w:val="center"/>
        <w:rPr>
          <w:rFonts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受益村级数量（村）</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受益村级数量（村）</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34</w:t>
            </w:r>
            <w:r>
              <w:rPr>
                <w:rFonts w:hint="eastAsia" w:ascii="方正书宋_GBK" w:eastAsia="方正书宋_GBK"/>
              </w:rPr>
              <w:t>个</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资金发放覆盖率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资金发放覆盖率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资金发放是否及时</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资金发放是否及时</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是</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补贴标准</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补贴标准</w:t>
            </w:r>
          </w:p>
        </w:tc>
        <w:tc>
          <w:tcPr>
            <w:tcW w:w="1276" w:type="dxa"/>
            <w:noWrap w:val="0"/>
            <w:vAlign w:val="center"/>
          </w:tcPr>
          <w:p>
            <w:pPr>
              <w:spacing w:line="300" w:lineRule="exact"/>
              <w:jc w:val="left"/>
              <w:rPr>
                <w:rFonts w:hint="eastAsia" w:ascii="方正书宋_GBK" w:eastAsia="方正书宋_GBK"/>
              </w:rPr>
            </w:pPr>
            <w:r>
              <w:rPr>
                <w:rFonts w:ascii="方正书宋_GBK" w:eastAsia="方正书宋_GBK"/>
              </w:rPr>
              <w:t>8000</w:t>
            </w:r>
            <w:r>
              <w:rPr>
                <w:rFonts w:hint="eastAsia" w:ascii="方正书宋_GBK" w:eastAsia="方正书宋_GBK"/>
              </w:rPr>
              <w:t>元</w:t>
            </w:r>
            <w:r>
              <w:rPr>
                <w:rFonts w:ascii="方正书宋_GBK" w:eastAsia="方正书宋_GBK"/>
              </w:rPr>
              <w:t>/</w:t>
            </w:r>
            <w:r>
              <w:rPr>
                <w:rFonts w:hint="eastAsia" w:ascii="方正书宋_GBK" w:eastAsia="方正书宋_GBK"/>
              </w:rPr>
              <w:t>亩</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经费较上年度增加情况</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经费较上年度增加情况</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受益人数（人）</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受益人数（人）</w:t>
            </w:r>
          </w:p>
        </w:tc>
        <w:tc>
          <w:tcPr>
            <w:tcW w:w="1276" w:type="dxa"/>
            <w:noWrap w:val="0"/>
            <w:vAlign w:val="center"/>
          </w:tcPr>
          <w:p>
            <w:pPr>
              <w:spacing w:line="300" w:lineRule="exact"/>
              <w:jc w:val="left"/>
              <w:rPr>
                <w:rFonts w:hint="eastAsia" w:ascii="方正书宋_GBK" w:eastAsia="方正书宋_GBK"/>
              </w:rPr>
            </w:pPr>
            <w:r>
              <w:rPr>
                <w:rFonts w:ascii="方正书宋_GBK" w:eastAsia="方正书宋_GBK"/>
              </w:rPr>
              <w:t>68816</w:t>
            </w:r>
            <w:r>
              <w:rPr>
                <w:rFonts w:hint="eastAsia" w:ascii="方正书宋_GBK" w:eastAsia="方正书宋_GBK"/>
              </w:rPr>
              <w:t>人</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村级组织服务对象办事方便情况</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村级组织服务对象办事方便情况</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改善</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受益人口满意度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受益人口满意度</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工作需要</w:t>
            </w:r>
          </w:p>
        </w:tc>
      </w:tr>
    </w:tbl>
    <w:p>
      <w:pPr>
        <w:spacing w:line="300" w:lineRule="exact"/>
        <w:jc w:val="left"/>
        <w:sectPr>
          <w:pgSz w:w="11907" w:h="16839"/>
          <w:pgMar w:top="1984" w:right="1304" w:bottom="1134" w:left="1304" w:header="851" w:footer="992" w:gutter="0"/>
          <w:cols w:space="720" w:num="1"/>
          <w:docGrid w:type="lines" w:linePitch="312" w:charSpace="0"/>
        </w:sectPr>
      </w:pPr>
    </w:p>
    <w:p>
      <w:pPr>
        <w:spacing w:line="300" w:lineRule="exact"/>
        <w:jc w:val="left"/>
      </w:pPr>
    </w:p>
    <w:p>
      <w:pPr>
        <w:ind w:firstLine="562" w:firstLineChars="200"/>
        <w:jc w:val="left"/>
        <w:outlineLvl w:val="3"/>
        <w:rPr>
          <w:rFonts w:hAnsi="宋体"/>
          <w:b/>
          <w:sz w:val="28"/>
        </w:rPr>
      </w:pPr>
      <w:bookmarkStart w:id="5" w:name="_Toc70329499"/>
      <w:r>
        <w:rPr>
          <w:rFonts w:hint="eastAsia" w:ascii="方正仿宋_GBK" w:eastAsia="方正仿宋_GBK"/>
          <w:b/>
          <w:sz w:val="28"/>
        </w:rPr>
        <w:t>4.基层运转及党建提升经费绩效目标表</w:t>
      </w:r>
      <w:bookmarkEnd w:id="5"/>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4、基层运转及党建提升经费绩效目标表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910001</w:t>
            </w:r>
            <w:r>
              <w:rPr>
                <w:rFonts w:hint="eastAsia" w:ascii="方正书宋_GBK" w:eastAsia="方正书宋_GBK"/>
                <w:b/>
              </w:rPr>
              <w:t>保定市满城区满城镇财政所本级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130621219ZKWLRO05IUF0</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hint="eastAsia" w:ascii="方正书宋_GBK" w:eastAsia="方正书宋_GBK"/>
              </w:rPr>
              <w:t>基层运转及党建提升经费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51.81</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51.81</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hint="eastAsia" w:ascii="方正书宋_GBK" w:eastAsia="方正书宋_GBK"/>
              </w:rPr>
              <w:t>用于发展壮大村集体经济、加强基层组织建设，有力提升新一届班子整体水平，推动乡村工作。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加强基层组织建设，面貌提升</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按规定列支相关经费，做到专款专用</w:t>
            </w:r>
          </w:p>
        </w:tc>
      </w:tr>
    </w:tbl>
    <w:p>
      <w:pPr>
        <w:spacing w:line="14" w:lineRule="exact"/>
        <w:jc w:val="center"/>
        <w:rPr>
          <w:rFonts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专项经费覆盖村数</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辖区内</w:t>
            </w:r>
            <w:r>
              <w:rPr>
                <w:rFonts w:ascii="方正书宋_GBK" w:eastAsia="方正书宋_GBK"/>
              </w:rPr>
              <w:t>34</w:t>
            </w:r>
            <w:r>
              <w:rPr>
                <w:rFonts w:hint="eastAsia" w:ascii="方正书宋_GBK" w:eastAsia="方正书宋_GBK"/>
              </w:rPr>
              <w:t>个村是否均获得经费支持</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34</w:t>
            </w:r>
            <w:r>
              <w:rPr>
                <w:rFonts w:hint="eastAsia" w:ascii="方正书宋_GBK" w:eastAsia="方正书宋_GBK"/>
              </w:rPr>
              <w:t>个</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资金发放覆盖率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资金发放覆盖率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资金发放是否及时</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资金发放是否及时</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是</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补贴标准</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补贴标准</w:t>
            </w:r>
          </w:p>
        </w:tc>
        <w:tc>
          <w:tcPr>
            <w:tcW w:w="1276" w:type="dxa"/>
            <w:noWrap w:val="0"/>
            <w:vAlign w:val="center"/>
          </w:tcPr>
          <w:p>
            <w:pPr>
              <w:spacing w:line="300" w:lineRule="exact"/>
              <w:jc w:val="left"/>
              <w:rPr>
                <w:rFonts w:hint="eastAsia" w:ascii="方正书宋_GBK" w:eastAsia="方正书宋_GBK"/>
              </w:rPr>
            </w:pPr>
            <w:r>
              <w:rPr>
                <w:rFonts w:ascii="方正书宋_GBK" w:eastAsia="方正书宋_GBK"/>
              </w:rPr>
              <w:t>1.52</w:t>
            </w:r>
            <w:r>
              <w:rPr>
                <w:rFonts w:hint="eastAsia" w:ascii="方正书宋_GBK" w:eastAsia="方正书宋_GBK"/>
              </w:rPr>
              <w:t>万元</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经费较上年度增加情况</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经费较上年度增加情况</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社会影响力</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得到广大受众的认可程度</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认可</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专项经费较上年度增加情况</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专项经费较上年度增加情况</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受益人口满意度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受益人口满意度</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工作需要</w:t>
            </w:r>
          </w:p>
        </w:tc>
      </w:tr>
    </w:tbl>
    <w:p>
      <w:pPr>
        <w:spacing w:line="300" w:lineRule="exact"/>
        <w:jc w:val="left"/>
        <w:sectPr>
          <w:pgSz w:w="11907" w:h="16839"/>
          <w:pgMar w:top="1984" w:right="1304" w:bottom="1134" w:left="1304" w:header="851" w:footer="992" w:gutter="0"/>
          <w:cols w:space="720" w:num="1"/>
          <w:docGrid w:type="lines" w:linePitch="312" w:charSpace="0"/>
        </w:sectPr>
      </w:pPr>
    </w:p>
    <w:p>
      <w:pPr>
        <w:spacing w:line="300" w:lineRule="exact"/>
        <w:jc w:val="left"/>
      </w:pPr>
    </w:p>
    <w:p>
      <w:pPr>
        <w:ind w:firstLine="562" w:firstLineChars="200"/>
        <w:jc w:val="left"/>
        <w:outlineLvl w:val="3"/>
        <w:rPr>
          <w:rFonts w:hAnsi="宋体"/>
          <w:b/>
          <w:sz w:val="28"/>
        </w:rPr>
      </w:pPr>
      <w:bookmarkStart w:id="6" w:name="_Toc70329500"/>
      <w:r>
        <w:rPr>
          <w:rFonts w:hint="eastAsia" w:ascii="方正仿宋_GBK" w:eastAsia="方正仿宋_GBK"/>
          <w:b/>
          <w:sz w:val="28"/>
        </w:rPr>
        <w:t>5.满城镇政府租地绩效目标表</w:t>
      </w:r>
      <w:bookmarkEnd w:id="6"/>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5、满城镇政府租地绩效目标表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910001</w:t>
            </w:r>
            <w:r>
              <w:rPr>
                <w:rFonts w:hint="eastAsia" w:ascii="方正书宋_GBK" w:eastAsia="方正书宋_GBK"/>
                <w:b/>
              </w:rPr>
              <w:t>保定市满城区满城镇财政所本级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13062121FQ07VBBN04V4H</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hint="eastAsia" w:ascii="方正书宋_GBK" w:eastAsia="方正书宋_GBK"/>
              </w:rPr>
              <w:t>满城镇政府租地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3.12</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3.12</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hint="eastAsia" w:ascii="方正书宋_GBK" w:eastAsia="方正书宋_GBK"/>
              </w:rPr>
              <w:t>发放</w:t>
            </w:r>
            <w:r>
              <w:rPr>
                <w:rFonts w:ascii="方正书宋_GBK" w:eastAsia="方正书宋_GBK"/>
              </w:rPr>
              <w:t>2021</w:t>
            </w:r>
            <w:r>
              <w:rPr>
                <w:rFonts w:hint="eastAsia" w:ascii="方正书宋_GBK" w:eastAsia="方正书宋_GBK"/>
              </w:rPr>
              <w:t>年租地款，韩家佐</w:t>
            </w:r>
            <w:r>
              <w:rPr>
                <w:rFonts w:ascii="方正书宋_GBK" w:eastAsia="方正书宋_GBK"/>
              </w:rPr>
              <w:t>20250</w:t>
            </w:r>
            <w:r>
              <w:rPr>
                <w:rFonts w:hint="eastAsia" w:ascii="方正书宋_GBK" w:eastAsia="方正书宋_GBK"/>
              </w:rPr>
              <w:t>元，杨家佐</w:t>
            </w:r>
            <w:r>
              <w:rPr>
                <w:rFonts w:ascii="方正书宋_GBK" w:eastAsia="方正书宋_GBK"/>
              </w:rPr>
              <w:t>8750</w:t>
            </w:r>
            <w:r>
              <w:rPr>
                <w:rFonts w:hint="eastAsia" w:ascii="方正书宋_GBK" w:eastAsia="方正书宋_GBK"/>
              </w:rPr>
              <w:t>元，南陵山张庆才</w:t>
            </w:r>
            <w:r>
              <w:rPr>
                <w:rFonts w:ascii="方正书宋_GBK" w:eastAsia="方正书宋_GBK"/>
              </w:rPr>
              <w:t>2240</w:t>
            </w:r>
            <w:r>
              <w:rPr>
                <w:rFonts w:hint="eastAsia" w:ascii="方正书宋_GBK" w:eastAsia="方正书宋_GBK"/>
              </w:rPr>
              <w:t>元。履行好土地租赁协议，进行续租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p>
        </w:tc>
        <w:tc>
          <w:tcPr>
            <w:tcW w:w="1304" w:type="dxa"/>
            <w:tcBorders>
              <w:bottom w:val="single" w:color="000000" w:sz="6" w:space="0"/>
            </w:tcBorders>
            <w:noWrap w:val="0"/>
            <w:vAlign w:val="center"/>
          </w:tcPr>
          <w:p>
            <w:pPr>
              <w:spacing w:line="300" w:lineRule="exact"/>
              <w:jc w:val="center"/>
              <w:rPr>
                <w:rFonts w:ascii="方正书宋_GBK" w:eastAsia="方正书宋_GBK"/>
              </w:rPr>
            </w:pP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租金发放及时</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争取续租</w:t>
            </w:r>
          </w:p>
        </w:tc>
      </w:tr>
    </w:tbl>
    <w:p>
      <w:pPr>
        <w:spacing w:line="14" w:lineRule="exact"/>
        <w:jc w:val="center"/>
        <w:rPr>
          <w:rFonts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补助个人（家庭）数量（人</w:t>
            </w:r>
            <w:r>
              <w:rPr>
                <w:rFonts w:ascii="方正书宋_GBK" w:eastAsia="方正书宋_GBK"/>
              </w:rPr>
              <w:t>/</w:t>
            </w:r>
            <w:r>
              <w:rPr>
                <w:rFonts w:hint="eastAsia" w:ascii="方正书宋_GBK" w:eastAsia="方正书宋_GBK"/>
              </w:rPr>
              <w:t>户）</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补助个人（家庭）数量（人</w:t>
            </w:r>
            <w:r>
              <w:rPr>
                <w:rFonts w:ascii="方正书宋_GBK" w:eastAsia="方正书宋_GBK"/>
              </w:rPr>
              <w:t>/</w:t>
            </w:r>
            <w:r>
              <w:rPr>
                <w:rFonts w:hint="eastAsia" w:ascii="方正书宋_GBK" w:eastAsia="方正书宋_GBK"/>
              </w:rPr>
              <w:t>户）</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13</w:t>
            </w:r>
            <w:r>
              <w:rPr>
                <w:rFonts w:hint="eastAsia" w:ascii="方正书宋_GBK" w:eastAsia="方正书宋_GBK"/>
              </w:rPr>
              <w:t>户</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资金发放覆盖率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资金发放覆盖率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资金发放是否及时</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资金发放是否及时</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是</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补贴标准</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补贴标准</w:t>
            </w:r>
          </w:p>
        </w:tc>
        <w:tc>
          <w:tcPr>
            <w:tcW w:w="1276" w:type="dxa"/>
            <w:noWrap w:val="0"/>
            <w:vAlign w:val="center"/>
          </w:tcPr>
          <w:p>
            <w:pPr>
              <w:spacing w:line="300" w:lineRule="exact"/>
              <w:jc w:val="left"/>
              <w:rPr>
                <w:rFonts w:hint="eastAsia" w:ascii="方正书宋_GBK" w:eastAsia="方正书宋_GBK"/>
              </w:rPr>
            </w:pPr>
            <w:r>
              <w:rPr>
                <w:rFonts w:ascii="方正书宋_GBK" w:eastAsia="方正书宋_GBK"/>
              </w:rPr>
              <w:t>2500</w:t>
            </w:r>
            <w:r>
              <w:rPr>
                <w:rFonts w:hint="eastAsia" w:ascii="方正书宋_GBK" w:eastAsia="方正书宋_GBK"/>
              </w:rPr>
              <w:t>元</w:t>
            </w:r>
            <w:r>
              <w:rPr>
                <w:rFonts w:ascii="方正书宋_GBK" w:eastAsia="方正书宋_GBK"/>
              </w:rPr>
              <w:t>/</w:t>
            </w:r>
            <w:r>
              <w:rPr>
                <w:rFonts w:hint="eastAsia" w:ascii="方正书宋_GBK" w:eastAsia="方正书宋_GBK"/>
              </w:rPr>
              <w:t>亩</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经费较上年度增加情况</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经费较上年度增加情况</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受补助人群生活改善情况</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受补助人群生活改善情况</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改善</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解决办公用房人数（人）</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解决办公用房人数（人）</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200</w:t>
            </w:r>
            <w:r>
              <w:rPr>
                <w:rFonts w:hint="eastAsia" w:ascii="方正书宋_GBK" w:eastAsia="方正书宋_GBK"/>
              </w:rPr>
              <w:t>人</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受益人口满意度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受益人口满意度</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工作需要</w:t>
            </w:r>
          </w:p>
        </w:tc>
      </w:tr>
    </w:tbl>
    <w:p>
      <w:pPr>
        <w:spacing w:line="300" w:lineRule="exact"/>
        <w:jc w:val="left"/>
        <w:sectPr>
          <w:pgSz w:w="11907" w:h="16839"/>
          <w:pgMar w:top="1984" w:right="1304" w:bottom="1134" w:left="1304" w:header="851" w:footer="992" w:gutter="0"/>
          <w:cols w:space="720" w:num="1"/>
          <w:docGrid w:type="lines" w:linePitch="312" w:charSpace="0"/>
        </w:sectPr>
      </w:pPr>
    </w:p>
    <w:p>
      <w:pPr>
        <w:spacing w:line="300" w:lineRule="exact"/>
        <w:jc w:val="left"/>
      </w:pPr>
    </w:p>
    <w:p>
      <w:pPr>
        <w:ind w:firstLine="562" w:firstLineChars="200"/>
        <w:jc w:val="left"/>
        <w:outlineLvl w:val="3"/>
        <w:rPr>
          <w:rFonts w:hAnsi="宋体"/>
          <w:b/>
          <w:sz w:val="28"/>
        </w:rPr>
      </w:pPr>
      <w:bookmarkStart w:id="7" w:name="_Toc70329501"/>
      <w:r>
        <w:rPr>
          <w:rFonts w:hint="eastAsia" w:ascii="方正仿宋_GBK" w:eastAsia="方正仿宋_GBK"/>
          <w:b/>
          <w:sz w:val="28"/>
        </w:rPr>
        <w:t>6.信访维稳经费绩效目标表</w:t>
      </w:r>
      <w:bookmarkEnd w:id="7"/>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6、信访维稳经费绩效目标表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910001</w:t>
            </w:r>
            <w:r>
              <w:rPr>
                <w:rFonts w:hint="eastAsia" w:ascii="方正书宋_GBK" w:eastAsia="方正书宋_GBK"/>
                <w:b/>
              </w:rPr>
              <w:t>保定市满城区满城镇财政所本级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13062121K7EUD1NGCKWWG</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hint="eastAsia" w:ascii="方正书宋_GBK" w:eastAsia="方正书宋_GBK"/>
              </w:rPr>
              <w:t>信访维稳经费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5.00</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5.00</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hint="eastAsia" w:ascii="方正书宋_GBK" w:eastAsia="方正书宋_GBK"/>
              </w:rPr>
              <w:t>用于化解各类重点难点信访案件</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解决热点难点案件，稳控重点人员</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做好风险苗头化解工作</w:t>
            </w:r>
          </w:p>
        </w:tc>
      </w:tr>
    </w:tbl>
    <w:p>
      <w:pPr>
        <w:spacing w:line="14" w:lineRule="exact"/>
        <w:jc w:val="center"/>
        <w:rPr>
          <w:rFonts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信访案件化解数</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重点热点案件化解数量</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件</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信访案件情况</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信访案件化解率</w:t>
            </w:r>
          </w:p>
        </w:tc>
        <w:tc>
          <w:tcPr>
            <w:tcW w:w="1276" w:type="dxa"/>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信访苗头化解是否及时</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信访苗头化解是否及时</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是</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信访苗头化解成本</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信访苗头化解成本</w:t>
            </w:r>
          </w:p>
        </w:tc>
        <w:tc>
          <w:tcPr>
            <w:tcW w:w="1276" w:type="dxa"/>
            <w:noWrap w:val="0"/>
            <w:vAlign w:val="center"/>
          </w:tcPr>
          <w:p>
            <w:pPr>
              <w:spacing w:line="300" w:lineRule="exact"/>
              <w:jc w:val="left"/>
              <w:rPr>
                <w:rFonts w:hint="eastAsia" w:ascii="方正书宋_GBK" w:eastAsia="方正书宋_GBK"/>
              </w:rPr>
            </w:pPr>
            <w:r>
              <w:rPr>
                <w:rFonts w:ascii="方正书宋_GBK" w:eastAsia="方正书宋_GBK"/>
              </w:rPr>
              <w:t>5</w:t>
            </w:r>
            <w:r>
              <w:rPr>
                <w:rFonts w:hint="eastAsia" w:ascii="方正书宋_GBK" w:eastAsia="方正书宋_GBK"/>
              </w:rPr>
              <w:t>万元</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社会稳定情况</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该时期是否出现新的信访苗头</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否</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信访苗头化解情况</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是否及时化解信访隐患，安抚信访人</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是</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经费较上年度增加情况</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经费较上年度增加情况</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信访群众满意度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通过化解信访案件，提升案件解决满意度</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工作需要</w:t>
            </w:r>
          </w:p>
        </w:tc>
      </w:tr>
    </w:tbl>
    <w:p>
      <w:pPr>
        <w:spacing w:line="300" w:lineRule="exact"/>
        <w:jc w:val="left"/>
        <w:sectPr>
          <w:pgSz w:w="11907" w:h="16839"/>
          <w:pgMar w:top="1984" w:right="1304" w:bottom="1134" w:left="1304" w:header="851" w:footer="992" w:gutter="0"/>
          <w:cols w:space="720" w:num="1"/>
          <w:docGrid w:type="lines" w:linePitch="312" w:charSpace="0"/>
        </w:sectPr>
      </w:pPr>
    </w:p>
    <w:p>
      <w:pPr>
        <w:spacing w:line="300" w:lineRule="exact"/>
        <w:jc w:val="left"/>
      </w:pPr>
    </w:p>
    <w:p>
      <w:pPr>
        <w:ind w:firstLine="562" w:firstLineChars="200"/>
        <w:jc w:val="left"/>
        <w:outlineLvl w:val="3"/>
        <w:rPr>
          <w:rFonts w:hAnsi="宋体"/>
          <w:b/>
          <w:sz w:val="28"/>
        </w:rPr>
      </w:pPr>
      <w:bookmarkStart w:id="8" w:name="_Toc70329502"/>
      <w:r>
        <w:rPr>
          <w:rFonts w:hint="eastAsia" w:ascii="方正仿宋_GBK" w:eastAsia="方正仿宋_GBK"/>
          <w:b/>
          <w:sz w:val="28"/>
        </w:rPr>
        <w:t>7.满城镇中学租地绩效目标表</w:t>
      </w:r>
      <w:bookmarkEnd w:id="8"/>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7、满城镇中学租地绩效目标表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910001</w:t>
            </w:r>
            <w:r>
              <w:rPr>
                <w:rFonts w:hint="eastAsia" w:ascii="方正书宋_GBK" w:eastAsia="方正书宋_GBK"/>
                <w:b/>
              </w:rPr>
              <w:t>保定市满城区满城镇财政所本级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13062121O5HNPIFQTR16Q</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hint="eastAsia" w:ascii="方正书宋_GBK" w:eastAsia="方正书宋_GBK"/>
              </w:rPr>
              <w:t>满城镇中学租地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17.33</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17.33</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hint="eastAsia" w:ascii="方正书宋_GBK" w:eastAsia="方正书宋_GBK"/>
              </w:rPr>
              <w:t>用于发放镇中租地款，</w:t>
            </w:r>
            <w:r>
              <w:rPr>
                <w:rFonts w:ascii="方正书宋_GBK" w:eastAsia="方正书宋_GBK"/>
              </w:rPr>
              <w:t>2020</w:t>
            </w:r>
            <w:r>
              <w:rPr>
                <w:rFonts w:hint="eastAsia" w:ascii="方正书宋_GBK" w:eastAsia="方正书宋_GBK"/>
              </w:rPr>
              <w:t>年</w:t>
            </w:r>
            <w:r>
              <w:rPr>
                <w:rFonts w:ascii="方正书宋_GBK" w:eastAsia="方正书宋_GBK"/>
              </w:rPr>
              <w:t>173250</w:t>
            </w:r>
            <w:r>
              <w:rPr>
                <w:rFonts w:hint="eastAsia" w:ascii="方正书宋_GBK" w:eastAsia="方正书宋_GBK"/>
              </w:rPr>
              <w:t>元，</w:t>
            </w:r>
            <w:r>
              <w:rPr>
                <w:rFonts w:ascii="方正书宋_GBK" w:eastAsia="方正书宋_GBK"/>
              </w:rPr>
              <w:t>2021</w:t>
            </w:r>
            <w:r>
              <w:rPr>
                <w:rFonts w:hint="eastAsia" w:ascii="方正书宋_GBK" w:eastAsia="方正书宋_GBK"/>
              </w:rPr>
              <w:t>年</w:t>
            </w:r>
            <w:r>
              <w:rPr>
                <w:rFonts w:ascii="方正书宋_GBK" w:eastAsia="方正书宋_GBK"/>
              </w:rPr>
              <w:t>173250</w:t>
            </w:r>
            <w:r>
              <w:rPr>
                <w:rFonts w:hint="eastAsia" w:ascii="方正书宋_GBK" w:eastAsia="方正书宋_GBK"/>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p>
        </w:tc>
        <w:tc>
          <w:tcPr>
            <w:tcW w:w="1304" w:type="dxa"/>
            <w:tcBorders>
              <w:bottom w:val="single" w:color="000000" w:sz="6" w:space="0"/>
            </w:tcBorders>
            <w:noWrap w:val="0"/>
            <w:vAlign w:val="center"/>
          </w:tcPr>
          <w:p>
            <w:pPr>
              <w:spacing w:line="300" w:lineRule="exact"/>
              <w:jc w:val="center"/>
              <w:rPr>
                <w:rFonts w:ascii="方正书宋_GBK" w:eastAsia="方正书宋_GBK"/>
              </w:rPr>
            </w:pP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将租金发放到位</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争取续租</w:t>
            </w:r>
          </w:p>
        </w:tc>
      </w:tr>
    </w:tbl>
    <w:p>
      <w:pPr>
        <w:spacing w:line="14" w:lineRule="exact"/>
        <w:jc w:val="center"/>
        <w:rPr>
          <w:rFonts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补助个人（家庭）数量（人</w:t>
            </w:r>
            <w:r>
              <w:rPr>
                <w:rFonts w:ascii="方正书宋_GBK" w:eastAsia="方正书宋_GBK"/>
              </w:rPr>
              <w:t>/</w:t>
            </w:r>
            <w:r>
              <w:rPr>
                <w:rFonts w:hint="eastAsia" w:ascii="方正书宋_GBK" w:eastAsia="方正书宋_GBK"/>
              </w:rPr>
              <w:t>户）</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补助个人（家庭）数量（人</w:t>
            </w:r>
            <w:r>
              <w:rPr>
                <w:rFonts w:ascii="方正书宋_GBK" w:eastAsia="方正书宋_GBK"/>
              </w:rPr>
              <w:t>/</w:t>
            </w:r>
            <w:r>
              <w:rPr>
                <w:rFonts w:hint="eastAsia" w:ascii="方正书宋_GBK" w:eastAsia="方正书宋_GBK"/>
              </w:rPr>
              <w:t>户）</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40</w:t>
            </w:r>
            <w:r>
              <w:rPr>
                <w:rFonts w:hint="eastAsia" w:ascii="方正书宋_GBK" w:eastAsia="方正书宋_GBK"/>
              </w:rPr>
              <w:t>户</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资金发放村数</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资金发放村数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个</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资金发放是否及时</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资金发放是否及时</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是</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补贴标准</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补贴标准</w:t>
            </w:r>
          </w:p>
        </w:tc>
        <w:tc>
          <w:tcPr>
            <w:tcW w:w="1276" w:type="dxa"/>
            <w:noWrap w:val="0"/>
            <w:vAlign w:val="center"/>
          </w:tcPr>
          <w:p>
            <w:pPr>
              <w:spacing w:line="300" w:lineRule="exact"/>
              <w:jc w:val="left"/>
              <w:rPr>
                <w:rFonts w:hint="eastAsia" w:ascii="方正书宋_GBK" w:eastAsia="方正书宋_GBK"/>
              </w:rPr>
            </w:pPr>
            <w:r>
              <w:rPr>
                <w:rFonts w:ascii="方正书宋_GBK" w:eastAsia="方正书宋_GBK"/>
              </w:rPr>
              <w:t>6000</w:t>
            </w:r>
            <w:r>
              <w:rPr>
                <w:rFonts w:hint="eastAsia" w:ascii="方正书宋_GBK" w:eastAsia="方正书宋_GBK"/>
              </w:rPr>
              <w:t>元</w:t>
            </w:r>
            <w:r>
              <w:rPr>
                <w:rFonts w:ascii="方正书宋_GBK" w:eastAsia="方正书宋_GBK"/>
              </w:rPr>
              <w:t>/</w:t>
            </w:r>
            <w:r>
              <w:rPr>
                <w:rFonts w:hint="eastAsia" w:ascii="方正书宋_GBK" w:eastAsia="方正书宋_GBK"/>
              </w:rPr>
              <w:t>亩</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经费较上年度增加情况</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经费较上年度增加情况</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受补助人群生活改善情况</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受补助人群生活改善情况</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改善</w:t>
            </w:r>
          </w:p>
          <w:p>
            <w:pPr>
              <w:spacing w:line="300" w:lineRule="exact"/>
              <w:jc w:val="left"/>
              <w:rPr>
                <w:rFonts w:hint="eastAsia" w:ascii="方正书宋_GBK" w:eastAsia="方正书宋_GBK"/>
              </w:rPr>
            </w:pP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向社会培养输送人才数量</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向社会培养输送人才数量</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200</w:t>
            </w:r>
            <w:r>
              <w:rPr>
                <w:rFonts w:hint="eastAsia" w:ascii="方正书宋_GBK" w:eastAsia="方正书宋_GBK"/>
              </w:rPr>
              <w:t>人</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受益人口满意度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受益人口满意度</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工作需要</w:t>
            </w:r>
          </w:p>
        </w:tc>
      </w:tr>
    </w:tbl>
    <w:p>
      <w:pPr>
        <w:spacing w:line="300" w:lineRule="exact"/>
        <w:jc w:val="left"/>
        <w:sectPr>
          <w:pgSz w:w="11907" w:h="16839"/>
          <w:pgMar w:top="1984" w:right="1304" w:bottom="1134" w:left="1304" w:header="851" w:footer="992" w:gutter="0"/>
          <w:cols w:space="720" w:num="1"/>
          <w:docGrid w:type="lines" w:linePitch="312" w:charSpace="0"/>
        </w:sectPr>
      </w:pPr>
    </w:p>
    <w:p>
      <w:pPr>
        <w:spacing w:line="300" w:lineRule="exact"/>
        <w:jc w:val="left"/>
      </w:pPr>
    </w:p>
    <w:p>
      <w:pPr>
        <w:ind w:firstLine="562" w:firstLineChars="200"/>
        <w:jc w:val="left"/>
        <w:outlineLvl w:val="3"/>
        <w:rPr>
          <w:rFonts w:hAnsi="宋体"/>
          <w:b/>
          <w:sz w:val="28"/>
        </w:rPr>
      </w:pPr>
      <w:bookmarkStart w:id="9" w:name="_Toc70329503"/>
      <w:r>
        <w:rPr>
          <w:rFonts w:hint="eastAsia" w:ascii="方正仿宋_GBK" w:eastAsia="方正仿宋_GBK"/>
          <w:b/>
          <w:sz w:val="28"/>
        </w:rPr>
        <w:t>8.信访稳定工作经费绩效目标表</w:t>
      </w:r>
      <w:bookmarkEnd w:id="9"/>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8、信访稳定工作经费绩效目标表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910001</w:t>
            </w:r>
            <w:r>
              <w:rPr>
                <w:rFonts w:hint="eastAsia" w:ascii="方正书宋_GBK" w:eastAsia="方正书宋_GBK"/>
                <w:b/>
              </w:rPr>
              <w:t>保定市满城区满城镇财政所本级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13062121QCFW0TG04X2IC</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hint="eastAsia" w:ascii="方正书宋_GBK" w:eastAsia="方正书宋_GBK"/>
              </w:rPr>
              <w:t>信访稳定工作经费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20.00</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20.00</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hint="eastAsia" w:ascii="方正书宋_GBK" w:eastAsia="方正书宋_GBK"/>
              </w:rPr>
              <w:t>用于化解各类重点难点信访案件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解决热点难点案件，稳控重点人员</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做好风险苗头化解工作</w:t>
            </w:r>
          </w:p>
        </w:tc>
      </w:tr>
    </w:tbl>
    <w:p>
      <w:pPr>
        <w:spacing w:line="14" w:lineRule="exact"/>
        <w:jc w:val="center"/>
        <w:rPr>
          <w:rFonts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信访案件化解数</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重点热点案件化解数量</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件</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信访案件情况</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信访案件化解率</w:t>
            </w:r>
          </w:p>
        </w:tc>
        <w:tc>
          <w:tcPr>
            <w:tcW w:w="1276" w:type="dxa"/>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信访苗头化解是否及时</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信访苗头化解是否及时</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是</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信访苗头化解成本</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信访苗头化解成本</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低</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经费较上年度增加情况</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经费较上年度增加情况</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信访苗头化解情况</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是否及时化解信访隐患，安抚信访人</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是</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社会稳定情况</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该时期是否出现新的信访苗头</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否</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信访群众满意度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通过化解信访案件，提升案件解决满意度</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工作需要</w:t>
            </w:r>
          </w:p>
        </w:tc>
      </w:tr>
    </w:tbl>
    <w:p>
      <w:pPr>
        <w:spacing w:line="300" w:lineRule="exact"/>
        <w:jc w:val="left"/>
        <w:sectPr>
          <w:pgSz w:w="11907" w:h="16839"/>
          <w:pgMar w:top="1984" w:right="1304" w:bottom="1134" w:left="1304" w:header="851" w:footer="992" w:gutter="0"/>
          <w:cols w:space="720" w:num="1"/>
          <w:docGrid w:type="lines" w:linePitch="312" w:charSpace="0"/>
        </w:sectPr>
      </w:pPr>
    </w:p>
    <w:p>
      <w:pPr>
        <w:spacing w:line="300" w:lineRule="exact"/>
        <w:jc w:val="left"/>
      </w:pPr>
    </w:p>
    <w:p>
      <w:pPr>
        <w:ind w:firstLine="562" w:firstLineChars="200"/>
        <w:jc w:val="left"/>
        <w:outlineLvl w:val="3"/>
        <w:rPr>
          <w:rFonts w:hAnsi="宋体"/>
          <w:b/>
          <w:sz w:val="28"/>
        </w:rPr>
      </w:pPr>
      <w:bookmarkStart w:id="10" w:name="_Toc70329504"/>
      <w:r>
        <w:rPr>
          <w:rFonts w:hint="eastAsia" w:ascii="方正仿宋_GBK" w:eastAsia="方正仿宋_GBK"/>
          <w:b/>
          <w:sz w:val="28"/>
        </w:rPr>
        <w:t>9.储备地整理耕种费用绩效目标表</w:t>
      </w:r>
      <w:bookmarkEnd w:id="10"/>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9、储备地整理耕种费用绩效目标表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910001</w:t>
            </w:r>
            <w:r>
              <w:rPr>
                <w:rFonts w:hint="eastAsia" w:ascii="方正书宋_GBK" w:eastAsia="方正书宋_GBK"/>
                <w:b/>
              </w:rPr>
              <w:t>保定市满城区满城镇财政所本级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13062121ROGI8IM1T3DFU</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hint="eastAsia" w:ascii="方正书宋_GBK" w:eastAsia="方正书宋_GBK"/>
              </w:rPr>
              <w:t>储备地整理耕种费用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9.13</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9.13</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hint="eastAsia" w:ascii="方正书宋_GBK" w:eastAsia="方正书宋_GBK"/>
              </w:rPr>
              <w:t>用于政府储备地耕种支出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p>
        </w:tc>
        <w:tc>
          <w:tcPr>
            <w:tcW w:w="1304" w:type="dxa"/>
            <w:tcBorders>
              <w:bottom w:val="single" w:color="000000" w:sz="6" w:space="0"/>
            </w:tcBorders>
            <w:noWrap w:val="0"/>
            <w:vAlign w:val="center"/>
          </w:tcPr>
          <w:p>
            <w:pPr>
              <w:spacing w:line="300" w:lineRule="exact"/>
              <w:jc w:val="center"/>
              <w:rPr>
                <w:rFonts w:ascii="方正书宋_GBK" w:eastAsia="方正书宋_GBK"/>
              </w:rPr>
            </w:pP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将款项如期拨付到位</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进行覆盖，避免扬尘</w:t>
            </w:r>
          </w:p>
        </w:tc>
      </w:tr>
    </w:tbl>
    <w:p>
      <w:pPr>
        <w:spacing w:line="14" w:lineRule="exact"/>
        <w:jc w:val="center"/>
        <w:rPr>
          <w:rFonts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耕种亩数</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耕种亩数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830</w:t>
            </w:r>
            <w:r>
              <w:rPr>
                <w:rFonts w:hint="eastAsia" w:ascii="方正书宋_GBK" w:eastAsia="方正书宋_GBK"/>
              </w:rPr>
              <w:t>亩</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资金发放覆盖村数</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资金发放覆盖村数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个</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资金发放是否及时</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资金发放是否及时</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是</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补贴标准</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补贴标准</w:t>
            </w:r>
          </w:p>
        </w:tc>
        <w:tc>
          <w:tcPr>
            <w:tcW w:w="1276" w:type="dxa"/>
            <w:noWrap w:val="0"/>
            <w:vAlign w:val="center"/>
          </w:tcPr>
          <w:p>
            <w:pPr>
              <w:spacing w:line="300" w:lineRule="exact"/>
              <w:jc w:val="left"/>
              <w:rPr>
                <w:rFonts w:hint="eastAsia" w:ascii="方正书宋_GBK" w:eastAsia="方正书宋_GBK"/>
              </w:rPr>
            </w:pPr>
            <w:r>
              <w:rPr>
                <w:rFonts w:ascii="方正书宋_GBK" w:eastAsia="方正书宋_GBK"/>
              </w:rPr>
              <w:t>110</w:t>
            </w:r>
            <w:r>
              <w:rPr>
                <w:rFonts w:hint="eastAsia" w:ascii="方正书宋_GBK" w:eastAsia="方正书宋_GBK"/>
              </w:rPr>
              <w:t>元</w:t>
            </w:r>
            <w:r>
              <w:rPr>
                <w:rFonts w:ascii="方正书宋_GBK" w:eastAsia="方正书宋_GBK"/>
              </w:rPr>
              <w:t>/</w:t>
            </w:r>
            <w:r>
              <w:rPr>
                <w:rFonts w:hint="eastAsia" w:ascii="方正书宋_GBK" w:eastAsia="方正书宋_GBK"/>
              </w:rPr>
              <w:t>亩</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经费较上年度增加情况</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经费较上年度增加情况</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复耕覆盖率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复耕覆盖率</w:t>
            </w:r>
          </w:p>
        </w:tc>
        <w:tc>
          <w:tcPr>
            <w:tcW w:w="1276" w:type="dxa"/>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储备地扬尘改善情况</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储备地扬尘改善情况</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改善</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受益人口满意度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受益人口满意度</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工作需要</w:t>
            </w:r>
          </w:p>
        </w:tc>
      </w:tr>
    </w:tbl>
    <w:p>
      <w:pPr>
        <w:spacing w:line="300" w:lineRule="exact"/>
        <w:jc w:val="left"/>
        <w:sectPr>
          <w:pgSz w:w="11907" w:h="16839"/>
          <w:pgMar w:top="1984" w:right="1304" w:bottom="1134" w:left="1304" w:header="851" w:footer="992" w:gutter="0"/>
          <w:cols w:space="720" w:num="1"/>
          <w:docGrid w:type="lines" w:linePitch="312" w:charSpace="0"/>
        </w:sectPr>
      </w:pPr>
    </w:p>
    <w:p>
      <w:pPr>
        <w:spacing w:line="300" w:lineRule="exact"/>
        <w:jc w:val="left"/>
      </w:pPr>
    </w:p>
    <w:p>
      <w:pPr>
        <w:ind w:firstLine="562" w:firstLineChars="200"/>
        <w:jc w:val="left"/>
        <w:outlineLvl w:val="3"/>
        <w:rPr>
          <w:rFonts w:hAnsi="宋体"/>
          <w:b/>
          <w:sz w:val="28"/>
        </w:rPr>
      </w:pPr>
      <w:bookmarkStart w:id="11" w:name="_Toc70329505"/>
      <w:r>
        <w:rPr>
          <w:rFonts w:hint="eastAsia" w:ascii="方正仿宋_GBK" w:eastAsia="方正仿宋_GBK"/>
          <w:b/>
          <w:sz w:val="28"/>
        </w:rPr>
        <w:t>10.河大美院占地款绩效目标表</w:t>
      </w:r>
      <w:bookmarkEnd w:id="11"/>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10、河大美院占地款绩效目标表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910001</w:t>
            </w:r>
            <w:r>
              <w:rPr>
                <w:rFonts w:hint="eastAsia" w:ascii="方正书宋_GBK" w:eastAsia="方正书宋_GBK"/>
                <w:b/>
              </w:rPr>
              <w:t>保定市满城区满城镇财政所本级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13062121VIVLK10UM6PPQ</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hint="eastAsia" w:ascii="方正书宋_GBK" w:eastAsia="方正书宋_GBK"/>
              </w:rPr>
              <w:t>河大美院占地款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69.84</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69.84</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ascii="方正书宋_GBK" w:eastAsia="方正书宋_GBK"/>
              </w:rPr>
              <w:t>2020</w:t>
            </w:r>
            <w:r>
              <w:rPr>
                <w:rFonts w:hint="eastAsia" w:ascii="方正书宋_GBK" w:eastAsia="方正书宋_GBK"/>
              </w:rPr>
              <w:t>年河大美院地租款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p>
        </w:tc>
        <w:tc>
          <w:tcPr>
            <w:tcW w:w="1304" w:type="dxa"/>
            <w:tcBorders>
              <w:bottom w:val="single" w:color="000000" w:sz="6" w:space="0"/>
            </w:tcBorders>
            <w:noWrap w:val="0"/>
            <w:vAlign w:val="center"/>
          </w:tcPr>
          <w:p>
            <w:pPr>
              <w:spacing w:line="300" w:lineRule="exact"/>
              <w:jc w:val="center"/>
              <w:rPr>
                <w:rFonts w:ascii="方正书宋_GBK" w:eastAsia="方正书宋_GBK"/>
              </w:rPr>
            </w:pP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租金发放及时</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按照相关规定发放，保证专款专用</w:t>
            </w:r>
          </w:p>
        </w:tc>
      </w:tr>
    </w:tbl>
    <w:p>
      <w:pPr>
        <w:spacing w:line="14" w:lineRule="exact"/>
        <w:jc w:val="center"/>
        <w:rPr>
          <w:rFonts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补助个人（家庭）数量（人</w:t>
            </w:r>
            <w:r>
              <w:rPr>
                <w:rFonts w:ascii="方正书宋_GBK" w:eastAsia="方正书宋_GBK"/>
              </w:rPr>
              <w:t>/</w:t>
            </w:r>
            <w:r>
              <w:rPr>
                <w:rFonts w:hint="eastAsia" w:ascii="方正书宋_GBK" w:eastAsia="方正书宋_GBK"/>
              </w:rPr>
              <w:t>户）</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补助个人（家庭）数量（人</w:t>
            </w:r>
            <w:r>
              <w:rPr>
                <w:rFonts w:ascii="方正书宋_GBK" w:eastAsia="方正书宋_GBK"/>
              </w:rPr>
              <w:t>/</w:t>
            </w:r>
            <w:r>
              <w:rPr>
                <w:rFonts w:hint="eastAsia" w:ascii="方正书宋_GBK" w:eastAsia="方正书宋_GBK"/>
              </w:rPr>
              <w:t>户）</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96</w:t>
            </w:r>
            <w:r>
              <w:rPr>
                <w:rFonts w:hint="eastAsia" w:ascii="方正书宋_GBK" w:eastAsia="方正书宋_GBK"/>
              </w:rPr>
              <w:t>户</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资金发放覆盖率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资金发放覆盖率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资金发放是否及时</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资金发放是否及时</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是</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补贴标准</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补贴标准</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玉米每斤</w:t>
            </w:r>
            <w:r>
              <w:rPr>
                <w:rFonts w:ascii="方正书宋_GBK" w:eastAsia="方正书宋_GBK"/>
              </w:rPr>
              <w:t>1</w:t>
            </w:r>
            <w:r>
              <w:rPr>
                <w:rFonts w:hint="eastAsia" w:ascii="方正书宋_GBK" w:eastAsia="方正书宋_GBK"/>
              </w:rPr>
              <w:t>元，小麦每斤</w:t>
            </w:r>
            <w:r>
              <w:rPr>
                <w:rFonts w:ascii="方正书宋_GBK" w:eastAsia="方正书宋_GBK"/>
              </w:rPr>
              <w:t>1.2</w:t>
            </w:r>
            <w:r>
              <w:rPr>
                <w:rFonts w:hint="eastAsia" w:ascii="方正书宋_GBK" w:eastAsia="方正书宋_GBK"/>
              </w:rPr>
              <w:t>元</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经费较上年度增加情况</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经费较上年度增加情况</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受补助人群生活改善情况</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受补助人群生活改善情况</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改善</w:t>
            </w:r>
          </w:p>
          <w:p>
            <w:pPr>
              <w:spacing w:line="300" w:lineRule="exact"/>
              <w:jc w:val="left"/>
              <w:rPr>
                <w:rFonts w:hint="eastAsia" w:ascii="方正书宋_GBK" w:eastAsia="方正书宋_GBK"/>
              </w:rPr>
            </w:pP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向社会培养输送人才数量</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向社会培养输送人才数量</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1000</w:t>
            </w:r>
            <w:r>
              <w:rPr>
                <w:rFonts w:hint="eastAsia" w:ascii="方正书宋_GBK" w:eastAsia="方正书宋_GBK"/>
              </w:rPr>
              <w:t>人</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受益人口满意度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受益人口满意度</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工作需要</w:t>
            </w:r>
          </w:p>
        </w:tc>
      </w:tr>
    </w:tbl>
    <w:p>
      <w:pPr>
        <w:spacing w:line="300" w:lineRule="exact"/>
        <w:jc w:val="left"/>
        <w:sectPr>
          <w:pgSz w:w="11907" w:h="16839"/>
          <w:pgMar w:top="1984" w:right="1304" w:bottom="1134" w:left="1304" w:header="851" w:footer="992" w:gutter="0"/>
          <w:cols w:space="720" w:num="1"/>
          <w:docGrid w:type="lines" w:linePitch="312" w:charSpace="0"/>
        </w:sectPr>
      </w:pPr>
    </w:p>
    <w:p>
      <w:pPr>
        <w:spacing w:line="300" w:lineRule="exact"/>
        <w:jc w:val="left"/>
      </w:pPr>
    </w:p>
    <w:p>
      <w:pPr>
        <w:ind w:firstLine="562" w:firstLineChars="200"/>
        <w:jc w:val="left"/>
        <w:outlineLvl w:val="3"/>
        <w:rPr>
          <w:rFonts w:hAnsi="宋体"/>
          <w:b/>
          <w:sz w:val="28"/>
        </w:rPr>
      </w:pPr>
      <w:bookmarkStart w:id="12" w:name="_Toc70329506"/>
      <w:r>
        <w:rPr>
          <w:rFonts w:hint="eastAsia" w:ascii="方正仿宋_GBK" w:eastAsia="方正仿宋_GBK"/>
          <w:b/>
          <w:sz w:val="28"/>
        </w:rPr>
        <w:t>11.正常离任补贴绩效目标表</w:t>
      </w:r>
      <w:bookmarkEnd w:id="12"/>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11、正常离任补贴绩效目标表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910001</w:t>
            </w:r>
            <w:r>
              <w:rPr>
                <w:rFonts w:hint="eastAsia" w:ascii="方正书宋_GBK" w:eastAsia="方正书宋_GBK"/>
                <w:b/>
              </w:rPr>
              <w:t>保定市满城区满城镇财政所本级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13062121W1D41P53W6WMC</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hint="eastAsia" w:ascii="方正书宋_GBK" w:eastAsia="方正书宋_GBK"/>
              </w:rPr>
              <w:t>正常离任补贴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11.90</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11.90</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hint="eastAsia" w:ascii="方正书宋_GBK" w:eastAsia="方正书宋_GBK"/>
              </w:rPr>
              <w:t>每季度及时给离任干部发放补贴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按时发放生活补贴，保障正常生活</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提高生活水平，体现人文关怀</w:t>
            </w:r>
          </w:p>
        </w:tc>
      </w:tr>
    </w:tbl>
    <w:p>
      <w:pPr>
        <w:spacing w:line="14" w:lineRule="exact"/>
        <w:jc w:val="center"/>
        <w:rPr>
          <w:rFonts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受益人数（人）</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受益人数（人）</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266</w:t>
            </w:r>
            <w:r>
              <w:rPr>
                <w:rFonts w:hint="eastAsia" w:ascii="方正书宋_GBK" w:eastAsia="方正书宋_GBK"/>
              </w:rPr>
              <w:t>人</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资金发放覆盖村数</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资金发放覆盖村数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34</w:t>
            </w:r>
            <w:r>
              <w:rPr>
                <w:rFonts w:hint="eastAsia" w:ascii="方正书宋_GBK" w:eastAsia="方正书宋_GBK"/>
              </w:rPr>
              <w:t>个</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资金发放是否及时</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资金发放是否及时</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是</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补贴标准</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补贴标准</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工作年限</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经费较上年度增加情况</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经费较上年度增加情况</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受补助人群生活改善情况</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受补助人群生活改善情况</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改善</w:t>
            </w:r>
          </w:p>
          <w:p>
            <w:pPr>
              <w:spacing w:line="300" w:lineRule="exact"/>
              <w:jc w:val="left"/>
              <w:rPr>
                <w:rFonts w:hint="eastAsia" w:ascii="方正书宋_GBK" w:eastAsia="方正书宋_GBK"/>
              </w:rPr>
            </w:pP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社会影响力</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得到离任干部的认可程度</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认可</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受益人口满意度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受益人口满意度</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工作需要</w:t>
            </w:r>
          </w:p>
        </w:tc>
      </w:tr>
    </w:tbl>
    <w:p>
      <w:pPr>
        <w:spacing w:line="300" w:lineRule="exact"/>
        <w:jc w:val="left"/>
        <w:sectPr>
          <w:pgSz w:w="11907" w:h="16839"/>
          <w:pgMar w:top="1984" w:right="1304" w:bottom="1134" w:left="1304" w:header="851" w:footer="992" w:gutter="0"/>
          <w:cols w:space="720" w:num="1"/>
          <w:docGrid w:type="lines" w:linePitch="312" w:charSpace="0"/>
        </w:sectPr>
      </w:pPr>
    </w:p>
    <w:p>
      <w:pPr>
        <w:spacing w:line="300" w:lineRule="exact"/>
        <w:jc w:val="left"/>
      </w:pPr>
    </w:p>
    <w:p>
      <w:pPr>
        <w:ind w:firstLine="562" w:firstLineChars="200"/>
        <w:jc w:val="left"/>
        <w:outlineLvl w:val="3"/>
        <w:rPr>
          <w:rFonts w:hAnsi="宋体"/>
          <w:b/>
          <w:sz w:val="28"/>
        </w:rPr>
      </w:pPr>
      <w:bookmarkStart w:id="13" w:name="_Toc70329507"/>
      <w:r>
        <w:rPr>
          <w:rFonts w:hint="eastAsia" w:ascii="方正仿宋_GBK" w:eastAsia="方正仿宋_GBK"/>
          <w:b/>
          <w:sz w:val="28"/>
        </w:rPr>
        <w:t>12.村干部工资及保险绩效目标表</w:t>
      </w:r>
      <w:bookmarkEnd w:id="13"/>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12、村干部工资及保险绩效目标表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910001</w:t>
            </w:r>
            <w:r>
              <w:rPr>
                <w:rFonts w:hint="eastAsia" w:ascii="方正书宋_GBK" w:eastAsia="方正书宋_GBK"/>
                <w:b/>
              </w:rPr>
              <w:t>保定市满城区满城镇财政所本级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13062121XRMMES2D6S1RW</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hint="eastAsia" w:ascii="方正书宋_GBK" w:eastAsia="方正书宋_GBK"/>
              </w:rPr>
              <w:t>村干部工资及保险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541.09</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541.09</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hint="eastAsia" w:ascii="方正书宋_GBK" w:eastAsia="方正书宋_GBK"/>
              </w:rPr>
              <w:t>每季度及时发放村干部基础职务补贴，按时缴纳保险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发放</w:t>
            </w:r>
            <w:r>
              <w:rPr>
                <w:rFonts w:ascii="方正书宋_GBK" w:eastAsia="方正书宋_GBK"/>
              </w:rPr>
              <w:t>2021</w:t>
            </w:r>
            <w:r>
              <w:rPr>
                <w:rFonts w:hint="eastAsia" w:ascii="方正书宋_GBK" w:eastAsia="方正书宋_GBK"/>
              </w:rPr>
              <w:t>年村干部工资</w:t>
            </w:r>
            <w:r>
              <w:rPr>
                <w:rFonts w:ascii="方正书宋_GBK" w:eastAsia="方正书宋_GBK"/>
              </w:rPr>
              <w:t>5194980</w:t>
            </w:r>
            <w:r>
              <w:rPr>
                <w:rFonts w:hint="eastAsia" w:ascii="方正书宋_GBK" w:eastAsia="方正书宋_GBK"/>
              </w:rPr>
              <w:t>元。按季度向上级请示，用于村干部补贴，改善生活条件</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发放</w:t>
            </w:r>
            <w:r>
              <w:rPr>
                <w:rFonts w:ascii="方正书宋_GBK" w:eastAsia="方正书宋_GBK"/>
              </w:rPr>
              <w:t>2021</w:t>
            </w:r>
            <w:r>
              <w:rPr>
                <w:rFonts w:hint="eastAsia" w:ascii="方正书宋_GBK" w:eastAsia="方正书宋_GBK"/>
              </w:rPr>
              <w:t>年村干部保险</w:t>
            </w:r>
            <w:r>
              <w:rPr>
                <w:rFonts w:ascii="方正书宋_GBK" w:eastAsia="方正书宋_GBK"/>
              </w:rPr>
              <w:t>216000</w:t>
            </w:r>
            <w:r>
              <w:rPr>
                <w:rFonts w:hint="eastAsia" w:ascii="方正书宋_GBK" w:eastAsia="方正书宋_GBK"/>
              </w:rPr>
              <w:t>元。按季度向上级请示，用于村干部补贴，改善生活条件</w:t>
            </w:r>
          </w:p>
        </w:tc>
      </w:tr>
    </w:tbl>
    <w:p>
      <w:pPr>
        <w:spacing w:line="14" w:lineRule="exact"/>
        <w:jc w:val="center"/>
        <w:rPr>
          <w:rFonts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受益人数（人）</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受益人数（人）</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266</w:t>
            </w:r>
            <w:r>
              <w:rPr>
                <w:rFonts w:hint="eastAsia" w:ascii="方正书宋_GBK" w:eastAsia="方正书宋_GBK"/>
              </w:rPr>
              <w:t>人</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资金发放村数</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资金发放村数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个</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资金发放是否及时</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资金发放是否及时</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是</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补贴标准</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补贴标准</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工作年限</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经费较上年度增加情况</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经费较上年度增加情况</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受补助人群生活改善情况</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受补助人群生活改善情况</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改善</w:t>
            </w:r>
          </w:p>
          <w:p>
            <w:pPr>
              <w:spacing w:line="300" w:lineRule="exact"/>
              <w:jc w:val="left"/>
              <w:rPr>
                <w:rFonts w:hint="eastAsia" w:ascii="方正书宋_GBK" w:eastAsia="方正书宋_GBK"/>
              </w:rPr>
            </w:pP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受补助人员养老改善情况</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受补助人员养老改善情况</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改善</w:t>
            </w:r>
          </w:p>
          <w:p>
            <w:pPr>
              <w:spacing w:line="300" w:lineRule="exact"/>
              <w:jc w:val="left"/>
              <w:rPr>
                <w:rFonts w:hint="eastAsia" w:ascii="方正书宋_GBK" w:eastAsia="方正书宋_GBK"/>
              </w:rPr>
            </w:pP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受益人口满意度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受益人口满意度</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工作需要</w:t>
            </w:r>
          </w:p>
        </w:tc>
      </w:tr>
    </w:tbl>
    <w:p>
      <w:pPr>
        <w:spacing w:line="300" w:lineRule="exact"/>
        <w:jc w:val="left"/>
        <w:sectPr>
          <w:pgSz w:w="11907" w:h="16839"/>
          <w:pgMar w:top="1984" w:right="1304" w:bottom="1134" w:left="1304" w:header="851" w:footer="992" w:gutter="0"/>
          <w:cols w:space="720" w:num="1"/>
          <w:docGrid w:type="lines" w:linePitch="312" w:charSpace="0"/>
        </w:sectPr>
      </w:pPr>
    </w:p>
    <w:p>
      <w:pPr>
        <w:spacing w:line="300" w:lineRule="exact"/>
        <w:jc w:val="left"/>
      </w:pPr>
    </w:p>
    <w:p>
      <w:pPr>
        <w:ind w:firstLine="562" w:firstLineChars="200"/>
        <w:jc w:val="left"/>
        <w:outlineLvl w:val="3"/>
        <w:rPr>
          <w:rFonts w:hAnsi="宋体"/>
          <w:b/>
          <w:sz w:val="28"/>
        </w:rPr>
      </w:pPr>
      <w:bookmarkStart w:id="14" w:name="_Toc70329508"/>
      <w:r>
        <w:rPr>
          <w:rFonts w:hint="eastAsia" w:ascii="方正仿宋_GBK" w:eastAsia="方正仿宋_GBK"/>
          <w:b/>
          <w:sz w:val="28"/>
        </w:rPr>
        <w:t>13.村级组织办公经费绩效目标表</w:t>
      </w:r>
      <w:bookmarkEnd w:id="14"/>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13、村级组织办公经费绩效目标表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910001</w:t>
            </w:r>
            <w:r>
              <w:rPr>
                <w:rFonts w:hint="eastAsia" w:ascii="方正书宋_GBK" w:eastAsia="方正书宋_GBK"/>
                <w:b/>
              </w:rPr>
              <w:t>保定市满城区满城镇财政所本级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13062121XRNF5BXYTRFH2</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hint="eastAsia" w:ascii="方正书宋_GBK" w:eastAsia="方正书宋_GBK"/>
              </w:rPr>
              <w:t>村级组织办公经费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11.22</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11.22</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hint="eastAsia" w:ascii="方正书宋_GBK" w:eastAsia="方正书宋_GBK"/>
              </w:rPr>
              <w:t>村级组织办公经及服务群众专项经费费用于村级组织服务、发展壮大集体经济、加强基层组织建设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按村级实际支出拨付经费</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保障基层组织工作顺利开展</w:t>
            </w:r>
          </w:p>
        </w:tc>
      </w:tr>
    </w:tbl>
    <w:p>
      <w:pPr>
        <w:spacing w:line="14" w:lineRule="exact"/>
        <w:jc w:val="center"/>
        <w:rPr>
          <w:rFonts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受益村级数量（村）</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受益村级数量（村）</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34</w:t>
            </w:r>
            <w:r>
              <w:rPr>
                <w:rFonts w:hint="eastAsia" w:ascii="方正书宋_GBK" w:eastAsia="方正书宋_GBK"/>
              </w:rPr>
              <w:t>个</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资金发放覆盖率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资金发放覆盖率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资金发放是否及时</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资金发放是否及时</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是</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补贴标准</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补贴标准</w:t>
            </w:r>
          </w:p>
        </w:tc>
        <w:tc>
          <w:tcPr>
            <w:tcW w:w="1276" w:type="dxa"/>
            <w:noWrap w:val="0"/>
            <w:vAlign w:val="center"/>
          </w:tcPr>
          <w:p>
            <w:pPr>
              <w:spacing w:line="300" w:lineRule="exact"/>
              <w:jc w:val="left"/>
              <w:rPr>
                <w:rFonts w:hint="eastAsia" w:ascii="方正书宋_GBK" w:eastAsia="方正书宋_GBK"/>
              </w:rPr>
            </w:pPr>
            <w:r>
              <w:rPr>
                <w:rFonts w:ascii="方正书宋_GBK" w:eastAsia="方正书宋_GBK"/>
              </w:rPr>
              <w:t>0.33</w:t>
            </w:r>
            <w:r>
              <w:rPr>
                <w:rFonts w:hint="eastAsia" w:ascii="方正书宋_GBK" w:eastAsia="方正书宋_GBK"/>
              </w:rPr>
              <w:t>万元</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经费较上年度增加情况</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经费较上年度增加情况</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受益人数（人）</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受益人数（人）</w:t>
            </w:r>
          </w:p>
        </w:tc>
        <w:tc>
          <w:tcPr>
            <w:tcW w:w="1276" w:type="dxa"/>
            <w:noWrap w:val="0"/>
            <w:vAlign w:val="center"/>
          </w:tcPr>
          <w:p>
            <w:pPr>
              <w:spacing w:line="300" w:lineRule="exact"/>
              <w:jc w:val="left"/>
              <w:rPr>
                <w:rFonts w:hint="eastAsia" w:ascii="方正书宋_GBK" w:eastAsia="方正书宋_GBK"/>
              </w:rPr>
            </w:pPr>
            <w:r>
              <w:rPr>
                <w:rFonts w:ascii="方正书宋_GBK" w:eastAsia="方正书宋_GBK"/>
              </w:rPr>
              <w:t>68816</w:t>
            </w:r>
            <w:r>
              <w:rPr>
                <w:rFonts w:hint="eastAsia" w:ascii="方正书宋_GBK" w:eastAsia="方正书宋_GBK"/>
              </w:rPr>
              <w:t>人</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村级组织服务对象办事方便情况</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村级组织服务对象办事方便情况</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改善</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受益人口满意度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受益人口满意度</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工作需要</w:t>
            </w:r>
          </w:p>
        </w:tc>
      </w:tr>
    </w:tbl>
    <w:p>
      <w:pPr>
        <w:spacing w:line="300" w:lineRule="exact"/>
        <w:jc w:val="left"/>
        <w:sectPr>
          <w:pgSz w:w="11907" w:h="16839"/>
          <w:pgMar w:top="1984" w:right="1304" w:bottom="1134" w:left="1304" w:header="851" w:footer="992" w:gutter="0"/>
          <w:cols w:space="720" w:num="1"/>
          <w:docGrid w:type="lines" w:linePitch="312" w:charSpace="0"/>
        </w:sectPr>
      </w:pPr>
    </w:p>
    <w:p>
      <w:pPr>
        <w:spacing w:line="300" w:lineRule="exact"/>
        <w:jc w:val="left"/>
      </w:pPr>
    </w:p>
    <w:p>
      <w:pPr>
        <w:ind w:firstLine="562" w:firstLineChars="200"/>
        <w:jc w:val="left"/>
        <w:outlineLvl w:val="3"/>
        <w:rPr>
          <w:rFonts w:hAnsi="宋体"/>
          <w:b/>
          <w:sz w:val="28"/>
        </w:rPr>
      </w:pPr>
      <w:bookmarkStart w:id="15" w:name="_Toc70329509"/>
      <w:r>
        <w:rPr>
          <w:rFonts w:hint="eastAsia" w:ascii="方正仿宋_GBK" w:eastAsia="方正仿宋_GBK"/>
          <w:b/>
          <w:sz w:val="28"/>
        </w:rPr>
        <w:t>14.信访维稳经费绩效目标表</w:t>
      </w:r>
      <w:bookmarkEnd w:id="15"/>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14、信访维稳经费绩效目标表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910001</w:t>
            </w:r>
            <w:r>
              <w:rPr>
                <w:rFonts w:hint="eastAsia" w:ascii="方正书宋_GBK" w:eastAsia="方正书宋_GBK"/>
                <w:b/>
              </w:rPr>
              <w:t>保定市满城区满城镇财政所本级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13062121XUW3IANPSAGQM</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hint="eastAsia" w:ascii="方正书宋_GBK" w:eastAsia="方正书宋_GBK"/>
              </w:rPr>
              <w:t>信访维稳经费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10.00</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10.00</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hint="eastAsia" w:ascii="方正书宋_GBK" w:eastAsia="方正书宋_GBK"/>
              </w:rPr>
              <w:t>用于化解各类重点难点信访案件</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解决热点难点案件，稳控重点人员</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做好风险苗头化解工作</w:t>
            </w:r>
          </w:p>
        </w:tc>
      </w:tr>
    </w:tbl>
    <w:p>
      <w:pPr>
        <w:spacing w:line="14" w:lineRule="exact"/>
        <w:jc w:val="center"/>
        <w:rPr>
          <w:rFonts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信访案件化解数</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重点热点案件化解数量</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件</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信访案件情况</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信访案件化解率</w:t>
            </w:r>
          </w:p>
        </w:tc>
        <w:tc>
          <w:tcPr>
            <w:tcW w:w="1276" w:type="dxa"/>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信访苗头化解是否及时</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信访苗头化解是否及时</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是</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信访苗头化解成本</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信访苗头化解成本</w:t>
            </w:r>
          </w:p>
        </w:tc>
        <w:tc>
          <w:tcPr>
            <w:tcW w:w="1276" w:type="dxa"/>
            <w:noWrap w:val="0"/>
            <w:vAlign w:val="center"/>
          </w:tcPr>
          <w:p>
            <w:pPr>
              <w:spacing w:line="300" w:lineRule="exact"/>
              <w:jc w:val="left"/>
              <w:rPr>
                <w:rFonts w:hint="eastAsia" w:ascii="方正书宋_GBK" w:eastAsia="方正书宋_GBK"/>
              </w:rPr>
            </w:pPr>
            <w:r>
              <w:rPr>
                <w:rFonts w:ascii="方正书宋_GBK" w:eastAsia="方正书宋_GBK"/>
              </w:rPr>
              <w:t>10</w:t>
            </w:r>
            <w:r>
              <w:rPr>
                <w:rFonts w:hint="eastAsia" w:ascii="方正书宋_GBK" w:eastAsia="方正书宋_GBK"/>
              </w:rPr>
              <w:t>万元</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社会稳定情况</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该时期是否出现新的信访苗头</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否</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信访苗头化解情况</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是否及时化解信访隐患，安抚信访人</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是</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经费较上年度增加情况</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经费较上年度增加情况</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信访群众满意度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通过化解信访案件，提升案件解决满意度</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工作需要</w:t>
            </w:r>
          </w:p>
        </w:tc>
      </w:tr>
    </w:tbl>
    <w:p>
      <w:pPr>
        <w:spacing w:line="300" w:lineRule="exact"/>
        <w:jc w:val="left"/>
        <w:sectPr>
          <w:pgSz w:w="11907" w:h="16839"/>
          <w:pgMar w:top="1984" w:right="1304" w:bottom="1134" w:left="1304" w:header="851" w:footer="992" w:gutter="0"/>
          <w:cols w:space="720" w:num="1"/>
          <w:docGrid w:type="lines" w:linePitch="312" w:charSpace="0"/>
        </w:sectPr>
      </w:pPr>
    </w:p>
    <w:p>
      <w:pPr>
        <w:spacing w:line="300" w:lineRule="exact"/>
        <w:jc w:val="left"/>
      </w:pPr>
    </w:p>
    <w:p>
      <w:pPr>
        <w:ind w:firstLine="1124" w:firstLineChars="400"/>
        <w:jc w:val="left"/>
        <w:outlineLvl w:val="3"/>
        <w:rPr>
          <w:rFonts w:hAnsi="宋体"/>
          <w:b/>
          <w:sz w:val="28"/>
        </w:rPr>
      </w:pPr>
      <w:bookmarkStart w:id="16" w:name="_Toc70329510"/>
      <w:r>
        <w:rPr>
          <w:rFonts w:hint="eastAsia" w:ascii="方正仿宋_GBK" w:eastAsia="方正仿宋_GBK"/>
          <w:b/>
          <w:sz w:val="28"/>
        </w:rPr>
        <w:t>15.（综）雨污水泵站占地补偿绩效目标表</w:t>
      </w:r>
      <w:bookmarkEnd w:id="16"/>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15、（综）雨污水泵站占地补偿绩效目标表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910004</w:t>
            </w:r>
            <w:r>
              <w:rPr>
                <w:rFonts w:hint="eastAsia" w:ascii="方正书宋_GBK" w:eastAsia="方正书宋_GBK"/>
                <w:b/>
              </w:rPr>
              <w:t>保定市满城区满城镇人民政府（供养人员）</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13062121BXNDWPY2VBETV</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hint="eastAsia" w:ascii="方正书宋_GBK" w:eastAsia="方正书宋_GBK"/>
              </w:rPr>
              <w:t>（综）雨污水泵站占地补偿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318.00</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318.00</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hint="eastAsia" w:ascii="方正书宋_GBK" w:eastAsia="方正书宋_GBK"/>
              </w:rPr>
              <w:t>用于雨污水泵站项目永久占地及附着物补偿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按时完成雨污水泵站项目，按规定发放补贴款</w:t>
            </w:r>
          </w:p>
        </w:tc>
      </w:tr>
    </w:tbl>
    <w:p>
      <w:pPr>
        <w:spacing w:line="14" w:lineRule="exact"/>
        <w:jc w:val="center"/>
        <w:rPr>
          <w:rFonts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雨污水泵站占地亩数</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雨污水泵站永久占地亩数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5.4</w:t>
            </w:r>
            <w:r>
              <w:rPr>
                <w:rFonts w:hint="eastAsia" w:ascii="方正书宋_GBK" w:eastAsia="方正书宋_GBK"/>
              </w:rPr>
              <w:t>亩</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泵站建设是否验收合格</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泵站建设是否验收合格</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合格</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工作按时完成率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工作按时完成率</w:t>
            </w:r>
          </w:p>
        </w:tc>
        <w:tc>
          <w:tcPr>
            <w:tcW w:w="1276" w:type="dxa"/>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项目总成本</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项目总成本</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318</w:t>
            </w:r>
            <w:r>
              <w:rPr>
                <w:rFonts w:hint="eastAsia" w:ascii="方正书宋_GBK" w:eastAsia="方正书宋_GBK"/>
              </w:rPr>
              <w:t>万元</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被征地户生活改善情况</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被征地户生活改善情况</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改善</w:t>
            </w:r>
            <w:r>
              <w:rPr>
                <w:rFonts w:ascii="方正书宋_GBK" w:eastAsia="方正书宋_GBK"/>
              </w:rPr>
              <w:t>/</w:t>
            </w:r>
            <w:r>
              <w:rPr>
                <w:rFonts w:hint="eastAsia" w:ascii="方正书宋_GBK" w:eastAsia="方正书宋_GBK"/>
              </w:rPr>
              <w:t>明显改善</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改善水体质量</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改善水体质量</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改善</w:t>
            </w:r>
            <w:r>
              <w:rPr>
                <w:rFonts w:ascii="方正书宋_GBK" w:eastAsia="方正书宋_GBK"/>
              </w:rPr>
              <w:t>/</w:t>
            </w:r>
            <w:r>
              <w:rPr>
                <w:rFonts w:hint="eastAsia" w:ascii="方正书宋_GBK" w:eastAsia="方正书宋_GBK"/>
              </w:rPr>
              <w:t>明显改善</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被征地户是否满意</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被征地户是否满意</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满意</w:t>
            </w:r>
            <w:r>
              <w:rPr>
                <w:rFonts w:ascii="方正书宋_GBK" w:eastAsia="方正书宋_GBK"/>
              </w:rPr>
              <w:t>/</w:t>
            </w:r>
            <w:r>
              <w:rPr>
                <w:rFonts w:hint="eastAsia" w:ascii="方正书宋_GBK" w:eastAsia="方正书宋_GBK"/>
              </w:rPr>
              <w:t>不满意</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工作方案</w:t>
            </w:r>
          </w:p>
        </w:tc>
      </w:tr>
    </w:tbl>
    <w:p>
      <w:pPr>
        <w:spacing w:line="300" w:lineRule="exact"/>
        <w:jc w:val="left"/>
        <w:outlineLvl w:val="0"/>
        <w:rPr>
          <w:rFonts w:hint="eastAsia" w:ascii="仿宋" w:hAnsi="仿宋" w:eastAsia="仿宋" w:cs="仿宋"/>
          <w:sz w:val="32"/>
          <w:szCs w:val="32"/>
        </w:rPr>
        <w:sectPr>
          <w:headerReference r:id="rId5" w:type="first"/>
          <w:footerReference r:id="rId8" w:type="first"/>
          <w:headerReference r:id="rId3" w:type="default"/>
          <w:footerReference r:id="rId6" w:type="default"/>
          <w:headerReference r:id="rId4" w:type="even"/>
          <w:footerReference r:id="rId7" w:type="even"/>
          <w:pgSz w:w="11907" w:h="16839"/>
          <w:pgMar w:top="1361" w:right="1020" w:bottom="1361" w:left="1020" w:header="851" w:footer="992" w:gutter="0"/>
          <w:cols w:space="720" w:num="1"/>
          <w:docGrid w:type="lines" w:linePitch="312" w:charSpace="0"/>
        </w:sectPr>
      </w:pPr>
    </w:p>
    <w:p>
      <w:pPr>
        <w:jc w:val="center"/>
        <w:outlineLvl w:val="0"/>
        <w:rPr>
          <w:rFonts w:ascii="黑体" w:hAnsi="黑体" w:eastAsia="黑体"/>
          <w:sz w:val="32"/>
          <w:szCs w:val="32"/>
        </w:rPr>
      </w:pPr>
      <w:r>
        <w:rPr>
          <w:rFonts w:hint="eastAsia" w:ascii="黑体" w:hAnsi="黑体" w:eastAsia="黑体"/>
          <w:sz w:val="32"/>
          <w:szCs w:val="32"/>
        </w:rPr>
        <w:t>第六部分：政府采购预算情况</w:t>
      </w:r>
    </w:p>
    <w:p>
      <w:pPr>
        <w:ind w:firstLine="630"/>
        <w:outlineLvl w:val="0"/>
        <w:rPr>
          <w:rFonts w:hint="eastAsia" w:ascii="仿宋" w:hAnsi="仿宋" w:eastAsia="仿宋" w:cs="仿宋"/>
          <w:sz w:val="32"/>
          <w:szCs w:val="32"/>
          <w:lang w:eastAsia="zh-CN"/>
        </w:rPr>
      </w:pPr>
      <w:r>
        <w:rPr>
          <w:rFonts w:hint="eastAsia" w:ascii="仿宋" w:hAnsi="仿宋" w:eastAsia="仿宋" w:cs="仿宋"/>
          <w:sz w:val="32"/>
          <w:szCs w:val="32"/>
        </w:rPr>
        <w:t>我部门2021年无政府采购预算</w:t>
      </w:r>
      <w:r>
        <w:rPr>
          <w:rFonts w:hint="eastAsia" w:ascii="仿宋" w:hAnsi="仿宋" w:eastAsia="仿宋" w:cs="仿宋"/>
          <w:sz w:val="32"/>
          <w:szCs w:val="32"/>
          <w:lang w:eastAsia="zh-CN"/>
        </w:rPr>
        <w:t>，空表列示。</w:t>
      </w:r>
    </w:p>
    <w:p>
      <w:pPr>
        <w:spacing w:line="360" w:lineRule="auto"/>
        <w:jc w:val="center"/>
        <w:rPr>
          <w:rFonts w:ascii="宋体" w:hAnsi="宋体" w:cs="方正小标宋_GBK"/>
          <w:sz w:val="32"/>
        </w:rPr>
      </w:pPr>
      <w:r>
        <w:rPr>
          <w:rFonts w:hint="eastAsia" w:ascii="宋体" w:hAnsi="宋体" w:cs="宋体"/>
          <w:sz w:val="32"/>
        </w:rPr>
        <w:t>部门政府采购预算</w:t>
      </w:r>
    </w:p>
    <w:tbl>
      <w:tblPr>
        <w:tblStyle w:val="6"/>
        <w:tblW w:w="9495" w:type="dxa"/>
        <w:jc w:val="center"/>
        <w:tblLayout w:type="fixed"/>
        <w:tblCellMar>
          <w:top w:w="0" w:type="dxa"/>
          <w:left w:w="10" w:type="dxa"/>
          <w:bottom w:w="0" w:type="dxa"/>
          <w:right w:w="10" w:type="dxa"/>
        </w:tblCellMar>
      </w:tblPr>
      <w:tblGrid>
        <w:gridCol w:w="744"/>
        <w:gridCol w:w="1243"/>
        <w:gridCol w:w="877"/>
        <w:gridCol w:w="637"/>
        <w:gridCol w:w="424"/>
        <w:gridCol w:w="572"/>
        <w:gridCol w:w="578"/>
        <w:gridCol w:w="572"/>
        <w:gridCol w:w="572"/>
        <w:gridCol w:w="672"/>
        <w:gridCol w:w="472"/>
        <w:gridCol w:w="572"/>
        <w:gridCol w:w="572"/>
        <w:gridCol w:w="988"/>
      </w:tblGrid>
      <w:tr>
        <w:tblPrEx>
          <w:tblCellMar>
            <w:top w:w="0" w:type="dxa"/>
            <w:left w:w="10" w:type="dxa"/>
            <w:bottom w:w="0" w:type="dxa"/>
            <w:right w:w="10" w:type="dxa"/>
          </w:tblCellMar>
        </w:tblPrEx>
        <w:trPr>
          <w:trHeight w:val="373" w:hRule="atLeast"/>
          <w:jc w:val="center"/>
        </w:trPr>
        <w:tc>
          <w:tcPr>
            <w:tcW w:w="5079" w:type="dxa"/>
            <w:gridSpan w:val="7"/>
            <w:tcBorders>
              <w:top w:val="single" w:color="FFFFFF" w:sz="6" w:space="0"/>
              <w:left w:val="single" w:color="FFFFFF" w:sz="6" w:space="0"/>
              <w:bottom w:val="single" w:color="000000" w:sz="6" w:space="0"/>
              <w:right w:val="single" w:color="FFFFFF" w:sz="6" w:space="0"/>
            </w:tcBorders>
            <w:shd w:val="clear" w:color="auto" w:fill="FFFFFF"/>
            <w:noWrap w:val="0"/>
            <w:tcMar>
              <w:top w:w="0" w:type="dxa"/>
              <w:left w:w="108" w:type="dxa"/>
              <w:bottom w:w="0" w:type="dxa"/>
              <w:right w:w="108" w:type="dxa"/>
            </w:tcMar>
            <w:vAlign w:val="center"/>
          </w:tcPr>
          <w:p>
            <w:pPr>
              <w:rPr>
                <w:rFonts w:hint="eastAsia" w:ascii="宋体" w:hAnsi="宋体" w:cs="方正小标宋_GBK"/>
                <w:sz w:val="32"/>
              </w:rPr>
            </w:pPr>
          </w:p>
        </w:tc>
        <w:tc>
          <w:tcPr>
            <w:tcW w:w="4420" w:type="dxa"/>
            <w:gridSpan w:val="7"/>
            <w:tcBorders>
              <w:top w:val="single" w:color="FFFFFF" w:sz="6" w:space="0"/>
              <w:left w:val="single" w:color="FFFFFF" w:sz="6" w:space="0"/>
              <w:bottom w:val="single" w:color="000000" w:sz="6" w:space="0"/>
              <w:right w:val="single" w:color="FFFFFF" w:sz="6" w:space="0"/>
            </w:tcBorders>
            <w:shd w:val="clear" w:color="auto" w:fill="FFFFFF"/>
            <w:noWrap w:val="0"/>
            <w:tcMar>
              <w:top w:w="0" w:type="dxa"/>
              <w:left w:w="108" w:type="dxa"/>
              <w:bottom w:w="0" w:type="dxa"/>
              <w:right w:w="108" w:type="dxa"/>
            </w:tcMar>
            <w:vAlign w:val="center"/>
          </w:tcPr>
          <w:p>
            <w:pPr>
              <w:spacing w:line="360" w:lineRule="auto"/>
              <w:jc w:val="right"/>
              <w:rPr>
                <w:rFonts w:ascii="宋体" w:hAnsi="宋体" w:cs="宋体"/>
                <w:szCs w:val="24"/>
              </w:rPr>
            </w:pPr>
            <w:r>
              <w:rPr>
                <w:rFonts w:hint="eastAsia" w:ascii="宋体" w:hAnsi="宋体" w:cs="宋体"/>
                <w:sz w:val="24"/>
              </w:rPr>
              <w:t>单位：万元</w:t>
            </w:r>
          </w:p>
        </w:tc>
      </w:tr>
      <w:tr>
        <w:tblPrEx>
          <w:tblCellMar>
            <w:top w:w="0" w:type="dxa"/>
            <w:left w:w="10" w:type="dxa"/>
            <w:bottom w:w="0" w:type="dxa"/>
            <w:right w:w="10" w:type="dxa"/>
          </w:tblCellMar>
        </w:tblPrEx>
        <w:trPr>
          <w:trHeight w:val="373" w:hRule="atLeast"/>
          <w:jc w:val="center"/>
        </w:trPr>
        <w:tc>
          <w:tcPr>
            <w:tcW w:w="1990"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108" w:type="dxa"/>
              <w:bottom w:w="0" w:type="dxa"/>
              <w:right w:w="108" w:type="dxa"/>
            </w:tcMar>
            <w:vAlign w:val="center"/>
          </w:tcPr>
          <w:p>
            <w:pPr>
              <w:spacing w:line="360" w:lineRule="auto"/>
              <w:jc w:val="center"/>
              <w:rPr>
                <w:rFonts w:hint="eastAsia" w:ascii="宋体" w:hAnsi="宋体" w:cs="宋体"/>
              </w:rPr>
            </w:pPr>
            <w:r>
              <w:rPr>
                <w:rFonts w:hint="eastAsia" w:ascii="宋体" w:hAnsi="宋体" w:cs="宋体"/>
                <w:b/>
              </w:rPr>
              <w:t>政府采购项目来源</w:t>
            </w:r>
          </w:p>
        </w:tc>
        <w:tc>
          <w:tcPr>
            <w:tcW w:w="878" w:type="dxa"/>
            <w:vMerge w:val="restart"/>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108" w:type="dxa"/>
              <w:bottom w:w="0" w:type="dxa"/>
              <w:right w:w="108" w:type="dxa"/>
            </w:tcMar>
            <w:vAlign w:val="center"/>
          </w:tcPr>
          <w:p>
            <w:pPr>
              <w:spacing w:line="360" w:lineRule="auto"/>
              <w:jc w:val="center"/>
              <w:rPr>
                <w:rFonts w:hint="eastAsia" w:ascii="宋体" w:hAnsi="宋体" w:cs="宋体"/>
              </w:rPr>
            </w:pPr>
            <w:r>
              <w:rPr>
                <w:rFonts w:hint="eastAsia" w:ascii="宋体" w:hAnsi="宋体" w:cs="宋体"/>
                <w:b/>
              </w:rPr>
              <w:t>采购物品名称</w:t>
            </w:r>
          </w:p>
        </w:tc>
        <w:tc>
          <w:tcPr>
            <w:tcW w:w="637" w:type="dxa"/>
            <w:vMerge w:val="restart"/>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108" w:type="dxa"/>
              <w:bottom w:w="0" w:type="dxa"/>
              <w:right w:w="108" w:type="dxa"/>
            </w:tcMar>
            <w:vAlign w:val="center"/>
          </w:tcPr>
          <w:p>
            <w:pPr>
              <w:spacing w:line="360" w:lineRule="auto"/>
              <w:jc w:val="center"/>
              <w:rPr>
                <w:rFonts w:hint="eastAsia" w:ascii="宋体" w:hAnsi="宋体" w:cs="宋体"/>
              </w:rPr>
            </w:pPr>
            <w:r>
              <w:rPr>
                <w:rFonts w:hint="eastAsia" w:ascii="宋体" w:hAnsi="宋体" w:cs="宋体"/>
                <w:b/>
              </w:rPr>
              <w:t>政府采购目录序号</w:t>
            </w:r>
          </w:p>
        </w:tc>
        <w:tc>
          <w:tcPr>
            <w:tcW w:w="424" w:type="dxa"/>
            <w:vMerge w:val="restart"/>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108" w:type="dxa"/>
              <w:bottom w:w="0" w:type="dxa"/>
              <w:right w:w="108" w:type="dxa"/>
            </w:tcMar>
            <w:vAlign w:val="center"/>
          </w:tcPr>
          <w:p>
            <w:pPr>
              <w:spacing w:line="360" w:lineRule="auto"/>
              <w:jc w:val="center"/>
              <w:rPr>
                <w:rFonts w:hint="eastAsia" w:ascii="宋体" w:hAnsi="宋体"/>
              </w:rPr>
            </w:pPr>
            <w:r>
              <w:rPr>
                <w:rFonts w:hint="eastAsia" w:ascii="宋体" w:hAnsi="宋体" w:cs="宋体"/>
                <w:b/>
              </w:rPr>
              <w:t>数量</w:t>
            </w:r>
            <w:r>
              <w:rPr>
                <w:rFonts w:hint="eastAsia" w:ascii="宋体" w:hAnsi="宋体" w:cs="方正书宋_GBK"/>
                <w:b/>
              </w:rPr>
              <w:t xml:space="preserve">  </w:t>
            </w:r>
            <w:r>
              <w:rPr>
                <w:rFonts w:hint="eastAsia" w:ascii="宋体" w:hAnsi="宋体" w:cs="宋体"/>
                <w:b/>
              </w:rPr>
              <w:t>单位</w:t>
            </w:r>
          </w:p>
        </w:tc>
        <w:tc>
          <w:tcPr>
            <w:tcW w:w="572" w:type="dxa"/>
            <w:vMerge w:val="restart"/>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108" w:type="dxa"/>
              <w:bottom w:w="0" w:type="dxa"/>
              <w:right w:w="108" w:type="dxa"/>
            </w:tcMar>
            <w:vAlign w:val="center"/>
          </w:tcPr>
          <w:p>
            <w:pPr>
              <w:spacing w:line="360" w:lineRule="auto"/>
              <w:jc w:val="center"/>
              <w:rPr>
                <w:rFonts w:hint="eastAsia" w:ascii="宋体" w:hAnsi="宋体" w:cs="宋体"/>
              </w:rPr>
            </w:pPr>
            <w:r>
              <w:rPr>
                <w:rFonts w:hint="eastAsia" w:ascii="宋体" w:hAnsi="宋体" w:cs="宋体"/>
                <w:b/>
              </w:rPr>
              <w:t>数量</w:t>
            </w:r>
          </w:p>
        </w:tc>
        <w:tc>
          <w:tcPr>
            <w:tcW w:w="578" w:type="dxa"/>
            <w:vMerge w:val="restart"/>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108" w:type="dxa"/>
              <w:bottom w:w="0" w:type="dxa"/>
              <w:right w:w="108" w:type="dxa"/>
            </w:tcMar>
            <w:vAlign w:val="center"/>
          </w:tcPr>
          <w:p>
            <w:pPr>
              <w:spacing w:line="360" w:lineRule="auto"/>
              <w:jc w:val="center"/>
              <w:rPr>
                <w:rFonts w:hint="eastAsia" w:ascii="宋体" w:hAnsi="宋体" w:cs="宋体"/>
              </w:rPr>
            </w:pPr>
            <w:r>
              <w:rPr>
                <w:rFonts w:hint="eastAsia" w:ascii="宋体" w:hAnsi="宋体" w:cs="宋体"/>
                <w:b/>
              </w:rPr>
              <w:t>单价</w:t>
            </w:r>
          </w:p>
        </w:tc>
        <w:tc>
          <w:tcPr>
            <w:tcW w:w="4420" w:type="dxa"/>
            <w:gridSpan w:val="7"/>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108" w:type="dxa"/>
              <w:bottom w:w="0" w:type="dxa"/>
              <w:right w:w="108" w:type="dxa"/>
            </w:tcMar>
            <w:vAlign w:val="center"/>
          </w:tcPr>
          <w:p>
            <w:pPr>
              <w:spacing w:line="360" w:lineRule="auto"/>
              <w:jc w:val="center"/>
              <w:rPr>
                <w:rFonts w:hint="eastAsia" w:ascii="宋体" w:hAnsi="宋体" w:cs="宋体"/>
              </w:rPr>
            </w:pPr>
            <w:r>
              <w:rPr>
                <w:rFonts w:hint="eastAsia" w:ascii="宋体" w:hAnsi="宋体" w:cs="宋体"/>
                <w:b/>
              </w:rPr>
              <w:t>政府采购金额</w:t>
            </w:r>
          </w:p>
        </w:tc>
      </w:tr>
      <w:tr>
        <w:tblPrEx>
          <w:tblCellMar>
            <w:top w:w="0" w:type="dxa"/>
            <w:left w:w="10" w:type="dxa"/>
            <w:bottom w:w="0" w:type="dxa"/>
            <w:right w:w="10" w:type="dxa"/>
          </w:tblCellMar>
        </w:tblPrEx>
        <w:trPr>
          <w:trHeight w:val="373" w:hRule="atLeast"/>
          <w:jc w:val="center"/>
        </w:trPr>
        <w:tc>
          <w:tcPr>
            <w:tcW w:w="745" w:type="dxa"/>
            <w:vMerge w:val="restart"/>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108" w:type="dxa"/>
              <w:bottom w:w="0" w:type="dxa"/>
              <w:right w:w="108" w:type="dxa"/>
            </w:tcMar>
            <w:vAlign w:val="center"/>
          </w:tcPr>
          <w:p>
            <w:pPr>
              <w:spacing w:line="360" w:lineRule="auto"/>
              <w:jc w:val="center"/>
              <w:rPr>
                <w:rFonts w:hint="eastAsia" w:ascii="宋体" w:hAnsi="宋体" w:cs="宋体"/>
              </w:rPr>
            </w:pPr>
            <w:r>
              <w:rPr>
                <w:rFonts w:hint="eastAsia" w:ascii="宋体" w:hAnsi="宋体" w:cs="宋体"/>
                <w:b/>
              </w:rPr>
              <w:t>项目名称</w:t>
            </w:r>
          </w:p>
        </w:tc>
        <w:tc>
          <w:tcPr>
            <w:tcW w:w="1245" w:type="dxa"/>
            <w:vMerge w:val="restart"/>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108" w:type="dxa"/>
              <w:bottom w:w="0" w:type="dxa"/>
              <w:right w:w="108" w:type="dxa"/>
            </w:tcMar>
            <w:vAlign w:val="center"/>
          </w:tcPr>
          <w:p>
            <w:pPr>
              <w:spacing w:line="360" w:lineRule="auto"/>
              <w:jc w:val="center"/>
              <w:rPr>
                <w:rFonts w:hint="eastAsia" w:ascii="宋体" w:hAnsi="宋体" w:cs="宋体"/>
              </w:rPr>
            </w:pPr>
            <w:r>
              <w:rPr>
                <w:rFonts w:hint="eastAsia" w:ascii="宋体" w:hAnsi="宋体" w:cs="宋体"/>
                <w:b/>
              </w:rPr>
              <w:t>预算资金</w:t>
            </w:r>
          </w:p>
        </w:tc>
        <w:tc>
          <w:tcPr>
            <w:tcW w:w="878" w:type="dxa"/>
            <w:vMerge w:val="continue"/>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108" w:type="dxa"/>
              <w:bottom w:w="0" w:type="dxa"/>
              <w:right w:w="108" w:type="dxa"/>
            </w:tcMar>
            <w:vAlign w:val="center"/>
          </w:tcPr>
          <w:p>
            <w:pPr>
              <w:widowControl/>
              <w:jc w:val="left"/>
              <w:rPr>
                <w:rFonts w:ascii="宋体" w:hAnsi="宋体" w:cs="宋体"/>
              </w:rPr>
            </w:pPr>
          </w:p>
        </w:tc>
        <w:tc>
          <w:tcPr>
            <w:tcW w:w="637" w:type="dxa"/>
            <w:vMerge w:val="continue"/>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108" w:type="dxa"/>
              <w:bottom w:w="0" w:type="dxa"/>
              <w:right w:w="108" w:type="dxa"/>
            </w:tcMar>
            <w:vAlign w:val="center"/>
          </w:tcPr>
          <w:p>
            <w:pPr>
              <w:widowControl/>
              <w:jc w:val="left"/>
              <w:rPr>
                <w:rFonts w:ascii="宋体" w:hAnsi="宋体" w:cs="宋体"/>
              </w:rPr>
            </w:pPr>
          </w:p>
        </w:tc>
        <w:tc>
          <w:tcPr>
            <w:tcW w:w="424" w:type="dxa"/>
            <w:vMerge w:val="continue"/>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108" w:type="dxa"/>
              <w:bottom w:w="0" w:type="dxa"/>
              <w:right w:w="108" w:type="dxa"/>
            </w:tcMar>
            <w:vAlign w:val="center"/>
          </w:tcPr>
          <w:p>
            <w:pPr>
              <w:widowControl/>
              <w:jc w:val="left"/>
              <w:rPr>
                <w:rFonts w:ascii="宋体" w:hAnsi="宋体"/>
              </w:rPr>
            </w:pPr>
          </w:p>
        </w:tc>
        <w:tc>
          <w:tcPr>
            <w:tcW w:w="572" w:type="dxa"/>
            <w:vMerge w:val="continue"/>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108" w:type="dxa"/>
              <w:bottom w:w="0" w:type="dxa"/>
              <w:right w:w="108" w:type="dxa"/>
            </w:tcMar>
            <w:vAlign w:val="center"/>
          </w:tcPr>
          <w:p>
            <w:pPr>
              <w:widowControl/>
              <w:jc w:val="left"/>
              <w:rPr>
                <w:rFonts w:ascii="宋体" w:hAnsi="宋体" w:cs="宋体"/>
              </w:rPr>
            </w:pPr>
          </w:p>
        </w:tc>
        <w:tc>
          <w:tcPr>
            <w:tcW w:w="578" w:type="dxa"/>
            <w:vMerge w:val="continue"/>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108" w:type="dxa"/>
              <w:bottom w:w="0" w:type="dxa"/>
              <w:right w:w="108" w:type="dxa"/>
            </w:tcMar>
            <w:vAlign w:val="center"/>
          </w:tcPr>
          <w:p>
            <w:pPr>
              <w:widowControl/>
              <w:jc w:val="left"/>
              <w:rPr>
                <w:rFonts w:ascii="宋体" w:hAnsi="宋体" w:cs="宋体"/>
              </w:rPr>
            </w:pPr>
          </w:p>
        </w:tc>
        <w:tc>
          <w:tcPr>
            <w:tcW w:w="572" w:type="dxa"/>
            <w:vMerge w:val="restart"/>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108" w:type="dxa"/>
              <w:bottom w:w="0" w:type="dxa"/>
              <w:right w:w="108" w:type="dxa"/>
            </w:tcMar>
            <w:vAlign w:val="center"/>
          </w:tcPr>
          <w:p>
            <w:pPr>
              <w:spacing w:line="360" w:lineRule="auto"/>
              <w:jc w:val="center"/>
              <w:rPr>
                <w:rFonts w:hint="eastAsia" w:ascii="宋体" w:hAnsi="宋体" w:cs="宋体"/>
              </w:rPr>
            </w:pPr>
            <w:r>
              <w:rPr>
                <w:rFonts w:hint="eastAsia" w:ascii="宋体" w:hAnsi="宋体" w:cs="宋体"/>
                <w:b/>
              </w:rPr>
              <w:t>总计</w:t>
            </w:r>
          </w:p>
        </w:tc>
        <w:tc>
          <w:tcPr>
            <w:tcW w:w="2860" w:type="dxa"/>
            <w:gridSpan w:val="5"/>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108" w:type="dxa"/>
              <w:bottom w:w="0" w:type="dxa"/>
              <w:right w:w="108" w:type="dxa"/>
            </w:tcMar>
            <w:vAlign w:val="center"/>
          </w:tcPr>
          <w:p>
            <w:pPr>
              <w:spacing w:line="360" w:lineRule="auto"/>
              <w:jc w:val="center"/>
              <w:rPr>
                <w:rFonts w:hint="eastAsia" w:ascii="宋体" w:hAnsi="宋体" w:cs="宋体"/>
              </w:rPr>
            </w:pPr>
            <w:r>
              <w:rPr>
                <w:rFonts w:hint="eastAsia" w:ascii="宋体" w:hAnsi="宋体" w:cs="宋体"/>
                <w:b/>
              </w:rPr>
              <w:t>当年部门预算安排资金</w:t>
            </w:r>
          </w:p>
        </w:tc>
        <w:tc>
          <w:tcPr>
            <w:tcW w:w="988" w:type="dxa"/>
            <w:vMerge w:val="restart"/>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108" w:type="dxa"/>
              <w:bottom w:w="0" w:type="dxa"/>
              <w:right w:w="108" w:type="dxa"/>
            </w:tcMar>
            <w:vAlign w:val="center"/>
          </w:tcPr>
          <w:p>
            <w:pPr>
              <w:spacing w:line="360" w:lineRule="auto"/>
              <w:jc w:val="center"/>
              <w:rPr>
                <w:rFonts w:hint="eastAsia" w:ascii="宋体" w:hAnsi="宋体" w:cs="宋体"/>
              </w:rPr>
            </w:pPr>
            <w:r>
              <w:rPr>
                <w:rFonts w:hint="eastAsia" w:ascii="宋体" w:hAnsi="宋体" w:cs="宋体"/>
                <w:b/>
              </w:rPr>
              <w:t>其他渠道资金</w:t>
            </w:r>
          </w:p>
        </w:tc>
      </w:tr>
      <w:tr>
        <w:tblPrEx>
          <w:tblCellMar>
            <w:top w:w="0" w:type="dxa"/>
            <w:left w:w="10" w:type="dxa"/>
            <w:bottom w:w="0" w:type="dxa"/>
            <w:right w:w="10" w:type="dxa"/>
          </w:tblCellMar>
        </w:tblPrEx>
        <w:trPr>
          <w:trHeight w:val="2548" w:hRule="atLeast"/>
          <w:jc w:val="center"/>
        </w:trPr>
        <w:tc>
          <w:tcPr>
            <w:tcW w:w="5079" w:type="dxa"/>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widowControl/>
              <w:jc w:val="left"/>
              <w:rPr>
                <w:rFonts w:ascii="宋体" w:hAnsi="宋体" w:cs="宋体"/>
              </w:rPr>
            </w:pPr>
          </w:p>
        </w:tc>
        <w:tc>
          <w:tcPr>
            <w:tcW w:w="1245" w:type="dxa"/>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widowControl/>
              <w:jc w:val="left"/>
              <w:rPr>
                <w:rFonts w:ascii="宋体" w:hAnsi="宋体" w:cs="宋体"/>
              </w:rPr>
            </w:pPr>
          </w:p>
        </w:tc>
        <w:tc>
          <w:tcPr>
            <w:tcW w:w="878" w:type="dxa"/>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widowControl/>
              <w:jc w:val="left"/>
              <w:rPr>
                <w:rFonts w:ascii="宋体" w:hAnsi="宋体" w:cs="宋体"/>
              </w:rPr>
            </w:pPr>
          </w:p>
        </w:tc>
        <w:tc>
          <w:tcPr>
            <w:tcW w:w="637" w:type="dxa"/>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widowControl/>
              <w:jc w:val="left"/>
              <w:rPr>
                <w:rFonts w:ascii="宋体" w:hAnsi="宋体" w:cs="宋体"/>
              </w:rPr>
            </w:pPr>
          </w:p>
        </w:tc>
        <w:tc>
          <w:tcPr>
            <w:tcW w:w="424" w:type="dxa"/>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widowControl/>
              <w:jc w:val="left"/>
              <w:rPr>
                <w:rFonts w:ascii="宋体" w:hAnsi="宋体"/>
              </w:rPr>
            </w:pPr>
          </w:p>
        </w:tc>
        <w:tc>
          <w:tcPr>
            <w:tcW w:w="572" w:type="dxa"/>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widowControl/>
              <w:jc w:val="left"/>
              <w:rPr>
                <w:rFonts w:ascii="宋体" w:hAnsi="宋体" w:cs="宋体"/>
              </w:rPr>
            </w:pPr>
          </w:p>
        </w:tc>
        <w:tc>
          <w:tcPr>
            <w:tcW w:w="578" w:type="dxa"/>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widowControl/>
              <w:jc w:val="left"/>
              <w:rPr>
                <w:rFonts w:ascii="宋体" w:hAnsi="宋体" w:cs="宋体"/>
              </w:rPr>
            </w:pPr>
          </w:p>
        </w:tc>
        <w:tc>
          <w:tcPr>
            <w:tcW w:w="4420" w:type="dxa"/>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widowControl/>
              <w:jc w:val="left"/>
              <w:rPr>
                <w:rFonts w:ascii="宋体" w:hAnsi="宋体" w:cs="宋体"/>
              </w:rPr>
            </w:pPr>
          </w:p>
        </w:tc>
        <w:tc>
          <w:tcPr>
            <w:tcW w:w="572" w:type="dxa"/>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108" w:type="dxa"/>
              <w:bottom w:w="0" w:type="dxa"/>
              <w:right w:w="108" w:type="dxa"/>
            </w:tcMar>
            <w:vAlign w:val="center"/>
          </w:tcPr>
          <w:p>
            <w:pPr>
              <w:spacing w:line="360" w:lineRule="auto"/>
              <w:jc w:val="center"/>
              <w:rPr>
                <w:rFonts w:hint="eastAsia" w:ascii="宋体" w:hAnsi="宋体" w:cs="宋体"/>
              </w:rPr>
            </w:pPr>
            <w:r>
              <w:rPr>
                <w:rFonts w:hint="eastAsia" w:ascii="宋体" w:hAnsi="宋体" w:cs="宋体"/>
                <w:b/>
              </w:rPr>
              <w:t>合计</w:t>
            </w:r>
          </w:p>
        </w:tc>
        <w:tc>
          <w:tcPr>
            <w:tcW w:w="672" w:type="dxa"/>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108" w:type="dxa"/>
              <w:bottom w:w="0" w:type="dxa"/>
              <w:right w:w="108" w:type="dxa"/>
            </w:tcMar>
            <w:vAlign w:val="center"/>
          </w:tcPr>
          <w:p>
            <w:pPr>
              <w:spacing w:line="360" w:lineRule="auto"/>
              <w:jc w:val="center"/>
              <w:rPr>
                <w:rFonts w:hint="eastAsia" w:ascii="宋体" w:hAnsi="宋体" w:cs="宋体"/>
              </w:rPr>
            </w:pPr>
            <w:r>
              <w:rPr>
                <w:rFonts w:hint="eastAsia" w:ascii="宋体" w:hAnsi="宋体" w:cs="宋体"/>
                <w:b/>
              </w:rPr>
              <w:t>一般公共预算拨款</w:t>
            </w:r>
          </w:p>
        </w:tc>
        <w:tc>
          <w:tcPr>
            <w:tcW w:w="472" w:type="dxa"/>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108" w:type="dxa"/>
              <w:bottom w:w="0" w:type="dxa"/>
              <w:right w:w="108" w:type="dxa"/>
            </w:tcMar>
            <w:vAlign w:val="center"/>
          </w:tcPr>
          <w:p>
            <w:pPr>
              <w:spacing w:line="360" w:lineRule="auto"/>
              <w:jc w:val="center"/>
              <w:rPr>
                <w:rFonts w:hint="eastAsia" w:ascii="宋体" w:hAnsi="宋体" w:cs="宋体"/>
              </w:rPr>
            </w:pPr>
            <w:r>
              <w:rPr>
                <w:rFonts w:hint="eastAsia" w:ascii="宋体" w:hAnsi="宋体" w:cs="宋体"/>
                <w:b/>
              </w:rPr>
              <w:t>基金预算拨款</w:t>
            </w:r>
          </w:p>
        </w:tc>
        <w:tc>
          <w:tcPr>
            <w:tcW w:w="572" w:type="dxa"/>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108" w:type="dxa"/>
              <w:bottom w:w="0" w:type="dxa"/>
              <w:right w:w="108" w:type="dxa"/>
            </w:tcMar>
            <w:vAlign w:val="center"/>
          </w:tcPr>
          <w:p>
            <w:pPr>
              <w:spacing w:line="360" w:lineRule="auto"/>
              <w:jc w:val="center"/>
              <w:rPr>
                <w:rFonts w:hint="eastAsia" w:ascii="宋体" w:hAnsi="宋体" w:cs="宋体"/>
              </w:rPr>
            </w:pPr>
            <w:r>
              <w:rPr>
                <w:rFonts w:hint="eastAsia" w:ascii="宋体" w:hAnsi="宋体" w:cs="宋体"/>
                <w:b/>
              </w:rPr>
              <w:t>财政专户核拨</w:t>
            </w:r>
          </w:p>
        </w:tc>
        <w:tc>
          <w:tcPr>
            <w:tcW w:w="572" w:type="dxa"/>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108" w:type="dxa"/>
              <w:bottom w:w="0" w:type="dxa"/>
              <w:right w:w="108" w:type="dxa"/>
            </w:tcMar>
            <w:vAlign w:val="center"/>
          </w:tcPr>
          <w:p>
            <w:pPr>
              <w:spacing w:line="360" w:lineRule="auto"/>
              <w:jc w:val="center"/>
              <w:rPr>
                <w:rFonts w:hint="eastAsia" w:ascii="宋体" w:hAnsi="宋体" w:cs="宋体"/>
              </w:rPr>
            </w:pPr>
            <w:r>
              <w:rPr>
                <w:rFonts w:hint="eastAsia" w:ascii="宋体" w:hAnsi="宋体" w:cs="宋体"/>
                <w:b/>
              </w:rPr>
              <w:t>其他来源收入</w:t>
            </w:r>
          </w:p>
        </w:tc>
        <w:tc>
          <w:tcPr>
            <w:tcW w:w="988" w:type="dxa"/>
            <w:vMerge w:val="continue"/>
            <w:tcBorders>
              <w:top w:val="single" w:color="000000" w:sz="6" w:space="0"/>
              <w:left w:val="single" w:color="000000" w:sz="6" w:space="0"/>
              <w:bottom w:val="single" w:color="000000" w:sz="6" w:space="0"/>
              <w:right w:val="single" w:color="000000" w:sz="6" w:space="0"/>
            </w:tcBorders>
            <w:noWrap w:val="0"/>
            <w:vAlign w:val="center"/>
          </w:tcPr>
          <w:p>
            <w:pPr>
              <w:widowControl/>
              <w:jc w:val="left"/>
              <w:rPr>
                <w:rFonts w:ascii="宋体" w:hAnsi="宋体" w:cs="宋体"/>
              </w:rPr>
            </w:pPr>
          </w:p>
        </w:tc>
      </w:tr>
      <w:tr>
        <w:tblPrEx>
          <w:tblCellMar>
            <w:top w:w="0" w:type="dxa"/>
            <w:left w:w="10" w:type="dxa"/>
            <w:bottom w:w="0" w:type="dxa"/>
            <w:right w:w="10" w:type="dxa"/>
          </w:tblCellMar>
        </w:tblPrEx>
        <w:trPr>
          <w:trHeight w:val="550" w:hRule="atLeast"/>
          <w:jc w:val="center"/>
        </w:trPr>
        <w:tc>
          <w:tcPr>
            <w:tcW w:w="745" w:type="dxa"/>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108" w:type="dxa"/>
              <w:bottom w:w="0" w:type="dxa"/>
              <w:right w:w="108" w:type="dxa"/>
            </w:tcMar>
            <w:vAlign w:val="center"/>
          </w:tcPr>
          <w:p>
            <w:pPr>
              <w:spacing w:line="360" w:lineRule="auto"/>
              <w:jc w:val="center"/>
              <w:rPr>
                <w:rFonts w:hint="eastAsia" w:ascii="宋体" w:hAnsi="宋体" w:cs="宋体"/>
                <w:sz w:val="22"/>
              </w:rPr>
            </w:pPr>
            <w:r>
              <w:rPr>
                <w:rFonts w:hint="eastAsia" w:ascii="宋体" w:hAnsi="宋体" w:cs="宋体"/>
                <w:b/>
              </w:rPr>
              <w:t>合计</w:t>
            </w:r>
          </w:p>
        </w:tc>
        <w:tc>
          <w:tcPr>
            <w:tcW w:w="1245" w:type="dxa"/>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108" w:type="dxa"/>
              <w:bottom w:w="0" w:type="dxa"/>
              <w:right w:w="108" w:type="dxa"/>
            </w:tcMar>
            <w:vAlign w:val="center"/>
          </w:tcPr>
          <w:p>
            <w:pPr>
              <w:spacing w:line="360" w:lineRule="auto"/>
              <w:jc w:val="right"/>
              <w:rPr>
                <w:rFonts w:hint="eastAsia" w:ascii="宋体" w:hAnsi="宋体" w:cs="宋体"/>
                <w:sz w:val="22"/>
              </w:rPr>
            </w:pPr>
          </w:p>
        </w:tc>
        <w:tc>
          <w:tcPr>
            <w:tcW w:w="878" w:type="dxa"/>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108" w:type="dxa"/>
              <w:bottom w:w="0" w:type="dxa"/>
              <w:right w:w="108" w:type="dxa"/>
            </w:tcMar>
            <w:vAlign w:val="center"/>
          </w:tcPr>
          <w:p>
            <w:pPr>
              <w:spacing w:line="360" w:lineRule="auto"/>
              <w:jc w:val="left"/>
              <w:rPr>
                <w:rFonts w:hint="eastAsia" w:ascii="宋体" w:hAnsi="宋体" w:cs="宋体"/>
                <w:sz w:val="22"/>
              </w:rPr>
            </w:pPr>
          </w:p>
        </w:tc>
        <w:tc>
          <w:tcPr>
            <w:tcW w:w="637" w:type="dxa"/>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108" w:type="dxa"/>
              <w:bottom w:w="0" w:type="dxa"/>
              <w:right w:w="108" w:type="dxa"/>
            </w:tcMar>
            <w:vAlign w:val="center"/>
          </w:tcPr>
          <w:p>
            <w:pPr>
              <w:spacing w:line="360" w:lineRule="auto"/>
              <w:jc w:val="left"/>
              <w:rPr>
                <w:rFonts w:hint="eastAsia" w:ascii="宋体" w:hAnsi="宋体" w:cs="宋体"/>
                <w:sz w:val="22"/>
              </w:rPr>
            </w:pPr>
          </w:p>
        </w:tc>
        <w:tc>
          <w:tcPr>
            <w:tcW w:w="424" w:type="dxa"/>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108" w:type="dxa"/>
              <w:bottom w:w="0" w:type="dxa"/>
              <w:right w:w="108" w:type="dxa"/>
            </w:tcMar>
            <w:vAlign w:val="center"/>
          </w:tcPr>
          <w:p>
            <w:pPr>
              <w:spacing w:line="360" w:lineRule="auto"/>
              <w:jc w:val="left"/>
              <w:rPr>
                <w:rFonts w:hint="eastAsia" w:ascii="宋体" w:hAnsi="宋体" w:cs="宋体"/>
                <w:sz w:val="22"/>
              </w:rPr>
            </w:pPr>
          </w:p>
        </w:tc>
        <w:tc>
          <w:tcPr>
            <w:tcW w:w="572" w:type="dxa"/>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108" w:type="dxa"/>
              <w:bottom w:w="0" w:type="dxa"/>
              <w:right w:w="108" w:type="dxa"/>
            </w:tcMar>
            <w:vAlign w:val="center"/>
          </w:tcPr>
          <w:p>
            <w:pPr>
              <w:spacing w:line="360" w:lineRule="auto"/>
              <w:jc w:val="right"/>
              <w:rPr>
                <w:rFonts w:hint="eastAsia" w:ascii="宋体" w:hAnsi="宋体" w:cs="宋体"/>
                <w:sz w:val="22"/>
              </w:rPr>
            </w:pPr>
          </w:p>
        </w:tc>
        <w:tc>
          <w:tcPr>
            <w:tcW w:w="578" w:type="dxa"/>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108" w:type="dxa"/>
              <w:bottom w:w="0" w:type="dxa"/>
              <w:right w:w="108" w:type="dxa"/>
            </w:tcMar>
            <w:vAlign w:val="center"/>
          </w:tcPr>
          <w:p>
            <w:pPr>
              <w:spacing w:line="360" w:lineRule="auto"/>
              <w:jc w:val="right"/>
              <w:rPr>
                <w:rFonts w:hint="eastAsia" w:ascii="宋体" w:hAnsi="宋体" w:cs="宋体"/>
                <w:sz w:val="22"/>
              </w:rPr>
            </w:pPr>
          </w:p>
        </w:tc>
        <w:tc>
          <w:tcPr>
            <w:tcW w:w="572" w:type="dxa"/>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108" w:type="dxa"/>
              <w:bottom w:w="0" w:type="dxa"/>
              <w:right w:w="108" w:type="dxa"/>
            </w:tcMar>
            <w:vAlign w:val="center"/>
          </w:tcPr>
          <w:p>
            <w:pPr>
              <w:spacing w:line="360" w:lineRule="auto"/>
              <w:jc w:val="right"/>
              <w:rPr>
                <w:rFonts w:hint="eastAsia" w:ascii="宋体" w:hAnsi="宋体" w:cs="宋体"/>
                <w:sz w:val="22"/>
              </w:rPr>
            </w:pPr>
          </w:p>
        </w:tc>
        <w:tc>
          <w:tcPr>
            <w:tcW w:w="572" w:type="dxa"/>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108" w:type="dxa"/>
              <w:bottom w:w="0" w:type="dxa"/>
              <w:right w:w="108" w:type="dxa"/>
            </w:tcMar>
            <w:vAlign w:val="center"/>
          </w:tcPr>
          <w:p>
            <w:pPr>
              <w:spacing w:line="360" w:lineRule="auto"/>
              <w:jc w:val="right"/>
              <w:rPr>
                <w:rFonts w:hint="eastAsia" w:ascii="宋体" w:hAnsi="宋体" w:cs="宋体"/>
                <w:sz w:val="22"/>
              </w:rPr>
            </w:pPr>
          </w:p>
        </w:tc>
        <w:tc>
          <w:tcPr>
            <w:tcW w:w="672" w:type="dxa"/>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108" w:type="dxa"/>
              <w:bottom w:w="0" w:type="dxa"/>
              <w:right w:w="108" w:type="dxa"/>
            </w:tcMar>
            <w:vAlign w:val="center"/>
          </w:tcPr>
          <w:p>
            <w:pPr>
              <w:spacing w:line="360" w:lineRule="auto"/>
              <w:jc w:val="right"/>
              <w:rPr>
                <w:rFonts w:hint="eastAsia" w:ascii="宋体" w:hAnsi="宋体" w:cs="宋体"/>
                <w:sz w:val="22"/>
              </w:rPr>
            </w:pPr>
          </w:p>
        </w:tc>
        <w:tc>
          <w:tcPr>
            <w:tcW w:w="472" w:type="dxa"/>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108" w:type="dxa"/>
              <w:bottom w:w="0" w:type="dxa"/>
              <w:right w:w="108" w:type="dxa"/>
            </w:tcMar>
            <w:vAlign w:val="center"/>
          </w:tcPr>
          <w:p>
            <w:pPr>
              <w:spacing w:line="360" w:lineRule="auto"/>
              <w:jc w:val="right"/>
              <w:rPr>
                <w:rFonts w:hint="eastAsia" w:ascii="宋体" w:hAnsi="宋体" w:cs="宋体"/>
                <w:sz w:val="22"/>
              </w:rPr>
            </w:pPr>
          </w:p>
        </w:tc>
        <w:tc>
          <w:tcPr>
            <w:tcW w:w="572" w:type="dxa"/>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108" w:type="dxa"/>
              <w:bottom w:w="0" w:type="dxa"/>
              <w:right w:w="108" w:type="dxa"/>
            </w:tcMar>
            <w:vAlign w:val="center"/>
          </w:tcPr>
          <w:p>
            <w:pPr>
              <w:spacing w:line="360" w:lineRule="auto"/>
              <w:jc w:val="right"/>
              <w:rPr>
                <w:rFonts w:hint="eastAsia" w:ascii="宋体" w:hAnsi="宋体" w:cs="宋体"/>
                <w:sz w:val="22"/>
              </w:rPr>
            </w:pPr>
          </w:p>
        </w:tc>
        <w:tc>
          <w:tcPr>
            <w:tcW w:w="572" w:type="dxa"/>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108" w:type="dxa"/>
              <w:bottom w:w="0" w:type="dxa"/>
              <w:right w:w="108" w:type="dxa"/>
            </w:tcMar>
            <w:vAlign w:val="center"/>
          </w:tcPr>
          <w:p>
            <w:pPr>
              <w:spacing w:line="360" w:lineRule="auto"/>
              <w:jc w:val="right"/>
              <w:rPr>
                <w:rFonts w:hint="eastAsia" w:ascii="宋体" w:hAnsi="宋体" w:cs="宋体"/>
                <w:sz w:val="22"/>
              </w:rPr>
            </w:pPr>
          </w:p>
        </w:tc>
        <w:tc>
          <w:tcPr>
            <w:tcW w:w="988" w:type="dxa"/>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108" w:type="dxa"/>
              <w:bottom w:w="0" w:type="dxa"/>
              <w:right w:w="108" w:type="dxa"/>
            </w:tcMar>
            <w:vAlign w:val="center"/>
          </w:tcPr>
          <w:p>
            <w:pPr>
              <w:spacing w:line="360" w:lineRule="auto"/>
              <w:jc w:val="right"/>
              <w:rPr>
                <w:rFonts w:hint="eastAsia" w:ascii="宋体" w:hAnsi="宋体" w:cs="宋体"/>
                <w:sz w:val="22"/>
              </w:rPr>
            </w:pPr>
          </w:p>
        </w:tc>
      </w:tr>
    </w:tbl>
    <w:p>
      <w:pPr>
        <w:ind w:firstLine="630"/>
        <w:outlineLvl w:val="0"/>
        <w:rPr>
          <w:rFonts w:hint="eastAsia" w:ascii="仿宋" w:hAnsi="仿宋" w:eastAsia="仿宋" w:cs="仿宋"/>
          <w:sz w:val="32"/>
          <w:szCs w:val="32"/>
        </w:rPr>
      </w:pPr>
    </w:p>
    <w:p>
      <w:pPr>
        <w:outlineLvl w:val="0"/>
        <w:rPr>
          <w:rFonts w:hint="eastAsia" w:ascii="仿宋" w:hAnsi="仿宋" w:eastAsia="仿宋" w:cs="仿宋"/>
          <w:sz w:val="32"/>
          <w:szCs w:val="32"/>
        </w:rPr>
      </w:pPr>
    </w:p>
    <w:p>
      <w:pPr>
        <w:outlineLvl w:val="0"/>
        <w:rPr>
          <w:rFonts w:hint="eastAsia" w:ascii="仿宋" w:hAnsi="仿宋" w:eastAsia="仿宋" w:cs="仿宋"/>
          <w:sz w:val="32"/>
          <w:szCs w:val="32"/>
        </w:rPr>
      </w:pPr>
    </w:p>
    <w:p>
      <w:pPr>
        <w:outlineLvl w:val="0"/>
        <w:rPr>
          <w:rFonts w:hint="eastAsia" w:ascii="仿宋" w:hAnsi="仿宋" w:eastAsia="仿宋" w:cs="仿宋"/>
          <w:sz w:val="32"/>
          <w:szCs w:val="32"/>
        </w:rPr>
      </w:pPr>
    </w:p>
    <w:p>
      <w:pPr>
        <w:outlineLvl w:val="0"/>
        <w:rPr>
          <w:rFonts w:hint="eastAsia" w:ascii="仿宋" w:hAnsi="仿宋" w:eastAsia="仿宋" w:cs="仿宋"/>
          <w:sz w:val="32"/>
          <w:szCs w:val="32"/>
        </w:rPr>
      </w:pPr>
    </w:p>
    <w:p>
      <w:pPr>
        <w:outlineLvl w:val="0"/>
        <w:rPr>
          <w:rFonts w:hint="eastAsia" w:ascii="仿宋" w:hAnsi="仿宋" w:eastAsia="仿宋" w:cs="仿宋"/>
          <w:sz w:val="32"/>
          <w:szCs w:val="32"/>
        </w:rPr>
      </w:pPr>
    </w:p>
    <w:p>
      <w:pPr>
        <w:outlineLvl w:val="0"/>
        <w:rPr>
          <w:rFonts w:hint="eastAsia" w:ascii="仿宋" w:hAnsi="仿宋" w:eastAsia="仿宋" w:cs="仿宋"/>
          <w:sz w:val="32"/>
          <w:szCs w:val="32"/>
        </w:rPr>
      </w:pPr>
    </w:p>
    <w:p>
      <w:pPr>
        <w:outlineLvl w:val="0"/>
        <w:rPr>
          <w:rFonts w:hint="eastAsia" w:ascii="仿宋" w:hAnsi="仿宋" w:eastAsia="仿宋" w:cs="仿宋"/>
          <w:sz w:val="32"/>
          <w:szCs w:val="32"/>
        </w:rPr>
      </w:pPr>
    </w:p>
    <w:p>
      <w:pPr>
        <w:outlineLvl w:val="0"/>
        <w:rPr>
          <w:rFonts w:hint="eastAsia" w:ascii="仿宋" w:hAnsi="仿宋" w:eastAsia="仿宋" w:cs="仿宋"/>
          <w:sz w:val="32"/>
          <w:szCs w:val="32"/>
        </w:rPr>
      </w:pPr>
    </w:p>
    <w:p>
      <w:pPr>
        <w:outlineLvl w:val="0"/>
        <w:rPr>
          <w:rFonts w:hint="eastAsia" w:ascii="仿宋" w:hAnsi="仿宋" w:eastAsia="仿宋" w:cs="仿宋"/>
          <w:sz w:val="32"/>
          <w:szCs w:val="32"/>
        </w:rPr>
      </w:pPr>
    </w:p>
    <w:p>
      <w:pPr>
        <w:outlineLvl w:val="0"/>
        <w:rPr>
          <w:rFonts w:hint="eastAsia" w:ascii="仿宋" w:hAnsi="仿宋" w:eastAsia="仿宋" w:cs="仿宋"/>
          <w:sz w:val="32"/>
          <w:szCs w:val="32"/>
        </w:rPr>
      </w:pPr>
    </w:p>
    <w:p>
      <w:pPr>
        <w:outlineLvl w:val="0"/>
        <w:rPr>
          <w:rFonts w:hint="eastAsia" w:ascii="仿宋" w:hAnsi="仿宋" w:eastAsia="仿宋" w:cs="仿宋"/>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第七部分：国有资产信息情况说明</w:t>
      </w:r>
    </w:p>
    <w:p>
      <w:pPr>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保定满城区满城镇人民政府2020年末固定资产总金额765.759万元（详见下表）。2021年度无拟购置固定资产情况。</w:t>
      </w:r>
    </w:p>
    <w:p>
      <w:pPr>
        <w:jc w:val="center"/>
        <w:rPr>
          <w:rFonts w:hint="eastAsia" w:ascii="仿宋" w:hAnsi="仿宋" w:eastAsia="仿宋" w:cs="仿宋"/>
          <w:sz w:val="32"/>
          <w:szCs w:val="32"/>
        </w:rPr>
      </w:pPr>
    </w:p>
    <w:tbl>
      <w:tblPr>
        <w:tblStyle w:val="6"/>
        <w:tblW w:w="0" w:type="auto"/>
        <w:tblInd w:w="93" w:type="dxa"/>
        <w:tblLayout w:type="fixed"/>
        <w:tblCellMar>
          <w:top w:w="0" w:type="dxa"/>
          <w:left w:w="108" w:type="dxa"/>
          <w:bottom w:w="0" w:type="dxa"/>
          <w:right w:w="108" w:type="dxa"/>
        </w:tblCellMar>
      </w:tblPr>
      <w:tblGrid>
        <w:gridCol w:w="3811"/>
        <w:gridCol w:w="1591"/>
        <w:gridCol w:w="3402"/>
      </w:tblGrid>
      <w:tr>
        <w:tblPrEx>
          <w:tblCellMar>
            <w:top w:w="0" w:type="dxa"/>
            <w:left w:w="108" w:type="dxa"/>
            <w:bottom w:w="0" w:type="dxa"/>
            <w:right w:w="108" w:type="dxa"/>
          </w:tblCellMar>
        </w:tblPrEx>
        <w:trPr>
          <w:trHeight w:val="675" w:hRule="atLeast"/>
        </w:trPr>
        <w:tc>
          <w:tcPr>
            <w:tcW w:w="8804" w:type="dxa"/>
            <w:gridSpan w:val="3"/>
            <w:noWrap w:val="0"/>
            <w:vAlign w:val="center"/>
          </w:tcPr>
          <w:p>
            <w:pPr>
              <w:widowControl/>
              <w:jc w:val="center"/>
              <w:rPr>
                <w:rFonts w:ascii="宋体" w:hAnsi="宋体" w:cs="宋体"/>
                <w:color w:val="000000"/>
                <w:kern w:val="0"/>
                <w:sz w:val="28"/>
                <w:szCs w:val="28"/>
              </w:rPr>
            </w:pPr>
            <w:r>
              <w:rPr>
                <w:rFonts w:hint="eastAsia" w:ascii="仿宋" w:hAnsi="仿宋" w:eastAsia="仿宋"/>
                <w:sz w:val="32"/>
                <w:szCs w:val="32"/>
              </w:rPr>
              <w:t>满城区满城镇人民政府固定资产占用情况表</w:t>
            </w:r>
          </w:p>
        </w:tc>
      </w:tr>
      <w:tr>
        <w:tblPrEx>
          <w:tblCellMar>
            <w:top w:w="0" w:type="dxa"/>
            <w:left w:w="108" w:type="dxa"/>
            <w:bottom w:w="0" w:type="dxa"/>
            <w:right w:w="108" w:type="dxa"/>
          </w:tblCellMar>
        </w:tblPrEx>
        <w:trPr>
          <w:trHeight w:val="465" w:hRule="atLeast"/>
        </w:trPr>
        <w:tc>
          <w:tcPr>
            <w:tcW w:w="8804" w:type="dxa"/>
            <w:gridSpan w:val="3"/>
            <w:tcBorders>
              <w:top w:val="nil"/>
              <w:left w:val="nil"/>
              <w:bottom w:val="single" w:color="auto" w:sz="4" w:space="0"/>
              <w:right w:val="nil"/>
            </w:tcBorders>
            <w:noWrap w:val="0"/>
            <w:vAlign w:val="center"/>
          </w:tcPr>
          <w:p>
            <w:pPr>
              <w:widowControl/>
              <w:jc w:val="center"/>
              <w:rPr>
                <w:rFonts w:ascii="仿宋_GB2312" w:hAnsi="宋体" w:eastAsia="仿宋_GB2312" w:cs="宋体"/>
                <w:color w:val="000000"/>
                <w:kern w:val="0"/>
                <w:sz w:val="32"/>
                <w:szCs w:val="32"/>
              </w:rPr>
            </w:pPr>
            <w:r>
              <w:rPr>
                <w:rFonts w:hint="eastAsia" w:ascii="仿宋_GB2312" w:hAnsi="宋体" w:eastAsia="仿宋_GB2312" w:cs="宋体"/>
                <w:bCs/>
                <w:color w:val="000000"/>
                <w:kern w:val="0"/>
                <w:sz w:val="32"/>
                <w:szCs w:val="32"/>
              </w:rPr>
              <w:t xml:space="preserve">                          截止时间：2020年12月31日</w:t>
            </w:r>
          </w:p>
        </w:tc>
      </w:tr>
      <w:tr>
        <w:tblPrEx>
          <w:tblCellMar>
            <w:top w:w="0" w:type="dxa"/>
            <w:left w:w="108" w:type="dxa"/>
            <w:bottom w:w="0" w:type="dxa"/>
            <w:right w:w="108" w:type="dxa"/>
          </w:tblCellMar>
        </w:tblPrEx>
        <w:trPr>
          <w:trHeight w:val="750" w:hRule="atLeast"/>
        </w:trPr>
        <w:tc>
          <w:tcPr>
            <w:tcW w:w="381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项　　目</w:t>
            </w:r>
          </w:p>
        </w:tc>
        <w:tc>
          <w:tcPr>
            <w:tcW w:w="1591"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数量</w:t>
            </w:r>
          </w:p>
        </w:tc>
        <w:tc>
          <w:tcPr>
            <w:tcW w:w="3402"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价值（单位：万元）</w:t>
            </w:r>
          </w:p>
        </w:tc>
      </w:tr>
      <w:tr>
        <w:tblPrEx>
          <w:tblCellMar>
            <w:top w:w="0" w:type="dxa"/>
            <w:left w:w="108" w:type="dxa"/>
            <w:bottom w:w="0" w:type="dxa"/>
            <w:right w:w="108" w:type="dxa"/>
          </w:tblCellMar>
        </w:tblPrEx>
        <w:trPr>
          <w:trHeight w:val="495" w:hRule="atLeast"/>
        </w:trPr>
        <w:tc>
          <w:tcPr>
            <w:tcW w:w="381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固定资产总额</w:t>
            </w:r>
          </w:p>
        </w:tc>
        <w:tc>
          <w:tcPr>
            <w:tcW w:w="159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3402" w:type="dxa"/>
            <w:tcBorders>
              <w:top w:val="nil"/>
              <w:left w:val="nil"/>
              <w:bottom w:val="single" w:color="auto" w:sz="4" w:space="0"/>
              <w:right w:val="single" w:color="auto" w:sz="4" w:space="0"/>
            </w:tcBorders>
            <w:noWrap w:val="0"/>
            <w:vAlign w:val="center"/>
          </w:tcPr>
          <w:p>
            <w:pPr>
              <w:widowControl/>
              <w:jc w:val="center"/>
              <w:rPr>
                <w:rFonts w:ascii="宋体" w:hAnsi="宋体" w:cs="宋体"/>
                <w:b/>
                <w:color w:val="000000"/>
                <w:kern w:val="0"/>
                <w:sz w:val="24"/>
                <w:szCs w:val="24"/>
              </w:rPr>
            </w:pPr>
            <w:r>
              <w:rPr>
                <w:rFonts w:hint="eastAsia" w:ascii="宋体" w:hAnsi="宋体" w:cs="宋体"/>
                <w:b/>
                <w:color w:val="000000"/>
                <w:kern w:val="0"/>
                <w:sz w:val="24"/>
                <w:szCs w:val="24"/>
              </w:rPr>
              <w:t>765.759</w:t>
            </w:r>
          </w:p>
        </w:tc>
      </w:tr>
      <w:tr>
        <w:tblPrEx>
          <w:tblCellMar>
            <w:top w:w="0" w:type="dxa"/>
            <w:left w:w="108" w:type="dxa"/>
            <w:bottom w:w="0" w:type="dxa"/>
            <w:right w:w="108" w:type="dxa"/>
          </w:tblCellMar>
        </w:tblPrEx>
        <w:trPr>
          <w:trHeight w:val="483" w:hRule="atLeast"/>
        </w:trPr>
        <w:tc>
          <w:tcPr>
            <w:tcW w:w="3811"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1、房屋（平方米）</w:t>
            </w:r>
          </w:p>
        </w:tc>
        <w:tc>
          <w:tcPr>
            <w:tcW w:w="159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4242</w:t>
            </w:r>
          </w:p>
        </w:tc>
        <w:tc>
          <w:tcPr>
            <w:tcW w:w="340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700.3275</w:t>
            </w:r>
          </w:p>
        </w:tc>
      </w:tr>
      <w:tr>
        <w:tblPrEx>
          <w:tblCellMar>
            <w:top w:w="0" w:type="dxa"/>
            <w:left w:w="108" w:type="dxa"/>
            <w:bottom w:w="0" w:type="dxa"/>
            <w:right w:w="108" w:type="dxa"/>
          </w:tblCellMar>
        </w:tblPrEx>
        <w:trPr>
          <w:trHeight w:val="419" w:hRule="atLeast"/>
        </w:trPr>
        <w:tc>
          <w:tcPr>
            <w:tcW w:w="3811"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color w:val="000000"/>
                <w:kern w:val="0"/>
                <w:sz w:val="24"/>
                <w:szCs w:val="24"/>
              </w:rPr>
            </w:pPr>
            <w:r>
              <w:rPr>
                <w:rFonts w:hint="eastAsia" w:ascii="宋体" w:hAnsi="宋体" w:cs="宋体"/>
                <w:color w:val="000000"/>
                <w:kern w:val="0"/>
                <w:sz w:val="24"/>
                <w:szCs w:val="24"/>
              </w:rPr>
              <w:t xml:space="preserve">   其中：办公用房（平方米）</w:t>
            </w:r>
          </w:p>
        </w:tc>
        <w:tc>
          <w:tcPr>
            <w:tcW w:w="1591"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000000"/>
                <w:kern w:val="0"/>
                <w:sz w:val="24"/>
                <w:szCs w:val="24"/>
              </w:rPr>
            </w:pPr>
            <w:r>
              <w:rPr>
                <w:rFonts w:hint="eastAsia" w:ascii="宋体" w:hAnsi="宋体" w:cs="宋体"/>
                <w:color w:val="000000"/>
                <w:kern w:val="0"/>
                <w:sz w:val="24"/>
                <w:szCs w:val="24"/>
              </w:rPr>
              <w:t>4242</w:t>
            </w:r>
          </w:p>
        </w:tc>
        <w:tc>
          <w:tcPr>
            <w:tcW w:w="340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000000"/>
                <w:kern w:val="0"/>
                <w:sz w:val="24"/>
                <w:szCs w:val="24"/>
              </w:rPr>
            </w:pPr>
            <w:r>
              <w:rPr>
                <w:rFonts w:hint="eastAsia" w:ascii="宋体" w:hAnsi="宋体" w:cs="宋体"/>
                <w:color w:val="000000"/>
                <w:kern w:val="0"/>
                <w:sz w:val="24"/>
                <w:szCs w:val="24"/>
              </w:rPr>
              <w:t>700.3275</w:t>
            </w:r>
          </w:p>
        </w:tc>
      </w:tr>
      <w:tr>
        <w:tblPrEx>
          <w:tblCellMar>
            <w:top w:w="0" w:type="dxa"/>
            <w:left w:w="108" w:type="dxa"/>
            <w:bottom w:w="0" w:type="dxa"/>
            <w:right w:w="108" w:type="dxa"/>
          </w:tblCellMar>
        </w:tblPrEx>
        <w:trPr>
          <w:trHeight w:val="495" w:hRule="atLeast"/>
        </w:trPr>
        <w:tc>
          <w:tcPr>
            <w:tcW w:w="3811"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2、车辆（台、辆）</w:t>
            </w:r>
          </w:p>
        </w:tc>
        <w:tc>
          <w:tcPr>
            <w:tcW w:w="159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w:t>
            </w:r>
          </w:p>
        </w:tc>
        <w:tc>
          <w:tcPr>
            <w:tcW w:w="340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14.78</w:t>
            </w:r>
          </w:p>
        </w:tc>
      </w:tr>
      <w:tr>
        <w:tblPrEx>
          <w:tblCellMar>
            <w:top w:w="0" w:type="dxa"/>
            <w:left w:w="108" w:type="dxa"/>
            <w:bottom w:w="0" w:type="dxa"/>
            <w:right w:w="108" w:type="dxa"/>
          </w:tblCellMar>
        </w:tblPrEx>
        <w:trPr>
          <w:trHeight w:val="611" w:hRule="atLeast"/>
        </w:trPr>
        <w:tc>
          <w:tcPr>
            <w:tcW w:w="3811"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3、单价在20万元以上的设备</w:t>
            </w:r>
          </w:p>
        </w:tc>
        <w:tc>
          <w:tcPr>
            <w:tcW w:w="159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340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0.00</w:t>
            </w:r>
          </w:p>
        </w:tc>
      </w:tr>
      <w:tr>
        <w:tblPrEx>
          <w:tblCellMar>
            <w:top w:w="0" w:type="dxa"/>
            <w:left w:w="108" w:type="dxa"/>
            <w:bottom w:w="0" w:type="dxa"/>
            <w:right w:w="108" w:type="dxa"/>
          </w:tblCellMar>
        </w:tblPrEx>
        <w:trPr>
          <w:trHeight w:val="432" w:hRule="atLeast"/>
        </w:trPr>
        <w:tc>
          <w:tcPr>
            <w:tcW w:w="3811"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color w:val="000000"/>
                <w:kern w:val="0"/>
                <w:sz w:val="24"/>
                <w:szCs w:val="24"/>
              </w:rPr>
            </w:pPr>
            <w:r>
              <w:rPr>
                <w:rFonts w:hint="eastAsia" w:ascii="宋体" w:hAnsi="宋体" w:cs="宋体"/>
                <w:color w:val="000000"/>
                <w:kern w:val="0"/>
                <w:sz w:val="24"/>
                <w:szCs w:val="24"/>
              </w:rPr>
              <w:t xml:space="preserve">  4、其他固定资产</w:t>
            </w:r>
          </w:p>
        </w:tc>
        <w:tc>
          <w:tcPr>
            <w:tcW w:w="1591"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3402"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kern w:val="0"/>
                <w:sz w:val="24"/>
                <w:szCs w:val="24"/>
              </w:rPr>
            </w:pPr>
            <w:r>
              <w:rPr>
                <w:rFonts w:hint="eastAsia" w:ascii="宋体" w:hAnsi="宋体" w:cs="宋体"/>
                <w:color w:val="000000"/>
                <w:kern w:val="0"/>
                <w:sz w:val="24"/>
                <w:szCs w:val="24"/>
              </w:rPr>
              <w:t>50.6515</w:t>
            </w:r>
          </w:p>
        </w:tc>
      </w:tr>
    </w:tbl>
    <w:p>
      <w:pPr>
        <w:spacing w:line="520" w:lineRule="exact"/>
        <w:ind w:firstLine="640" w:firstLineChars="200"/>
        <w:rPr>
          <w:rFonts w:hint="eastAsia" w:ascii="仿宋" w:hAnsi="仿宋" w:eastAsia="仿宋" w:cs="仿宋"/>
          <w:sz w:val="32"/>
          <w:szCs w:val="32"/>
        </w:rPr>
      </w:pPr>
    </w:p>
    <w:p>
      <w:pPr>
        <w:spacing w:line="500" w:lineRule="exact"/>
        <w:jc w:val="center"/>
        <w:outlineLvl w:val="0"/>
        <w:rPr>
          <w:rFonts w:ascii="黑体" w:hAnsi="黑体" w:eastAsia="黑体"/>
          <w:sz w:val="32"/>
          <w:szCs w:val="32"/>
        </w:rPr>
      </w:pPr>
      <w:r>
        <w:rPr>
          <w:rFonts w:hint="eastAsia" w:ascii="黑体" w:hAnsi="黑体" w:eastAsia="黑体"/>
          <w:sz w:val="32"/>
          <w:szCs w:val="32"/>
        </w:rPr>
        <w:t>第八部分：名词解释</w:t>
      </w:r>
    </w:p>
    <w:p>
      <w:pPr>
        <w:spacing w:line="500" w:lineRule="exact"/>
        <w:ind w:firstLine="640" w:firstLineChars="200"/>
        <w:jc w:val="left"/>
        <w:outlineLvl w:val="0"/>
        <w:rPr>
          <w:rFonts w:ascii="仿宋" w:hAnsi="仿宋" w:eastAsia="仿宋"/>
          <w:sz w:val="32"/>
          <w:szCs w:val="32"/>
        </w:rPr>
      </w:pPr>
      <w:r>
        <w:rPr>
          <w:rFonts w:hint="eastAsia" w:ascii="仿宋" w:hAnsi="仿宋" w:eastAsia="仿宋"/>
          <w:sz w:val="32"/>
          <w:szCs w:val="32"/>
        </w:rPr>
        <w:t>1、一般公共预算拨款收入：指区级财政当年拨付的资金。</w:t>
      </w:r>
    </w:p>
    <w:p>
      <w:pPr>
        <w:spacing w:line="500" w:lineRule="exact"/>
        <w:ind w:firstLine="640" w:firstLineChars="200"/>
        <w:jc w:val="left"/>
        <w:outlineLvl w:val="0"/>
        <w:rPr>
          <w:rFonts w:ascii="仿宋" w:hAnsi="仿宋" w:eastAsia="仿宋"/>
          <w:sz w:val="32"/>
          <w:szCs w:val="32"/>
        </w:rPr>
      </w:pPr>
      <w:r>
        <w:rPr>
          <w:rFonts w:hint="eastAsia" w:ascii="仿宋" w:hAnsi="仿宋" w:eastAsia="仿宋"/>
          <w:sz w:val="32"/>
          <w:szCs w:val="32"/>
        </w:rPr>
        <w:t>2、其他收入：指除上述“财政拨款收入”、“事业收入”等以外的收入。</w:t>
      </w:r>
    </w:p>
    <w:p>
      <w:pPr>
        <w:spacing w:line="500" w:lineRule="exact"/>
        <w:ind w:firstLine="640" w:firstLineChars="200"/>
        <w:jc w:val="left"/>
        <w:outlineLvl w:val="0"/>
        <w:rPr>
          <w:rFonts w:ascii="仿宋" w:hAnsi="仿宋" w:eastAsia="仿宋"/>
          <w:sz w:val="32"/>
          <w:szCs w:val="32"/>
        </w:rPr>
      </w:pPr>
      <w:r>
        <w:rPr>
          <w:rFonts w:hint="eastAsia" w:ascii="仿宋" w:hAnsi="仿宋" w:eastAsia="仿宋"/>
          <w:sz w:val="32"/>
          <w:szCs w:val="32"/>
        </w:rPr>
        <w:t>3、基本支出：指为保障机构正常运转、完成日常工作任务而发生的人员支出和公用支出。</w:t>
      </w:r>
    </w:p>
    <w:p>
      <w:pPr>
        <w:spacing w:line="500" w:lineRule="exact"/>
        <w:ind w:firstLine="640" w:firstLineChars="200"/>
        <w:jc w:val="left"/>
        <w:outlineLvl w:val="0"/>
        <w:rPr>
          <w:rFonts w:ascii="仿宋" w:hAnsi="仿宋" w:eastAsia="仿宋"/>
          <w:sz w:val="32"/>
          <w:szCs w:val="32"/>
        </w:rPr>
      </w:pPr>
      <w:r>
        <w:rPr>
          <w:rFonts w:hint="eastAsia" w:ascii="仿宋" w:hAnsi="仿宋" w:eastAsia="仿宋"/>
          <w:sz w:val="32"/>
          <w:szCs w:val="32"/>
        </w:rPr>
        <w:t>4、项目支出：指在基本支出之外为完成特定行政任务和事业发展目标所发生的支出。</w:t>
      </w:r>
    </w:p>
    <w:p>
      <w:pPr>
        <w:spacing w:line="500" w:lineRule="exact"/>
        <w:ind w:firstLine="640" w:firstLineChars="200"/>
        <w:jc w:val="left"/>
        <w:outlineLvl w:val="0"/>
        <w:rPr>
          <w:rFonts w:ascii="仿宋" w:hAnsi="仿宋" w:eastAsia="仿宋"/>
          <w:sz w:val="32"/>
          <w:szCs w:val="32"/>
        </w:rPr>
      </w:pPr>
      <w:r>
        <w:rPr>
          <w:rFonts w:hint="eastAsia" w:ascii="仿宋" w:hAnsi="仿宋" w:eastAsia="仿宋"/>
          <w:sz w:val="32"/>
          <w:szCs w:val="32"/>
        </w:rPr>
        <w:t>5、“三公”经费：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803" w:firstLineChars="250"/>
        <w:rPr>
          <w:rFonts w:ascii="仿宋" w:hAnsi="仿宋" w:eastAsia="仿宋"/>
          <w:sz w:val="32"/>
          <w:szCs w:val="32"/>
        </w:rPr>
      </w:pPr>
      <w:r>
        <w:rPr>
          <w:rFonts w:hint="eastAsia" w:ascii="仿宋_GB2312" w:hAnsi="仿宋" w:eastAsia="仿宋_GB2312"/>
          <w:b/>
          <w:sz w:val="32"/>
          <w:szCs w:val="32"/>
        </w:rPr>
        <w:t>6、机关运行费：</w:t>
      </w:r>
      <w:r>
        <w:rPr>
          <w:rFonts w:hint="eastAsia" w:ascii="仿宋" w:hAnsi="仿宋" w:eastAsia="仿宋"/>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803" w:firstLineChars="250"/>
        <w:rPr>
          <w:rFonts w:hint="eastAsia" w:ascii="仿宋" w:hAnsi="仿宋" w:eastAsia="仿宋"/>
          <w:sz w:val="32"/>
          <w:szCs w:val="32"/>
        </w:rPr>
      </w:pPr>
      <w:r>
        <w:rPr>
          <w:rFonts w:hint="eastAsia" w:ascii="仿宋_GB2312" w:hAnsi="仿宋" w:eastAsia="仿宋_GB2312"/>
          <w:b/>
          <w:sz w:val="32"/>
          <w:szCs w:val="32"/>
        </w:rPr>
        <w:t>7、公务费：</w:t>
      </w:r>
      <w:r>
        <w:rPr>
          <w:rFonts w:hint="eastAsia" w:ascii="仿宋" w:hAnsi="仿宋" w:eastAsia="仿宋"/>
          <w:sz w:val="32"/>
          <w:szCs w:val="32"/>
        </w:rPr>
        <w:t>包括办公费、水电费、邮电费、取暖费、交通费、一般会议费和物业管理费之和。</w:t>
      </w:r>
    </w:p>
    <w:p>
      <w:pPr>
        <w:spacing w:line="500" w:lineRule="exact"/>
        <w:jc w:val="center"/>
        <w:outlineLvl w:val="0"/>
        <w:rPr>
          <w:rFonts w:ascii="黑体" w:hAnsi="黑体" w:eastAsia="黑体"/>
          <w:sz w:val="32"/>
          <w:szCs w:val="32"/>
        </w:rPr>
      </w:pPr>
      <w:r>
        <w:rPr>
          <w:rFonts w:hint="eastAsia" w:ascii="黑体" w:hAnsi="黑体" w:eastAsia="黑体"/>
          <w:sz w:val="32"/>
          <w:szCs w:val="32"/>
        </w:rPr>
        <w:t>第九部分：其他需说明的事项</w:t>
      </w:r>
    </w:p>
    <w:p>
      <w:pPr>
        <w:spacing w:line="500" w:lineRule="exact"/>
        <w:ind w:firstLine="1264" w:firstLineChars="395"/>
        <w:jc w:val="left"/>
        <w:outlineLvl w:val="0"/>
        <w:rPr>
          <w:rFonts w:hint="eastAsia" w:ascii="仿宋" w:hAnsi="仿宋" w:eastAsia="仿宋"/>
          <w:sz w:val="32"/>
          <w:szCs w:val="32"/>
        </w:rPr>
      </w:pPr>
    </w:p>
    <w:p>
      <w:pPr>
        <w:spacing w:line="500" w:lineRule="exact"/>
        <w:ind w:firstLine="640" w:firstLineChars="200"/>
        <w:jc w:val="left"/>
        <w:outlineLvl w:val="0"/>
        <w:rPr>
          <w:rFonts w:hint="eastAsia" w:ascii="仿宋_GB2312" w:hAnsi="黑体" w:eastAsia="仿宋_GB2312"/>
          <w:sz w:val="32"/>
          <w:szCs w:val="32"/>
        </w:rPr>
      </w:pPr>
      <w:r>
        <w:rPr>
          <w:rFonts w:hint="eastAsia" w:ascii="仿宋_GB2312" w:hAnsi="仿宋" w:eastAsia="仿宋_GB2312"/>
          <w:sz w:val="32"/>
          <w:szCs w:val="32"/>
        </w:rPr>
        <w:t>无其他需说明的事项。</w:t>
      </w:r>
    </w:p>
    <w:p>
      <w:pPr>
        <w:ind w:firstLine="640" w:firstLineChars="200"/>
        <w:rPr>
          <w:rFonts w:hint="eastAsia" w:ascii="仿宋" w:hAnsi="仿宋" w:eastAsia="仿宋" w:cs="仿宋"/>
          <w:sz w:val="32"/>
          <w:szCs w:val="32"/>
        </w:rPr>
      </w:pPr>
    </w:p>
    <w:p>
      <w:pPr>
        <w:spacing w:line="480" w:lineRule="auto"/>
        <w:ind w:firstLine="648"/>
        <w:rPr>
          <w:rFonts w:hint="eastAsia" w:ascii="仿宋" w:hAnsi="仿宋" w:eastAsia="仿宋" w:cs="仿宋"/>
          <w:sz w:val="32"/>
          <w:szCs w:val="32"/>
        </w:rPr>
      </w:pPr>
    </w:p>
    <w:sectPr>
      <w:pgSz w:w="11907" w:h="16839"/>
      <w:pgMar w:top="1020" w:right="1134" w:bottom="102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altName w:val="宋体"/>
    <w:panose1 w:val="00000000000000000000"/>
    <w:charset w:val="86"/>
    <w:family w:val="roman"/>
    <w:pitch w:val="default"/>
    <w:sig w:usb0="00000000" w:usb1="00000000" w:usb2="00000000" w:usb3="00000000" w:csb0="00040001" w:csb1="00000000"/>
  </w:font>
  <w:font w:name="方正书宋_GBK">
    <w:altName w:val="微软雅黑"/>
    <w:panose1 w:val="03000509000000000000"/>
    <w:charset w:val="86"/>
    <w:family w:val="script"/>
    <w:pitch w:val="default"/>
    <w:sig w:usb0="00000000" w:usb1="00000000" w:usb2="00000010" w:usb3="00000000" w:csb0="00040000" w:csb1="00000000"/>
  </w:font>
  <w:font w:name="方正小标宋_GBK">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yNGJkMzU1N2I4ZTNkOTFkYzNiOTFhMmRkMmMyZjQifQ=="/>
  </w:docVars>
  <w:rsids>
    <w:rsidRoot w:val="003150AA"/>
    <w:rsid w:val="00004066"/>
    <w:rsid w:val="000349B3"/>
    <w:rsid w:val="0006017B"/>
    <w:rsid w:val="0006563E"/>
    <w:rsid w:val="0007750C"/>
    <w:rsid w:val="00094454"/>
    <w:rsid w:val="000A4356"/>
    <w:rsid w:val="000E02C2"/>
    <w:rsid w:val="00130820"/>
    <w:rsid w:val="00134689"/>
    <w:rsid w:val="001717D5"/>
    <w:rsid w:val="001968F2"/>
    <w:rsid w:val="001D7AE2"/>
    <w:rsid w:val="00227FD9"/>
    <w:rsid w:val="002361FC"/>
    <w:rsid w:val="002520C8"/>
    <w:rsid w:val="00261BF9"/>
    <w:rsid w:val="002903A3"/>
    <w:rsid w:val="002B0969"/>
    <w:rsid w:val="002C3007"/>
    <w:rsid w:val="002D4C52"/>
    <w:rsid w:val="002E1008"/>
    <w:rsid w:val="002E2A5F"/>
    <w:rsid w:val="002E5735"/>
    <w:rsid w:val="002F182F"/>
    <w:rsid w:val="00301073"/>
    <w:rsid w:val="003150AA"/>
    <w:rsid w:val="00355E89"/>
    <w:rsid w:val="00374CE1"/>
    <w:rsid w:val="00383D4A"/>
    <w:rsid w:val="003E39B6"/>
    <w:rsid w:val="004056AE"/>
    <w:rsid w:val="00417DCD"/>
    <w:rsid w:val="0042070B"/>
    <w:rsid w:val="004C3B64"/>
    <w:rsid w:val="004E2235"/>
    <w:rsid w:val="00520A57"/>
    <w:rsid w:val="0055334D"/>
    <w:rsid w:val="0056532D"/>
    <w:rsid w:val="005E0BCB"/>
    <w:rsid w:val="00601DA3"/>
    <w:rsid w:val="00620E1B"/>
    <w:rsid w:val="00627C94"/>
    <w:rsid w:val="00647F8A"/>
    <w:rsid w:val="0067685B"/>
    <w:rsid w:val="00677C41"/>
    <w:rsid w:val="006B541F"/>
    <w:rsid w:val="00713107"/>
    <w:rsid w:val="00754482"/>
    <w:rsid w:val="0079285B"/>
    <w:rsid w:val="007C5526"/>
    <w:rsid w:val="007C5CD0"/>
    <w:rsid w:val="007F5B6D"/>
    <w:rsid w:val="00803FF1"/>
    <w:rsid w:val="00820364"/>
    <w:rsid w:val="00862104"/>
    <w:rsid w:val="008B44E1"/>
    <w:rsid w:val="008E4C09"/>
    <w:rsid w:val="008F3829"/>
    <w:rsid w:val="0090367E"/>
    <w:rsid w:val="00946548"/>
    <w:rsid w:val="009A4836"/>
    <w:rsid w:val="009C5874"/>
    <w:rsid w:val="009F009E"/>
    <w:rsid w:val="00A31DEB"/>
    <w:rsid w:val="00A556CB"/>
    <w:rsid w:val="00A636DD"/>
    <w:rsid w:val="00AC7790"/>
    <w:rsid w:val="00B63BFE"/>
    <w:rsid w:val="00B87605"/>
    <w:rsid w:val="00BC7335"/>
    <w:rsid w:val="00BE1A14"/>
    <w:rsid w:val="00BE2DEF"/>
    <w:rsid w:val="00BE6B32"/>
    <w:rsid w:val="00C10CFA"/>
    <w:rsid w:val="00C2776B"/>
    <w:rsid w:val="00C325FA"/>
    <w:rsid w:val="00C615C4"/>
    <w:rsid w:val="00CA4D0A"/>
    <w:rsid w:val="00CD1594"/>
    <w:rsid w:val="00CE5E8C"/>
    <w:rsid w:val="00D02C21"/>
    <w:rsid w:val="00D218B0"/>
    <w:rsid w:val="00D22D3A"/>
    <w:rsid w:val="00D23A9F"/>
    <w:rsid w:val="00D23F10"/>
    <w:rsid w:val="00D30A37"/>
    <w:rsid w:val="00D30F2C"/>
    <w:rsid w:val="00D62FDC"/>
    <w:rsid w:val="00D82934"/>
    <w:rsid w:val="00E44728"/>
    <w:rsid w:val="00E464FB"/>
    <w:rsid w:val="00E8635B"/>
    <w:rsid w:val="00E97DF2"/>
    <w:rsid w:val="00EB63AC"/>
    <w:rsid w:val="00EB76B8"/>
    <w:rsid w:val="00EC183B"/>
    <w:rsid w:val="00F06A8A"/>
    <w:rsid w:val="00F906F9"/>
    <w:rsid w:val="00FE0BBF"/>
    <w:rsid w:val="00FE355A"/>
    <w:rsid w:val="00FF33AA"/>
    <w:rsid w:val="04F37ACB"/>
    <w:rsid w:val="05A646C4"/>
    <w:rsid w:val="08FA45C5"/>
    <w:rsid w:val="09B752D6"/>
    <w:rsid w:val="0F1157C7"/>
    <w:rsid w:val="181A6AAE"/>
    <w:rsid w:val="193C10CE"/>
    <w:rsid w:val="1A44639D"/>
    <w:rsid w:val="1AB25FCD"/>
    <w:rsid w:val="1B524DDD"/>
    <w:rsid w:val="1D56406D"/>
    <w:rsid w:val="1EA57235"/>
    <w:rsid w:val="1F424D45"/>
    <w:rsid w:val="26ED72F0"/>
    <w:rsid w:val="284F5B7B"/>
    <w:rsid w:val="29CD679A"/>
    <w:rsid w:val="2A132992"/>
    <w:rsid w:val="2A79302F"/>
    <w:rsid w:val="2D8A19F2"/>
    <w:rsid w:val="301A1A04"/>
    <w:rsid w:val="3432503B"/>
    <w:rsid w:val="344D3D55"/>
    <w:rsid w:val="36631656"/>
    <w:rsid w:val="36A622C1"/>
    <w:rsid w:val="3E935DDA"/>
    <w:rsid w:val="464852A7"/>
    <w:rsid w:val="4AAF52E9"/>
    <w:rsid w:val="51D66CBC"/>
    <w:rsid w:val="5B221AFD"/>
    <w:rsid w:val="5E8F74C3"/>
    <w:rsid w:val="5EAA6580"/>
    <w:rsid w:val="606419ED"/>
    <w:rsid w:val="6088728A"/>
    <w:rsid w:val="618322D7"/>
    <w:rsid w:val="65125609"/>
    <w:rsid w:val="6AF62F7B"/>
    <w:rsid w:val="6FD8615D"/>
    <w:rsid w:val="70E7526D"/>
    <w:rsid w:val="7101188A"/>
    <w:rsid w:val="711A4036"/>
    <w:rsid w:val="72FA77F8"/>
    <w:rsid w:val="73BD7917"/>
    <w:rsid w:val="75A20B17"/>
    <w:rsid w:val="7AD07FBA"/>
    <w:rsid w:val="7CED55D8"/>
    <w:rsid w:val="7F063E5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unhideWhenUsed/>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unhideWhenUsed/>
    <w:uiPriority w:val="39"/>
  </w:style>
  <w:style w:type="paragraph" w:styleId="5">
    <w:name w:val="toc 2"/>
    <w:basedOn w:val="1"/>
    <w:next w:val="1"/>
    <w:unhideWhenUsed/>
    <w:uiPriority w:val="39"/>
    <w:pPr>
      <w:ind w:left="420" w:leftChars="200"/>
    </w:pPr>
  </w:style>
  <w:style w:type="table" w:styleId="7">
    <w:name w:val="Table Grid"/>
    <w:basedOn w:val="6"/>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脚 Char"/>
    <w:link w:val="2"/>
    <w:semiHidden/>
    <w:uiPriority w:val="99"/>
    <w:rPr>
      <w:kern w:val="2"/>
      <w:sz w:val="18"/>
      <w:szCs w:val="18"/>
    </w:rPr>
  </w:style>
  <w:style w:type="character" w:customStyle="1" w:styleId="10">
    <w:name w:val="页眉 Char"/>
    <w:link w:val="3"/>
    <w:semiHidden/>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30</Pages>
  <Words>12315</Words>
  <Characters>13545</Characters>
  <Lines>115</Lines>
  <Paragraphs>32</Paragraphs>
  <TotalTime>9</TotalTime>
  <ScaleCrop>false</ScaleCrop>
  <LinksUpToDate>false</LinksUpToDate>
  <CharactersWithSpaces>13610</CharactersWithSpaces>
  <Application>WPS Office_12.1.0.16910_F1E327BC-269C-435d-A152-05C5408002CA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2021-08-17T07:13:00Z</dcterms:created>
  <dc:creator>赵江龙</dc:creator>
  <cp:lastModifiedBy>Administrator</cp:lastModifiedBy>
  <dcterms:modified xsi:type="dcterms:W3CDTF">2024-07-05T01:31:28Z</dcterms:modified>
  <dc:title>中共保定市纪律检查委员会</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DA36C7F3E4844382A646CA4869CDA1B4_13</vt:lpwstr>
  </property>
</Properties>
</file>