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FE" w:rsidRDefault="009C35FE">
      <w:pPr>
        <w:spacing w:line="600" w:lineRule="exact"/>
        <w:jc w:val="center"/>
        <w:rPr>
          <w:rFonts w:ascii="方正小标宋简体" w:eastAsia="方正小标宋简体" w:hAnsi="方正小标宋简体" w:cs="方正小标宋简体"/>
          <w:sz w:val="44"/>
          <w:szCs w:val="44"/>
        </w:rPr>
      </w:pPr>
    </w:p>
    <w:p w:rsidR="009C35FE" w:rsidRDefault="00F71DB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农村宅基地房地一体确权登记中继承、转移等情况进行登记的操作规范</w:t>
      </w:r>
    </w:p>
    <w:p w:rsidR="009C35FE" w:rsidRDefault="009C35FE">
      <w:pPr>
        <w:spacing w:line="600" w:lineRule="exact"/>
        <w:jc w:val="center"/>
        <w:rPr>
          <w:rFonts w:ascii="方正小标宋简体" w:eastAsia="方正小标宋简体" w:hAnsi="方正小标宋简体" w:cs="方正小标宋简体"/>
          <w:sz w:val="44"/>
          <w:szCs w:val="44"/>
        </w:rPr>
      </w:pPr>
    </w:p>
    <w:p w:rsidR="009C35FE" w:rsidRDefault="00F71DB3">
      <w:pPr>
        <w:spacing w:line="600" w:lineRule="exact"/>
        <w:ind w:firstLineChars="200" w:firstLine="608"/>
        <w:jc w:val="left"/>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由乡</w:t>
      </w:r>
      <w:r>
        <w:rPr>
          <w:rFonts w:ascii="楷体_GB2312" w:eastAsia="楷体_GB2312" w:hAnsi="楷体_GB2312" w:cs="楷体_GB2312" w:hint="eastAsia"/>
          <w:spacing w:val="-8"/>
          <w:sz w:val="32"/>
          <w:szCs w:val="32"/>
        </w:rPr>
        <w:t>（镇）</w:t>
      </w:r>
      <w:r>
        <w:rPr>
          <w:rFonts w:ascii="仿宋_GB2312" w:eastAsia="仿宋_GB2312" w:hAnsi="仿宋_GB2312" w:cs="仿宋_GB2312" w:hint="eastAsia"/>
          <w:spacing w:val="-8"/>
          <w:sz w:val="32"/>
          <w:szCs w:val="32"/>
        </w:rPr>
        <w:t>政府包村干部、土地管理人员、村支部书记以及村民代表等相关人员组成鉴定工作小组，在查清继承、转移、互换基本情况后，在鉴定工作小组的见证下组织相关人员签订相关协议并出具相关证明材料，证明材料需加盖村乡</w:t>
      </w:r>
      <w:r>
        <w:rPr>
          <w:rFonts w:ascii="楷体_GB2312" w:eastAsia="楷体_GB2312" w:hAnsi="楷体_GB2312" w:cs="楷体_GB2312" w:hint="eastAsia"/>
          <w:spacing w:val="-8"/>
          <w:sz w:val="32"/>
          <w:szCs w:val="32"/>
        </w:rPr>
        <w:t>（镇）</w:t>
      </w:r>
      <w:r>
        <w:rPr>
          <w:rFonts w:ascii="仿宋_GB2312" w:eastAsia="仿宋_GB2312" w:hAnsi="仿宋_GB2312" w:cs="仿宋_GB2312" w:hint="eastAsia"/>
          <w:spacing w:val="-8"/>
          <w:sz w:val="32"/>
          <w:szCs w:val="32"/>
        </w:rPr>
        <w:t>两级公章。</w:t>
      </w:r>
    </w:p>
    <w:p w:rsidR="009C35FE" w:rsidRDefault="00F71DB3">
      <w:pPr>
        <w:spacing w:line="600" w:lineRule="exact"/>
        <w:ind w:firstLineChars="200" w:firstLine="608"/>
        <w:jc w:val="left"/>
        <w:rPr>
          <w:rFonts w:ascii="黑体" w:eastAsia="黑体" w:hAnsi="黑体"/>
          <w:spacing w:val="-8"/>
          <w:sz w:val="32"/>
          <w:szCs w:val="32"/>
        </w:rPr>
      </w:pPr>
      <w:r>
        <w:rPr>
          <w:rFonts w:ascii="黑体" w:eastAsia="黑体" w:hAnsi="黑体" w:hint="eastAsia"/>
          <w:spacing w:val="-8"/>
          <w:sz w:val="32"/>
          <w:szCs w:val="32"/>
        </w:rPr>
        <w:t>一、继承类</w:t>
      </w:r>
    </w:p>
    <w:p w:rsidR="009C35FE" w:rsidRDefault="00F71DB3">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1.在户内有成员死亡而农户存续的情况下，不发生宅基地继承问题。农户消亡时，权利主体不再存在，宅基地使用权灭失，被继承人的房屋作为其遗产由继承人继承；</w:t>
      </w:r>
    </w:p>
    <w:p w:rsidR="009C35FE" w:rsidRDefault="00F71DB3">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2.所有第一顺序继承人在鉴定工作小组的见证下现场签署继承协议书及相关证明；</w:t>
      </w:r>
    </w:p>
    <w:p w:rsidR="009C35FE" w:rsidRDefault="00F71DB3">
      <w:pPr>
        <w:spacing w:line="600" w:lineRule="exact"/>
        <w:ind w:firstLineChars="200" w:firstLine="608"/>
        <w:jc w:val="left"/>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3.放弃继承人签署放弃继承声明书，放弃继承人无法到现场的，提供放弃继承权公证书；</w:t>
      </w:r>
    </w:p>
    <w:p w:rsidR="009C35FE" w:rsidRDefault="00F71DB3">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4.继承人已死亡的，代位继承人或转继承人可参照上述规定提供材料；</w:t>
      </w:r>
    </w:p>
    <w:p w:rsidR="009C35FE" w:rsidRDefault="00F71DB3">
      <w:pPr>
        <w:spacing w:line="600" w:lineRule="exact"/>
        <w:ind w:firstLineChars="200" w:firstLine="608"/>
        <w:rPr>
          <w:rFonts w:ascii="仿宋_GB2312" w:eastAsia="仿宋_GB2312" w:hAnsi="仿宋_GB2312" w:cs="仿宋_GB2312"/>
          <w:color w:val="000000" w:themeColor="text1"/>
          <w:spacing w:val="-8"/>
          <w:sz w:val="32"/>
          <w:szCs w:val="32"/>
        </w:rPr>
      </w:pPr>
      <w:r>
        <w:rPr>
          <w:rFonts w:ascii="仿宋_GB2312" w:eastAsia="仿宋_GB2312" w:hAnsi="仿宋_GB2312" w:cs="仿宋_GB2312" w:hint="eastAsia"/>
          <w:color w:val="000000" w:themeColor="text1"/>
          <w:spacing w:val="-8"/>
          <w:sz w:val="32"/>
          <w:szCs w:val="32"/>
        </w:rPr>
        <w:t>5.村、乡</w:t>
      </w:r>
      <w:r>
        <w:rPr>
          <w:rFonts w:ascii="楷体_GB2312" w:eastAsia="楷体_GB2312" w:hAnsi="楷体_GB2312" w:cs="楷体_GB2312" w:hint="eastAsia"/>
          <w:color w:val="000000" w:themeColor="text1"/>
          <w:spacing w:val="-8"/>
          <w:sz w:val="32"/>
          <w:szCs w:val="32"/>
        </w:rPr>
        <w:t>（镇）</w:t>
      </w:r>
      <w:r>
        <w:rPr>
          <w:rFonts w:ascii="仿宋_GB2312" w:eastAsia="仿宋_GB2312" w:hAnsi="仿宋_GB2312" w:cs="仿宋_GB2312" w:hint="eastAsia"/>
          <w:color w:val="000000" w:themeColor="text1"/>
          <w:spacing w:val="-8"/>
          <w:sz w:val="32"/>
          <w:szCs w:val="32"/>
        </w:rPr>
        <w:t>两级审批后，登记内容在政府网站以及所在村公示无异议后进行登记。对于因继承房屋占有宅基地情况在证书附记栏进行注记“该权利人为本农民集体经济组织原成员住宅的合法继承人”。</w:t>
      </w:r>
    </w:p>
    <w:p w:rsidR="009C35FE" w:rsidRDefault="00F71DB3">
      <w:pPr>
        <w:spacing w:line="600" w:lineRule="exact"/>
        <w:ind w:firstLineChars="200" w:firstLine="608"/>
        <w:jc w:val="left"/>
        <w:rPr>
          <w:rFonts w:ascii="黑体" w:eastAsia="黑体" w:hAnsi="黑体"/>
          <w:spacing w:val="-8"/>
          <w:sz w:val="32"/>
          <w:szCs w:val="32"/>
        </w:rPr>
      </w:pPr>
      <w:r>
        <w:rPr>
          <w:rFonts w:ascii="黑体" w:eastAsia="黑体" w:hAnsi="黑体" w:hint="eastAsia"/>
          <w:spacing w:val="-8"/>
          <w:sz w:val="32"/>
          <w:szCs w:val="32"/>
        </w:rPr>
        <w:lastRenderedPageBreak/>
        <w:t>二、转移类</w:t>
      </w:r>
    </w:p>
    <w:p w:rsidR="009C35FE" w:rsidRDefault="00F71DB3">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1.由鉴定小组对转移情况进行鉴定，鉴定转让时双方均为本集体经济组织成员且受让方在本集体内具有此唯一住宅，由鉴定小组出具证明；</w:t>
      </w:r>
    </w:p>
    <w:p w:rsidR="009C35FE" w:rsidRDefault="00F71DB3">
      <w:pPr>
        <w:spacing w:line="600" w:lineRule="exact"/>
        <w:ind w:firstLineChars="200" w:firstLine="608"/>
        <w:rPr>
          <w:rFonts w:ascii="仿宋_GB2312" w:eastAsia="仿宋_GB2312" w:hAnsi="仿宋_GB2312" w:cs="仿宋_GB2312"/>
          <w:b/>
          <w:bCs/>
          <w:spacing w:val="-8"/>
          <w:sz w:val="32"/>
          <w:szCs w:val="32"/>
        </w:rPr>
      </w:pPr>
      <w:r>
        <w:rPr>
          <w:rFonts w:ascii="仿宋_GB2312" w:eastAsia="仿宋_GB2312" w:hAnsi="仿宋_GB2312" w:cs="仿宋_GB2312" w:hint="eastAsia"/>
          <w:spacing w:val="-8"/>
          <w:sz w:val="32"/>
          <w:szCs w:val="32"/>
        </w:rPr>
        <w:t>2.转让人已去世的，由鉴定小组鉴定原协议是否有效。鉴定有效的由村委会出具证明；无法鉴定有效性的由原权利人所有第一顺位继承人及代位继承人在鉴定小组的见证下签订新转让协议并出具证明；</w:t>
      </w:r>
    </w:p>
    <w:p w:rsidR="009C35FE" w:rsidRDefault="00F71DB3">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3.由村委会做出收回原宅基地使用权决定后，报所在乡</w:t>
      </w:r>
      <w:r>
        <w:rPr>
          <w:rFonts w:ascii="楷体_GB2312" w:eastAsia="楷体_GB2312" w:hAnsi="楷体_GB2312" w:cs="楷体_GB2312" w:hint="eastAsia"/>
          <w:color w:val="000000" w:themeColor="text1"/>
          <w:spacing w:val="-8"/>
          <w:sz w:val="32"/>
          <w:szCs w:val="32"/>
        </w:rPr>
        <w:t>（镇）</w:t>
      </w:r>
      <w:r>
        <w:rPr>
          <w:rFonts w:ascii="仿宋_GB2312" w:eastAsia="仿宋_GB2312" w:hAnsi="仿宋_GB2312" w:cs="仿宋_GB2312" w:hint="eastAsia"/>
          <w:spacing w:val="-8"/>
          <w:sz w:val="32"/>
          <w:szCs w:val="32"/>
        </w:rPr>
        <w:t>审批，重新分配受让人使用，收回决定</w:t>
      </w:r>
      <w:r>
        <w:rPr>
          <w:rFonts w:ascii="楷体_GB2312" w:eastAsia="楷体_GB2312" w:hAnsi="楷体_GB2312" w:cs="楷体_GB2312" w:hint="eastAsia"/>
          <w:spacing w:val="-8"/>
          <w:sz w:val="32"/>
          <w:szCs w:val="32"/>
        </w:rPr>
        <w:t>（附转让协议）</w:t>
      </w:r>
      <w:r>
        <w:rPr>
          <w:rFonts w:ascii="仿宋_GB2312" w:eastAsia="仿宋_GB2312" w:hAnsi="仿宋_GB2312" w:cs="仿宋_GB2312" w:hint="eastAsia"/>
          <w:spacing w:val="-8"/>
          <w:sz w:val="32"/>
          <w:szCs w:val="32"/>
        </w:rPr>
        <w:t>提交所在乡</w:t>
      </w:r>
      <w:r>
        <w:rPr>
          <w:rFonts w:ascii="楷体_GB2312" w:eastAsia="楷体_GB2312" w:hAnsi="楷体_GB2312" w:cs="楷体_GB2312" w:hint="eastAsia"/>
          <w:color w:val="000000" w:themeColor="text1"/>
          <w:spacing w:val="-8"/>
          <w:sz w:val="32"/>
          <w:szCs w:val="32"/>
        </w:rPr>
        <w:t>（镇）</w:t>
      </w:r>
      <w:r>
        <w:rPr>
          <w:rFonts w:ascii="仿宋_GB2312" w:eastAsia="仿宋_GB2312" w:hAnsi="仿宋_GB2312" w:cs="仿宋_GB2312" w:hint="eastAsia"/>
          <w:spacing w:val="-8"/>
          <w:sz w:val="32"/>
          <w:szCs w:val="32"/>
        </w:rPr>
        <w:t>进行审批；</w:t>
      </w:r>
    </w:p>
    <w:p w:rsidR="009C35FE" w:rsidRDefault="00F71DB3">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4.登记机关根据审批决定，公示无异议后对原宅基证进行注销；对新申请进行登记。</w:t>
      </w:r>
    </w:p>
    <w:p w:rsidR="009C35FE" w:rsidRDefault="00F71DB3">
      <w:pPr>
        <w:spacing w:line="600" w:lineRule="exact"/>
        <w:ind w:firstLineChars="200" w:firstLine="608"/>
        <w:jc w:val="left"/>
        <w:rPr>
          <w:rFonts w:ascii="黑体" w:eastAsia="黑体" w:hAnsi="黑体"/>
          <w:spacing w:val="-8"/>
          <w:sz w:val="32"/>
          <w:szCs w:val="32"/>
        </w:rPr>
      </w:pPr>
      <w:r>
        <w:rPr>
          <w:rFonts w:ascii="黑体" w:eastAsia="黑体" w:hAnsi="黑体" w:hint="eastAsia"/>
          <w:spacing w:val="-8"/>
          <w:sz w:val="32"/>
          <w:szCs w:val="32"/>
        </w:rPr>
        <w:t>三、互换类</w:t>
      </w:r>
    </w:p>
    <w:p w:rsidR="009C35FE" w:rsidRDefault="00F71DB3">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1.由鉴定小组对互换情况进行鉴定。鉴定确认双方互换时均为本集体经济组织成员，互换房产为双方唯一住宅的；由鉴定小组出具证明；</w:t>
      </w:r>
    </w:p>
    <w:p w:rsidR="009C35FE" w:rsidRDefault="00F71DB3">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2.互换人已去世的，由鉴定小组鉴定原协议是否有效，有效的由村委会出具证明；无法鉴定原协议是否有效的，由其所有第一顺位继承人或代位继承人在鉴定小组的见证下签订新互换协议，并出具相关证明；</w:t>
      </w:r>
    </w:p>
    <w:p w:rsidR="009C35FE" w:rsidRDefault="00F71DB3">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3.由村委会收回原宅基地使用权后，重新分配给新权利人，</w:t>
      </w:r>
      <w:r>
        <w:rPr>
          <w:rFonts w:ascii="仿宋_GB2312" w:eastAsia="仿宋_GB2312" w:hAnsi="仿宋_GB2312" w:cs="仿宋_GB2312" w:hint="eastAsia"/>
          <w:spacing w:val="-8"/>
          <w:sz w:val="32"/>
          <w:szCs w:val="32"/>
        </w:rPr>
        <w:lastRenderedPageBreak/>
        <w:t>收回决定</w:t>
      </w:r>
      <w:r>
        <w:rPr>
          <w:rFonts w:ascii="楷体_GB2312" w:eastAsia="楷体_GB2312" w:hAnsi="楷体_GB2312" w:cs="楷体_GB2312" w:hint="eastAsia"/>
          <w:spacing w:val="-8"/>
          <w:sz w:val="32"/>
          <w:szCs w:val="32"/>
        </w:rPr>
        <w:t>（附互换协议）</w:t>
      </w:r>
      <w:r>
        <w:rPr>
          <w:rFonts w:ascii="仿宋_GB2312" w:eastAsia="仿宋_GB2312" w:hAnsi="仿宋_GB2312" w:cs="仿宋_GB2312" w:hint="eastAsia"/>
          <w:spacing w:val="-8"/>
          <w:sz w:val="32"/>
          <w:szCs w:val="32"/>
        </w:rPr>
        <w:t>提交所在乡</w:t>
      </w:r>
      <w:r>
        <w:rPr>
          <w:rFonts w:ascii="楷体_GB2312" w:eastAsia="楷体_GB2312" w:hAnsi="楷体_GB2312" w:cs="楷体_GB2312" w:hint="eastAsia"/>
          <w:color w:val="000000" w:themeColor="text1"/>
          <w:spacing w:val="-8"/>
          <w:sz w:val="32"/>
          <w:szCs w:val="32"/>
        </w:rPr>
        <w:t>（镇）</w:t>
      </w:r>
      <w:r>
        <w:rPr>
          <w:rFonts w:ascii="仿宋_GB2312" w:eastAsia="仿宋_GB2312" w:hAnsi="仿宋_GB2312" w:cs="仿宋_GB2312" w:hint="eastAsia"/>
          <w:spacing w:val="-8"/>
          <w:sz w:val="32"/>
          <w:szCs w:val="32"/>
        </w:rPr>
        <w:t>进行审批备案；</w:t>
      </w:r>
    </w:p>
    <w:p w:rsidR="009C35FE" w:rsidRDefault="00F71DB3">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4.登记机关根据审批决定，公示无异议后对原宅基证进行注销；对新申请进行登记。</w:t>
      </w:r>
    </w:p>
    <w:p w:rsidR="009C35FE" w:rsidRDefault="00F71DB3">
      <w:pPr>
        <w:spacing w:line="600" w:lineRule="exact"/>
        <w:ind w:firstLineChars="200" w:firstLine="608"/>
        <w:jc w:val="left"/>
        <w:rPr>
          <w:rFonts w:ascii="黑体" w:eastAsia="黑体" w:hAnsi="黑体"/>
          <w:spacing w:val="-8"/>
          <w:sz w:val="32"/>
          <w:szCs w:val="32"/>
        </w:rPr>
      </w:pPr>
      <w:r>
        <w:rPr>
          <w:rFonts w:ascii="黑体" w:eastAsia="黑体" w:hAnsi="黑体" w:hint="eastAsia"/>
          <w:spacing w:val="-8"/>
          <w:sz w:val="32"/>
          <w:szCs w:val="32"/>
        </w:rPr>
        <w:t>四、其他类</w:t>
      </w:r>
    </w:p>
    <w:p w:rsidR="009C35FE" w:rsidRDefault="00F71DB3">
      <w:pPr>
        <w:spacing w:line="60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由村委会对本村历年宅基地登记档案进行梳理，对确定原权利人已死亡，无继承人的宅基地、宅基地已重新分配给新权利人使用旧宅基证未注销等情况，由村委会召开会议认定是否注销，认定结果在所在村进行公示，公示无异议后由所在乡</w:t>
      </w:r>
      <w:r>
        <w:rPr>
          <w:rFonts w:ascii="楷体_GB2312" w:eastAsia="楷体_GB2312" w:hAnsi="楷体_GB2312" w:cs="楷体_GB2312" w:hint="eastAsia"/>
          <w:spacing w:val="-8"/>
          <w:sz w:val="32"/>
          <w:szCs w:val="32"/>
        </w:rPr>
        <w:t>（镇）</w:t>
      </w:r>
      <w:r>
        <w:rPr>
          <w:rFonts w:ascii="仿宋_GB2312" w:eastAsia="仿宋_GB2312" w:hAnsi="仿宋_GB2312" w:cs="仿宋_GB2312" w:hint="eastAsia"/>
          <w:spacing w:val="-8"/>
          <w:sz w:val="32"/>
          <w:szCs w:val="32"/>
        </w:rPr>
        <w:t>进行审批，登记机构在政府网站公示无异议后进行注销。</w:t>
      </w:r>
    </w:p>
    <w:p w:rsidR="009C35FE" w:rsidRDefault="00F71DB3">
      <w:pPr>
        <w:pStyle w:val="a3"/>
        <w:spacing w:line="600" w:lineRule="exact"/>
        <w:ind w:firstLineChars="200" w:firstLine="608"/>
        <w:rPr>
          <w:rFonts w:ascii="仿宋_GB2312" w:eastAsia="仿宋_GB2312" w:hAnsi="仿宋_GB2312" w:cs="仿宋_GB2312"/>
          <w:color w:val="000000" w:themeColor="text1"/>
          <w:spacing w:val="-8"/>
          <w:kern w:val="0"/>
          <w:sz w:val="32"/>
          <w:szCs w:val="32"/>
        </w:rPr>
      </w:pPr>
      <w:r>
        <w:rPr>
          <w:rFonts w:ascii="仿宋_GB2312" w:eastAsia="仿宋_GB2312" w:hAnsi="仿宋_GB2312" w:cs="仿宋_GB2312" w:hint="eastAsia"/>
          <w:color w:val="000000" w:themeColor="text1"/>
          <w:spacing w:val="-8"/>
          <w:kern w:val="0"/>
          <w:sz w:val="32"/>
          <w:szCs w:val="32"/>
        </w:rPr>
        <w:t>本意见自发布之日起实施，有效期五年。</w:t>
      </w:r>
    </w:p>
    <w:p w:rsidR="009C35FE" w:rsidRDefault="009C35FE">
      <w:pPr>
        <w:pStyle w:val="a4"/>
        <w:ind w:firstLine="210"/>
      </w:pPr>
    </w:p>
    <w:p w:rsidR="009C35FE" w:rsidRDefault="009C35FE">
      <w:pPr>
        <w:pStyle w:val="a4"/>
        <w:ind w:firstLine="210"/>
        <w:rPr>
          <w:highlight w:val="yellow"/>
        </w:rPr>
      </w:pPr>
    </w:p>
    <w:p w:rsidR="009C35FE" w:rsidRDefault="009C35FE" w:rsidP="000607CE">
      <w:pPr>
        <w:spacing w:afterLines="100" w:line="520" w:lineRule="exact"/>
        <w:jc w:val="center"/>
        <w:rPr>
          <w:rFonts w:ascii="宋体" w:eastAsia="宋体" w:hAnsi="宋体" w:cs="宋体"/>
          <w:b/>
          <w:sz w:val="36"/>
          <w:szCs w:val="36"/>
        </w:rPr>
      </w:pPr>
    </w:p>
    <w:p w:rsidR="009C35FE" w:rsidRDefault="009C35FE" w:rsidP="000607CE">
      <w:pPr>
        <w:spacing w:afterLines="100" w:line="520" w:lineRule="exact"/>
        <w:jc w:val="center"/>
        <w:rPr>
          <w:rFonts w:ascii="宋体" w:eastAsia="宋体" w:hAnsi="宋体" w:cs="宋体"/>
          <w:b/>
          <w:sz w:val="36"/>
          <w:szCs w:val="36"/>
        </w:rPr>
      </w:pPr>
    </w:p>
    <w:p w:rsidR="009C35FE" w:rsidRDefault="009C35FE" w:rsidP="000607CE">
      <w:pPr>
        <w:spacing w:afterLines="100" w:line="520" w:lineRule="exact"/>
        <w:jc w:val="center"/>
        <w:rPr>
          <w:rFonts w:ascii="宋体" w:eastAsia="宋体" w:hAnsi="宋体" w:cs="宋体"/>
          <w:b/>
          <w:sz w:val="36"/>
          <w:szCs w:val="36"/>
        </w:rPr>
      </w:pPr>
    </w:p>
    <w:p w:rsidR="009C35FE" w:rsidRDefault="009C35FE">
      <w:pPr>
        <w:pStyle w:val="2"/>
        <w:ind w:left="0"/>
        <w:rPr>
          <w:rFonts w:eastAsia="仿宋_GB2312"/>
        </w:rPr>
      </w:pPr>
    </w:p>
    <w:p w:rsidR="009C35FE" w:rsidRDefault="009C35FE">
      <w:pPr>
        <w:spacing w:line="240" w:lineRule="exact"/>
      </w:pPr>
    </w:p>
    <w:p w:rsidR="009C35FE" w:rsidRDefault="009C35FE"/>
    <w:p w:rsidR="009C35FE" w:rsidRDefault="00F71DB3">
      <w:pPr>
        <w:spacing w:line="600" w:lineRule="exact"/>
        <w:ind w:firstLineChars="50" w:firstLine="132"/>
        <w:rPr>
          <w:rFonts w:ascii="仿宋_GB2312" w:eastAsia="仿宋_GB2312" w:hAnsi="宋体"/>
          <w:spacing w:val="-8"/>
          <w:sz w:val="28"/>
          <w:szCs w:val="28"/>
        </w:rPr>
      </w:pPr>
      <w:r>
        <w:rPr>
          <w:rFonts w:ascii="仿宋_GB2312" w:eastAsia="仿宋_GB2312" w:hAnsi="宋体" w:hint="eastAsia"/>
          <w:spacing w:val="-8"/>
          <w:sz w:val="28"/>
          <w:szCs w:val="28"/>
        </w:rPr>
        <w:t>信息公开选项：主动公开</w:t>
      </w:r>
    </w:p>
    <w:tbl>
      <w:tblPr>
        <w:tblW w:w="0" w:type="auto"/>
        <w:tblBorders>
          <w:top w:val="single" w:sz="4" w:space="0" w:color="auto"/>
          <w:bottom w:val="single" w:sz="4" w:space="0" w:color="auto"/>
          <w:insideH w:val="single" w:sz="4" w:space="0" w:color="auto"/>
          <w:insideV w:val="single" w:sz="4" w:space="0" w:color="auto"/>
        </w:tblBorders>
        <w:tblLayout w:type="fixed"/>
        <w:tblLook w:val="04A0"/>
      </w:tblPr>
      <w:tblGrid>
        <w:gridCol w:w="8720"/>
      </w:tblGrid>
      <w:tr w:rsidR="009C35FE">
        <w:tc>
          <w:tcPr>
            <w:tcW w:w="8720" w:type="dxa"/>
            <w:tcBorders>
              <w:left w:val="nil"/>
              <w:right w:val="nil"/>
            </w:tcBorders>
          </w:tcPr>
          <w:p w:rsidR="009C35FE" w:rsidRDefault="00F71DB3">
            <w:pPr>
              <w:spacing w:line="600" w:lineRule="exact"/>
              <w:ind w:firstLineChars="50" w:firstLine="132"/>
              <w:rPr>
                <w:rFonts w:ascii="仿宋_GB2312" w:eastAsia="仿宋_GB2312" w:hAnsi="宋体"/>
                <w:spacing w:val="-8"/>
                <w:sz w:val="28"/>
                <w:szCs w:val="28"/>
              </w:rPr>
            </w:pPr>
            <w:r>
              <w:rPr>
                <w:rFonts w:ascii="仿宋_GB2312" w:eastAsia="仿宋_GB2312" w:hAnsi="宋体" w:hint="eastAsia"/>
                <w:spacing w:val="-8"/>
                <w:sz w:val="28"/>
                <w:szCs w:val="28"/>
              </w:rPr>
              <w:t>保定市满城区人民政府办公室</w:t>
            </w:r>
            <w:r>
              <w:rPr>
                <w:rFonts w:ascii="仿宋_GB2312" w:eastAsia="仿宋_GB2312" w:hAnsi="宋体"/>
                <w:spacing w:val="-8"/>
                <w:sz w:val="28"/>
                <w:szCs w:val="28"/>
              </w:rPr>
              <w:t xml:space="preserve">                   2024</w:t>
            </w:r>
            <w:r>
              <w:rPr>
                <w:rFonts w:ascii="仿宋_GB2312" w:eastAsia="仿宋_GB2312" w:hAnsi="宋体" w:hint="eastAsia"/>
                <w:spacing w:val="-8"/>
                <w:sz w:val="28"/>
                <w:szCs w:val="28"/>
              </w:rPr>
              <w:t>年6月11日印发</w:t>
            </w:r>
          </w:p>
        </w:tc>
      </w:tr>
    </w:tbl>
    <w:p w:rsidR="009C35FE" w:rsidRDefault="009C35FE">
      <w:pPr>
        <w:spacing w:line="20" w:lineRule="exact"/>
        <w:jc w:val="left"/>
        <w:rPr>
          <w:rFonts w:ascii="仿宋" w:eastAsia="仿宋" w:hAnsi="仿宋" w:cs="仿宋"/>
          <w:szCs w:val="21"/>
          <w:highlight w:val="yellow"/>
          <w:u w:val="single"/>
        </w:rPr>
      </w:pPr>
    </w:p>
    <w:sectPr w:rsidR="009C35FE" w:rsidSect="009C35FE">
      <w:footerReference w:type="default" r:id="rId7"/>
      <w:pgSz w:w="11906" w:h="16838"/>
      <w:pgMar w:top="1701" w:right="1701" w:bottom="1701" w:left="1701" w:header="851" w:footer="1701"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E45" w:rsidRDefault="00046E45" w:rsidP="009C35FE">
      <w:r>
        <w:separator/>
      </w:r>
    </w:p>
  </w:endnote>
  <w:endnote w:type="continuationSeparator" w:id="1">
    <w:p w:rsidR="00046E45" w:rsidRDefault="00046E45" w:rsidP="009C3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FE" w:rsidRDefault="00C211A5">
    <w:pPr>
      <w:pStyle w:val="a5"/>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filled="f" stroked="f">
          <v:textbox style="mso-fit-shape-to-text:t" inset="0,0,0,0">
            <w:txbxContent>
              <w:p w:rsidR="009C35FE" w:rsidRDefault="00C211A5">
                <w:pPr>
                  <w:pStyle w:val="a5"/>
                </w:pPr>
                <w:r>
                  <w:rPr>
                    <w:rFonts w:ascii="宋体" w:eastAsia="宋体" w:hAnsi="宋体" w:cs="宋体" w:hint="eastAsia"/>
                    <w:sz w:val="28"/>
                    <w:szCs w:val="28"/>
                  </w:rPr>
                  <w:fldChar w:fldCharType="begin"/>
                </w:r>
                <w:r w:rsidR="00F71DB3">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607CE">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E45" w:rsidRDefault="00046E45" w:rsidP="009C35FE">
      <w:r>
        <w:separator/>
      </w:r>
    </w:p>
  </w:footnote>
  <w:footnote w:type="continuationSeparator" w:id="1">
    <w:p w:rsidR="00046E45" w:rsidRDefault="00046E45" w:rsidP="009C35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UwZDQ4ZTgxMDVjNTE4ZmE2NDRkZDE2NzNhNjMxOWIifQ=="/>
  </w:docVars>
  <w:rsids>
    <w:rsidRoot w:val="00300025"/>
    <w:rsid w:val="00027C5C"/>
    <w:rsid w:val="00036C41"/>
    <w:rsid w:val="00046E45"/>
    <w:rsid w:val="000607CE"/>
    <w:rsid w:val="00071459"/>
    <w:rsid w:val="0007637B"/>
    <w:rsid w:val="000F41D2"/>
    <w:rsid w:val="00121A8C"/>
    <w:rsid w:val="00125282"/>
    <w:rsid w:val="001470E5"/>
    <w:rsid w:val="001D744B"/>
    <w:rsid w:val="001F0CFF"/>
    <w:rsid w:val="002022A1"/>
    <w:rsid w:val="00204CF1"/>
    <w:rsid w:val="00223112"/>
    <w:rsid w:val="002A4584"/>
    <w:rsid w:val="002B6D50"/>
    <w:rsid w:val="002F790E"/>
    <w:rsid w:val="00300025"/>
    <w:rsid w:val="00387281"/>
    <w:rsid w:val="003B6C30"/>
    <w:rsid w:val="003E3D5F"/>
    <w:rsid w:val="003F7023"/>
    <w:rsid w:val="004029C2"/>
    <w:rsid w:val="004114F1"/>
    <w:rsid w:val="004419E3"/>
    <w:rsid w:val="00441C0E"/>
    <w:rsid w:val="004427A5"/>
    <w:rsid w:val="004A44B6"/>
    <w:rsid w:val="004C35BF"/>
    <w:rsid w:val="004F701F"/>
    <w:rsid w:val="00512AFA"/>
    <w:rsid w:val="00515B95"/>
    <w:rsid w:val="0053379C"/>
    <w:rsid w:val="00550F9C"/>
    <w:rsid w:val="0057581A"/>
    <w:rsid w:val="00597B0B"/>
    <w:rsid w:val="006345C6"/>
    <w:rsid w:val="00642237"/>
    <w:rsid w:val="0069559C"/>
    <w:rsid w:val="006F1AFC"/>
    <w:rsid w:val="00731B6E"/>
    <w:rsid w:val="00740A94"/>
    <w:rsid w:val="0074259B"/>
    <w:rsid w:val="00745DF7"/>
    <w:rsid w:val="00766A82"/>
    <w:rsid w:val="0079703A"/>
    <w:rsid w:val="007F1E5D"/>
    <w:rsid w:val="0080136C"/>
    <w:rsid w:val="00821AFB"/>
    <w:rsid w:val="0082499E"/>
    <w:rsid w:val="00856E9B"/>
    <w:rsid w:val="008D5BD8"/>
    <w:rsid w:val="00922845"/>
    <w:rsid w:val="00931C96"/>
    <w:rsid w:val="00936C89"/>
    <w:rsid w:val="00947828"/>
    <w:rsid w:val="00997F02"/>
    <w:rsid w:val="009A4F6D"/>
    <w:rsid w:val="009C35FE"/>
    <w:rsid w:val="009D0B00"/>
    <w:rsid w:val="009E0095"/>
    <w:rsid w:val="009F3DE5"/>
    <w:rsid w:val="00A5268F"/>
    <w:rsid w:val="00A819B3"/>
    <w:rsid w:val="00A8787F"/>
    <w:rsid w:val="00AB486D"/>
    <w:rsid w:val="00AC3AF9"/>
    <w:rsid w:val="00AF2725"/>
    <w:rsid w:val="00B11F14"/>
    <w:rsid w:val="00B34F99"/>
    <w:rsid w:val="00C1770C"/>
    <w:rsid w:val="00C211A5"/>
    <w:rsid w:val="00C424F6"/>
    <w:rsid w:val="00C574C0"/>
    <w:rsid w:val="00C94FBE"/>
    <w:rsid w:val="00C97549"/>
    <w:rsid w:val="00CD37D3"/>
    <w:rsid w:val="00CE4B02"/>
    <w:rsid w:val="00CF27A2"/>
    <w:rsid w:val="00CF438C"/>
    <w:rsid w:val="00D0387D"/>
    <w:rsid w:val="00D11467"/>
    <w:rsid w:val="00DE4926"/>
    <w:rsid w:val="00E00084"/>
    <w:rsid w:val="00E26FC4"/>
    <w:rsid w:val="00E503D6"/>
    <w:rsid w:val="00E6346F"/>
    <w:rsid w:val="00F2202F"/>
    <w:rsid w:val="00F25A5D"/>
    <w:rsid w:val="00F26206"/>
    <w:rsid w:val="00F47180"/>
    <w:rsid w:val="00F71DB3"/>
    <w:rsid w:val="00F813B5"/>
    <w:rsid w:val="00F86D05"/>
    <w:rsid w:val="018578A5"/>
    <w:rsid w:val="02D50E09"/>
    <w:rsid w:val="03790D01"/>
    <w:rsid w:val="048D7997"/>
    <w:rsid w:val="04FB11D2"/>
    <w:rsid w:val="07CD4764"/>
    <w:rsid w:val="08230A67"/>
    <w:rsid w:val="0847746D"/>
    <w:rsid w:val="08935065"/>
    <w:rsid w:val="08DA6AA7"/>
    <w:rsid w:val="0A851326"/>
    <w:rsid w:val="0ACB236E"/>
    <w:rsid w:val="0C200572"/>
    <w:rsid w:val="0F320433"/>
    <w:rsid w:val="0FC575A2"/>
    <w:rsid w:val="10090303"/>
    <w:rsid w:val="11412183"/>
    <w:rsid w:val="131035FD"/>
    <w:rsid w:val="1C4B64A7"/>
    <w:rsid w:val="1E1A3944"/>
    <w:rsid w:val="220570F8"/>
    <w:rsid w:val="229B37EA"/>
    <w:rsid w:val="23072C92"/>
    <w:rsid w:val="250544F2"/>
    <w:rsid w:val="25814B56"/>
    <w:rsid w:val="26DC4FA5"/>
    <w:rsid w:val="2F225BA2"/>
    <w:rsid w:val="2F4B7401"/>
    <w:rsid w:val="2FDB3000"/>
    <w:rsid w:val="2FE86C5C"/>
    <w:rsid w:val="31E87DD8"/>
    <w:rsid w:val="328F2CF5"/>
    <w:rsid w:val="36AE1139"/>
    <w:rsid w:val="376D1B7F"/>
    <w:rsid w:val="3792274D"/>
    <w:rsid w:val="37C43784"/>
    <w:rsid w:val="3A5B6937"/>
    <w:rsid w:val="3BE74A04"/>
    <w:rsid w:val="3C2E0299"/>
    <w:rsid w:val="3C5F2ED5"/>
    <w:rsid w:val="3E3A59A8"/>
    <w:rsid w:val="3F0F400B"/>
    <w:rsid w:val="40C037DE"/>
    <w:rsid w:val="436854A3"/>
    <w:rsid w:val="45B002FD"/>
    <w:rsid w:val="46B63CF5"/>
    <w:rsid w:val="4AEC250E"/>
    <w:rsid w:val="4B053A4F"/>
    <w:rsid w:val="4E4740FD"/>
    <w:rsid w:val="4F3956BE"/>
    <w:rsid w:val="4FC275AB"/>
    <w:rsid w:val="52917E5B"/>
    <w:rsid w:val="53B567C3"/>
    <w:rsid w:val="55A016AE"/>
    <w:rsid w:val="55A62377"/>
    <w:rsid w:val="59600E29"/>
    <w:rsid w:val="641D1CE4"/>
    <w:rsid w:val="643D71A0"/>
    <w:rsid w:val="657B01C2"/>
    <w:rsid w:val="6979069A"/>
    <w:rsid w:val="6BC8662A"/>
    <w:rsid w:val="6D257033"/>
    <w:rsid w:val="6E085A0B"/>
    <w:rsid w:val="6F094457"/>
    <w:rsid w:val="714B5D87"/>
    <w:rsid w:val="74C754F6"/>
    <w:rsid w:val="75217179"/>
    <w:rsid w:val="78EE2E27"/>
    <w:rsid w:val="7A731A76"/>
    <w:rsid w:val="7C85707F"/>
    <w:rsid w:val="7D847808"/>
    <w:rsid w:val="7E7278BD"/>
    <w:rsid w:val="7EA21ADC"/>
    <w:rsid w:val="7FE22F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Body Text First Indent" w:semiHidden="0" w:uiPriority="0" w:unhideWhenUsed="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C35FE"/>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rsid w:val="009C35FE"/>
    <w:pPr>
      <w:ind w:left="210"/>
      <w:jc w:val="left"/>
    </w:pPr>
    <w:rPr>
      <w:smallCaps/>
      <w:sz w:val="20"/>
    </w:rPr>
  </w:style>
  <w:style w:type="paragraph" w:styleId="a3">
    <w:name w:val="Body Text"/>
    <w:basedOn w:val="a"/>
    <w:next w:val="a4"/>
    <w:uiPriority w:val="99"/>
    <w:unhideWhenUsed/>
    <w:qFormat/>
    <w:rsid w:val="009C35FE"/>
    <w:pPr>
      <w:spacing w:after="120"/>
    </w:pPr>
  </w:style>
  <w:style w:type="paragraph" w:styleId="a4">
    <w:name w:val="Body Text First Indent"/>
    <w:basedOn w:val="a3"/>
    <w:next w:val="a3"/>
    <w:qFormat/>
    <w:rsid w:val="009C35FE"/>
    <w:pPr>
      <w:ind w:firstLineChars="100" w:firstLine="420"/>
    </w:pPr>
  </w:style>
  <w:style w:type="paragraph" w:styleId="a5">
    <w:name w:val="footer"/>
    <w:basedOn w:val="a"/>
    <w:link w:val="Char"/>
    <w:uiPriority w:val="99"/>
    <w:semiHidden/>
    <w:unhideWhenUsed/>
    <w:qFormat/>
    <w:rsid w:val="009C35FE"/>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0"/>
    <w:uiPriority w:val="99"/>
    <w:semiHidden/>
    <w:unhideWhenUsed/>
    <w:qFormat/>
    <w:rsid w:val="009C35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rsid w:val="009C35FE"/>
    <w:pPr>
      <w:spacing w:before="100" w:beforeAutospacing="1" w:after="100" w:afterAutospacing="1"/>
      <w:jc w:val="left"/>
    </w:pPr>
    <w:rPr>
      <w:rFonts w:cs="Times New Roman"/>
      <w:kern w:val="0"/>
      <w:sz w:val="24"/>
    </w:rPr>
  </w:style>
  <w:style w:type="table" w:styleId="a8">
    <w:name w:val="Table Grid"/>
    <w:basedOn w:val="a1"/>
    <w:uiPriority w:val="39"/>
    <w:qFormat/>
    <w:rsid w:val="009C35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9C35FE"/>
    <w:rPr>
      <w:rFonts w:cs="Times New Roman"/>
      <w:b/>
      <w:bCs/>
    </w:rPr>
  </w:style>
  <w:style w:type="character" w:customStyle="1" w:styleId="Char0">
    <w:name w:val="页眉 Char"/>
    <w:basedOn w:val="a0"/>
    <w:link w:val="a6"/>
    <w:uiPriority w:val="99"/>
    <w:semiHidden/>
    <w:qFormat/>
    <w:rsid w:val="009C35FE"/>
    <w:rPr>
      <w:sz w:val="18"/>
      <w:szCs w:val="18"/>
    </w:rPr>
  </w:style>
  <w:style w:type="character" w:customStyle="1" w:styleId="Char">
    <w:name w:val="页脚 Char"/>
    <w:basedOn w:val="a0"/>
    <w:link w:val="a5"/>
    <w:uiPriority w:val="99"/>
    <w:semiHidden/>
    <w:qFormat/>
    <w:rsid w:val="009C35FE"/>
    <w:rPr>
      <w:sz w:val="18"/>
      <w:szCs w:val="18"/>
    </w:rPr>
  </w:style>
  <w:style w:type="paragraph" w:styleId="aa">
    <w:name w:val="List Paragraph"/>
    <w:basedOn w:val="a"/>
    <w:uiPriority w:val="99"/>
    <w:unhideWhenUsed/>
    <w:qFormat/>
    <w:rsid w:val="009C35FE"/>
    <w:pPr>
      <w:ind w:firstLineChars="200" w:firstLine="420"/>
    </w:pPr>
  </w:style>
  <w:style w:type="paragraph" w:customStyle="1" w:styleId="ListParagraphb768e1f0-9601-4ac7-969c-774aec52503d">
    <w:name w:val="List Paragraph_b768e1f0-9601-4ac7-969c-774aec52503d"/>
    <w:basedOn w:val="a"/>
    <w:qFormat/>
    <w:rsid w:val="009C35FE"/>
    <w:pPr>
      <w:ind w:firstLineChars="200" w:firstLine="420"/>
    </w:pPr>
    <w:rPr>
      <w:rFonts w:cs="Times New Roman" w:hint="eastAs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1000</Characters>
  <Application>Microsoft Office Word</Application>
  <DocSecurity>0</DocSecurity>
  <Lines>8</Lines>
  <Paragraphs>2</Paragraphs>
  <ScaleCrop>false</ScaleCrop>
  <Company>微软中国</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微软用户</cp:lastModifiedBy>
  <cp:revision>3</cp:revision>
  <cp:lastPrinted>2024-06-11T02:58:00Z</cp:lastPrinted>
  <dcterms:created xsi:type="dcterms:W3CDTF">2024-07-15T02:46:00Z</dcterms:created>
  <dcterms:modified xsi:type="dcterms:W3CDTF">2024-07-15T02:57:00Z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328B9C976A874671B8F7EED6DC02ACA4</vt:lpwstr>
  </property>
</Properties>
</file>