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rPr>
        <w:t>3</w:t>
      </w:r>
      <w:r>
        <w:rPr>
          <w:rFonts w:hint="eastAsia"/>
        </w:rP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rPr>
          <w:rFonts w:hint="eastAsia"/>
        </w:rPr>
        <w:t>5</w:t>
      </w:r>
      <w:r>
        <w:rPr>
          <w:rFonts w:hint="eastAsia"/>
        </w:rP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rPr>
          <w:rFonts w:hint="eastAsia"/>
        </w:rPr>
        <w:t>8</w:t>
      </w:r>
      <w:r>
        <w:rPr>
          <w:rFonts w:hint="eastAsia"/>
        </w:rP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rPr>
        <w:t>1</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rPr>
        <w:t>4</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rPr>
        <w:t>6</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rPr>
        <w:t>8</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rPr>
        <w:t>9</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rPr>
        <w:t>20</w:t>
      </w:r>
      <w:r>
        <w:rPr>
          <w:rFonts w:hint="eastAsia"/>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w:t>
      </w:r>
      <w:r>
        <w:rPr>
          <w:rFonts w:hint="eastAsia"/>
        </w:rPr>
        <w:t>1</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rPr>
        <w:t>5</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rPr>
        <w:t>5</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rPr>
        <w:t>6</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rPr>
        <w:t>6</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w:t>
      </w:r>
      <w:r>
        <w:rPr>
          <w:rFonts w:hint="eastAsia"/>
        </w:rPr>
        <w:t>3</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w:t>
      </w:r>
      <w:r>
        <w:rPr>
          <w:rFonts w:hint="eastAsia"/>
        </w:rPr>
        <w:t>3</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w:t>
      </w:r>
      <w:r>
        <w:rPr>
          <w:rFonts w:hint="eastAsia"/>
        </w:rPr>
        <w:t>4</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w:t>
      </w:r>
      <w:r>
        <w:rPr>
          <w:rFonts w:hint="eastAsia"/>
        </w:rPr>
        <w:t>5</w:t>
      </w:r>
      <w:r>
        <w:fldChar w:fldCharType="end"/>
      </w:r>
      <w:r>
        <w:fldChar w:fldCharType="end"/>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126"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1249.61</w:t>
            </w:r>
          </w:p>
        </w:tc>
        <w:tc>
          <w:tcPr>
            <w:tcW w:w="4535" w:type="dxa"/>
            <w:vAlign w:val="center"/>
          </w:tcPr>
          <w:p>
            <w:pPr>
              <w:pStyle w:val="14"/>
            </w:pPr>
            <w:r>
              <w:t>一、一般公共服务支出</w:t>
            </w:r>
          </w:p>
        </w:tc>
        <w:tc>
          <w:tcPr>
            <w:tcW w:w="2126" w:type="dxa"/>
            <w:vAlign w:val="center"/>
          </w:tcPr>
          <w:p>
            <w:pPr>
              <w:pStyle w:val="13"/>
            </w:pPr>
            <w:r>
              <w:t>732.31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1249.61</w:t>
            </w:r>
          </w:p>
        </w:tc>
        <w:tc>
          <w:tcPr>
            <w:tcW w:w="4535" w:type="dxa"/>
            <w:vAlign w:val="center"/>
          </w:tcPr>
          <w:p>
            <w:pPr>
              <w:pStyle w:val="16"/>
            </w:pPr>
            <w:r>
              <w:t>本年支出合计</w:t>
            </w:r>
          </w:p>
        </w:tc>
        <w:tc>
          <w:tcPr>
            <w:tcW w:w="2126" w:type="dxa"/>
            <w:vAlign w:val="center"/>
          </w:tcPr>
          <w:p>
            <w:pPr>
              <w:pStyle w:val="17"/>
            </w:pPr>
            <w:r>
              <w:t>1291.61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42.00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1291.61</w:t>
            </w:r>
          </w:p>
        </w:tc>
        <w:tc>
          <w:tcPr>
            <w:tcW w:w="4535" w:type="dxa"/>
            <w:vAlign w:val="center"/>
          </w:tcPr>
          <w:p>
            <w:pPr>
              <w:pStyle w:val="16"/>
            </w:pPr>
            <w:r>
              <w:t>支出总计</w:t>
            </w:r>
          </w:p>
        </w:tc>
        <w:tc>
          <w:tcPr>
            <w:tcW w:w="2126" w:type="dxa"/>
            <w:vAlign w:val="center"/>
          </w:tcPr>
          <w:p>
            <w:pPr>
              <w:pStyle w:val="17"/>
            </w:pPr>
            <w:r>
              <w:t>1291.61</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4156"/>
        <w:gridCol w:w="1068"/>
        <w:gridCol w:w="1044"/>
        <w:gridCol w:w="1044"/>
        <w:gridCol w:w="732"/>
        <w:gridCol w:w="672"/>
        <w:gridCol w:w="780"/>
        <w:gridCol w:w="948"/>
        <w:gridCol w:w="948"/>
        <w:gridCol w:w="756"/>
        <w:gridCol w:w="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40" w:type="dxa"/>
            <w:gridSpan w:val="5"/>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448" w:type="dxa"/>
            <w:gridSpan w:val="3"/>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4183" w:type="dxa"/>
            <w:gridSpan w:val="5"/>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5148" w:type="dxa"/>
            <w:gridSpan w:val="2"/>
            <w:vAlign w:val="center"/>
          </w:tcPr>
          <w:p>
            <w:pPr>
              <w:pStyle w:val="12"/>
            </w:pPr>
            <w:r>
              <w:t>功能分类科目</w:t>
            </w:r>
          </w:p>
        </w:tc>
        <w:tc>
          <w:tcPr>
            <w:tcW w:w="1068" w:type="dxa"/>
            <w:vMerge w:val="restart"/>
            <w:vAlign w:val="center"/>
          </w:tcPr>
          <w:p>
            <w:pPr>
              <w:pStyle w:val="12"/>
            </w:pPr>
            <w:r>
              <w:t>合计</w:t>
            </w:r>
          </w:p>
        </w:tc>
        <w:tc>
          <w:tcPr>
            <w:tcW w:w="6924" w:type="dxa"/>
            <w:gridSpan w:val="8"/>
            <w:vAlign w:val="center"/>
          </w:tcPr>
          <w:p>
            <w:pPr>
              <w:pStyle w:val="12"/>
            </w:pPr>
            <w:r>
              <w:t>本年收入</w:t>
            </w:r>
          </w:p>
        </w:tc>
        <w:tc>
          <w:tcPr>
            <w:tcW w:w="751"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4156" w:type="dxa"/>
            <w:vAlign w:val="center"/>
          </w:tcPr>
          <w:p>
            <w:pPr>
              <w:pStyle w:val="12"/>
            </w:pPr>
            <w:r>
              <w:t>科目名称</w:t>
            </w:r>
          </w:p>
        </w:tc>
        <w:tc>
          <w:tcPr>
            <w:tcW w:w="1068" w:type="dxa"/>
            <w:vMerge w:val="continue"/>
          </w:tcPr>
          <w:p/>
        </w:tc>
        <w:tc>
          <w:tcPr>
            <w:tcW w:w="1044" w:type="dxa"/>
            <w:vAlign w:val="center"/>
          </w:tcPr>
          <w:p>
            <w:pPr>
              <w:pStyle w:val="12"/>
            </w:pPr>
            <w:r>
              <w:t>小计</w:t>
            </w:r>
          </w:p>
        </w:tc>
        <w:tc>
          <w:tcPr>
            <w:tcW w:w="1044" w:type="dxa"/>
            <w:vAlign w:val="center"/>
          </w:tcPr>
          <w:p>
            <w:pPr>
              <w:pStyle w:val="12"/>
            </w:pPr>
            <w:r>
              <w:t>财政拨款 收入</w:t>
            </w:r>
          </w:p>
        </w:tc>
        <w:tc>
          <w:tcPr>
            <w:tcW w:w="732" w:type="dxa"/>
            <w:vAlign w:val="center"/>
          </w:tcPr>
          <w:p>
            <w:pPr>
              <w:pStyle w:val="12"/>
            </w:pPr>
            <w:r>
              <w:t>财政专户 收入</w:t>
            </w:r>
          </w:p>
        </w:tc>
        <w:tc>
          <w:tcPr>
            <w:tcW w:w="672" w:type="dxa"/>
            <w:vAlign w:val="center"/>
          </w:tcPr>
          <w:p>
            <w:pPr>
              <w:pStyle w:val="12"/>
            </w:pPr>
            <w:r>
              <w:t>事业收入</w:t>
            </w:r>
          </w:p>
        </w:tc>
        <w:tc>
          <w:tcPr>
            <w:tcW w:w="780" w:type="dxa"/>
            <w:vAlign w:val="center"/>
          </w:tcPr>
          <w:p>
            <w:pPr>
              <w:pStyle w:val="12"/>
            </w:pPr>
            <w:r>
              <w:t>经营收入</w:t>
            </w:r>
          </w:p>
        </w:tc>
        <w:tc>
          <w:tcPr>
            <w:tcW w:w="948" w:type="dxa"/>
            <w:vAlign w:val="center"/>
          </w:tcPr>
          <w:p>
            <w:pPr>
              <w:pStyle w:val="12"/>
            </w:pPr>
            <w:r>
              <w:t>上级补助收入</w:t>
            </w:r>
          </w:p>
        </w:tc>
        <w:tc>
          <w:tcPr>
            <w:tcW w:w="948" w:type="dxa"/>
            <w:vAlign w:val="center"/>
          </w:tcPr>
          <w:p>
            <w:pPr>
              <w:pStyle w:val="12"/>
            </w:pPr>
            <w:r>
              <w:t>附属单位上缴收入</w:t>
            </w:r>
          </w:p>
        </w:tc>
        <w:tc>
          <w:tcPr>
            <w:tcW w:w="756" w:type="dxa"/>
            <w:vAlign w:val="center"/>
          </w:tcPr>
          <w:p>
            <w:pPr>
              <w:pStyle w:val="12"/>
            </w:pPr>
            <w:r>
              <w:t>其他收入</w:t>
            </w:r>
          </w:p>
        </w:tc>
        <w:tc>
          <w:tcPr>
            <w:tcW w:w="7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4156" w:type="dxa"/>
            <w:vAlign w:val="center"/>
          </w:tcPr>
          <w:p>
            <w:pPr>
              <w:pStyle w:val="12"/>
            </w:pPr>
            <w:r>
              <w:t>2</w:t>
            </w:r>
          </w:p>
        </w:tc>
        <w:tc>
          <w:tcPr>
            <w:tcW w:w="1068" w:type="dxa"/>
            <w:vAlign w:val="center"/>
          </w:tcPr>
          <w:p>
            <w:pPr>
              <w:pStyle w:val="12"/>
            </w:pPr>
            <w:r>
              <w:t>3</w:t>
            </w:r>
          </w:p>
        </w:tc>
        <w:tc>
          <w:tcPr>
            <w:tcW w:w="1044" w:type="dxa"/>
            <w:vAlign w:val="center"/>
          </w:tcPr>
          <w:p>
            <w:pPr>
              <w:pStyle w:val="12"/>
            </w:pPr>
            <w:r>
              <w:t>4</w:t>
            </w:r>
          </w:p>
        </w:tc>
        <w:tc>
          <w:tcPr>
            <w:tcW w:w="1044" w:type="dxa"/>
            <w:vAlign w:val="center"/>
          </w:tcPr>
          <w:p>
            <w:pPr>
              <w:pStyle w:val="12"/>
            </w:pPr>
            <w:r>
              <w:t>5</w:t>
            </w:r>
          </w:p>
        </w:tc>
        <w:tc>
          <w:tcPr>
            <w:tcW w:w="732" w:type="dxa"/>
            <w:vAlign w:val="center"/>
          </w:tcPr>
          <w:p>
            <w:pPr>
              <w:pStyle w:val="12"/>
            </w:pPr>
            <w:r>
              <w:t>6</w:t>
            </w:r>
          </w:p>
        </w:tc>
        <w:tc>
          <w:tcPr>
            <w:tcW w:w="672" w:type="dxa"/>
            <w:vAlign w:val="center"/>
          </w:tcPr>
          <w:p>
            <w:pPr>
              <w:pStyle w:val="12"/>
            </w:pPr>
            <w:r>
              <w:t>7</w:t>
            </w:r>
          </w:p>
        </w:tc>
        <w:tc>
          <w:tcPr>
            <w:tcW w:w="780" w:type="dxa"/>
            <w:vAlign w:val="center"/>
          </w:tcPr>
          <w:p>
            <w:pPr>
              <w:pStyle w:val="12"/>
            </w:pPr>
            <w:r>
              <w:t>8</w:t>
            </w:r>
          </w:p>
        </w:tc>
        <w:tc>
          <w:tcPr>
            <w:tcW w:w="948" w:type="dxa"/>
            <w:vAlign w:val="center"/>
          </w:tcPr>
          <w:p>
            <w:pPr>
              <w:pStyle w:val="12"/>
            </w:pPr>
            <w:r>
              <w:t>9</w:t>
            </w:r>
          </w:p>
        </w:tc>
        <w:tc>
          <w:tcPr>
            <w:tcW w:w="948" w:type="dxa"/>
            <w:vAlign w:val="center"/>
          </w:tcPr>
          <w:p>
            <w:pPr>
              <w:pStyle w:val="12"/>
            </w:pPr>
            <w:r>
              <w:t>10</w:t>
            </w:r>
          </w:p>
        </w:tc>
        <w:tc>
          <w:tcPr>
            <w:tcW w:w="756" w:type="dxa"/>
            <w:vAlign w:val="center"/>
          </w:tcPr>
          <w:p>
            <w:pPr>
              <w:pStyle w:val="12"/>
            </w:pPr>
            <w:r>
              <w:t>11</w:t>
            </w:r>
          </w:p>
        </w:tc>
        <w:tc>
          <w:tcPr>
            <w:tcW w:w="751"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4156" w:type="dxa"/>
            <w:vAlign w:val="center"/>
          </w:tcPr>
          <w:p>
            <w:pPr>
              <w:pStyle w:val="16"/>
            </w:pPr>
            <w:r>
              <w:t>合计</w:t>
            </w:r>
          </w:p>
        </w:tc>
        <w:tc>
          <w:tcPr>
            <w:tcW w:w="1068" w:type="dxa"/>
            <w:vAlign w:val="center"/>
          </w:tcPr>
          <w:p>
            <w:pPr>
              <w:pStyle w:val="17"/>
            </w:pPr>
            <w:r>
              <w:t>1291.61</w:t>
            </w:r>
          </w:p>
        </w:tc>
        <w:tc>
          <w:tcPr>
            <w:tcW w:w="1044" w:type="dxa"/>
            <w:vAlign w:val="center"/>
          </w:tcPr>
          <w:p>
            <w:pPr>
              <w:pStyle w:val="17"/>
            </w:pPr>
            <w:r>
              <w:t>1249.61</w:t>
            </w:r>
          </w:p>
        </w:tc>
        <w:tc>
          <w:tcPr>
            <w:tcW w:w="1044" w:type="dxa"/>
            <w:vAlign w:val="center"/>
          </w:tcPr>
          <w:p>
            <w:pPr>
              <w:pStyle w:val="17"/>
            </w:pPr>
            <w:r>
              <w:t>1249.61</w:t>
            </w:r>
          </w:p>
        </w:tc>
        <w:tc>
          <w:tcPr>
            <w:tcW w:w="732" w:type="dxa"/>
            <w:vAlign w:val="center"/>
          </w:tcPr>
          <w:p>
            <w:pPr>
              <w:pStyle w:val="17"/>
            </w:pPr>
          </w:p>
        </w:tc>
        <w:tc>
          <w:tcPr>
            <w:tcW w:w="672" w:type="dxa"/>
            <w:vAlign w:val="center"/>
          </w:tcPr>
          <w:p>
            <w:pPr>
              <w:pStyle w:val="17"/>
            </w:pPr>
          </w:p>
        </w:tc>
        <w:tc>
          <w:tcPr>
            <w:tcW w:w="780" w:type="dxa"/>
            <w:vAlign w:val="center"/>
          </w:tcPr>
          <w:p>
            <w:pPr>
              <w:pStyle w:val="17"/>
            </w:pPr>
          </w:p>
        </w:tc>
        <w:tc>
          <w:tcPr>
            <w:tcW w:w="948" w:type="dxa"/>
            <w:vAlign w:val="center"/>
          </w:tcPr>
          <w:p>
            <w:pPr>
              <w:pStyle w:val="17"/>
            </w:pPr>
          </w:p>
        </w:tc>
        <w:tc>
          <w:tcPr>
            <w:tcW w:w="948" w:type="dxa"/>
            <w:vAlign w:val="center"/>
          </w:tcPr>
          <w:p>
            <w:pPr>
              <w:pStyle w:val="17"/>
            </w:pPr>
          </w:p>
        </w:tc>
        <w:tc>
          <w:tcPr>
            <w:tcW w:w="756" w:type="dxa"/>
            <w:vAlign w:val="center"/>
          </w:tcPr>
          <w:p>
            <w:pPr>
              <w:pStyle w:val="17"/>
            </w:pPr>
          </w:p>
        </w:tc>
        <w:tc>
          <w:tcPr>
            <w:tcW w:w="751" w:type="dxa"/>
            <w:vAlign w:val="center"/>
          </w:tcPr>
          <w:p>
            <w:pPr>
              <w:pStyle w:val="17"/>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4156" w:type="dxa"/>
            <w:vAlign w:val="center"/>
          </w:tcPr>
          <w:p>
            <w:pPr>
              <w:pStyle w:val="14"/>
            </w:pPr>
            <w:r>
              <w:t>一般公共服务支出</w:t>
            </w:r>
          </w:p>
        </w:tc>
        <w:tc>
          <w:tcPr>
            <w:tcW w:w="1068" w:type="dxa"/>
            <w:vAlign w:val="center"/>
          </w:tcPr>
          <w:p>
            <w:pPr>
              <w:pStyle w:val="13"/>
            </w:pPr>
            <w:r>
              <w:t>732.31</w:t>
            </w:r>
          </w:p>
        </w:tc>
        <w:tc>
          <w:tcPr>
            <w:tcW w:w="1044" w:type="dxa"/>
            <w:vAlign w:val="center"/>
          </w:tcPr>
          <w:p>
            <w:pPr>
              <w:pStyle w:val="13"/>
            </w:pPr>
            <w:r>
              <w:t>732.31</w:t>
            </w:r>
          </w:p>
        </w:tc>
        <w:tc>
          <w:tcPr>
            <w:tcW w:w="1044" w:type="dxa"/>
            <w:vAlign w:val="center"/>
          </w:tcPr>
          <w:p>
            <w:pPr>
              <w:pStyle w:val="13"/>
            </w:pPr>
            <w:r>
              <w:t>732.31</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4156" w:type="dxa"/>
            <w:vAlign w:val="center"/>
          </w:tcPr>
          <w:p>
            <w:pPr>
              <w:pStyle w:val="14"/>
            </w:pPr>
            <w:r>
              <w:t>政府办公厅（室）及相关机构事务</w:t>
            </w:r>
          </w:p>
        </w:tc>
        <w:tc>
          <w:tcPr>
            <w:tcW w:w="1068" w:type="dxa"/>
            <w:vAlign w:val="center"/>
          </w:tcPr>
          <w:p>
            <w:pPr>
              <w:pStyle w:val="13"/>
            </w:pPr>
            <w:r>
              <w:t>732.31</w:t>
            </w:r>
          </w:p>
        </w:tc>
        <w:tc>
          <w:tcPr>
            <w:tcW w:w="1044" w:type="dxa"/>
            <w:vAlign w:val="center"/>
          </w:tcPr>
          <w:p>
            <w:pPr>
              <w:pStyle w:val="13"/>
            </w:pPr>
            <w:r>
              <w:t>732.31</w:t>
            </w:r>
          </w:p>
        </w:tc>
        <w:tc>
          <w:tcPr>
            <w:tcW w:w="1044" w:type="dxa"/>
            <w:vAlign w:val="center"/>
          </w:tcPr>
          <w:p>
            <w:pPr>
              <w:pStyle w:val="13"/>
            </w:pPr>
            <w:r>
              <w:t>732.31</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4156" w:type="dxa"/>
            <w:vAlign w:val="center"/>
          </w:tcPr>
          <w:p>
            <w:pPr>
              <w:pStyle w:val="14"/>
            </w:pPr>
            <w:r>
              <w:t>行政运行</w:t>
            </w:r>
          </w:p>
        </w:tc>
        <w:tc>
          <w:tcPr>
            <w:tcW w:w="1068" w:type="dxa"/>
            <w:vAlign w:val="center"/>
          </w:tcPr>
          <w:p>
            <w:pPr>
              <w:pStyle w:val="13"/>
            </w:pPr>
            <w:r>
              <w:t>681.90</w:t>
            </w:r>
          </w:p>
        </w:tc>
        <w:tc>
          <w:tcPr>
            <w:tcW w:w="1044" w:type="dxa"/>
            <w:vAlign w:val="center"/>
          </w:tcPr>
          <w:p>
            <w:pPr>
              <w:pStyle w:val="13"/>
            </w:pPr>
            <w:r>
              <w:t>681.90</w:t>
            </w:r>
          </w:p>
        </w:tc>
        <w:tc>
          <w:tcPr>
            <w:tcW w:w="1044" w:type="dxa"/>
            <w:vAlign w:val="center"/>
          </w:tcPr>
          <w:p>
            <w:pPr>
              <w:pStyle w:val="13"/>
            </w:pPr>
            <w:r>
              <w:t>681.90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4156" w:type="dxa"/>
            <w:vAlign w:val="center"/>
          </w:tcPr>
          <w:p>
            <w:pPr>
              <w:pStyle w:val="14"/>
            </w:pPr>
            <w:r>
              <w:t>一般行政管理事务</w:t>
            </w:r>
          </w:p>
        </w:tc>
        <w:tc>
          <w:tcPr>
            <w:tcW w:w="1068" w:type="dxa"/>
            <w:vAlign w:val="center"/>
          </w:tcPr>
          <w:p>
            <w:pPr>
              <w:pStyle w:val="13"/>
            </w:pPr>
            <w:r>
              <w:t>45.41</w:t>
            </w:r>
          </w:p>
        </w:tc>
        <w:tc>
          <w:tcPr>
            <w:tcW w:w="1044" w:type="dxa"/>
            <w:vAlign w:val="center"/>
          </w:tcPr>
          <w:p>
            <w:pPr>
              <w:pStyle w:val="13"/>
            </w:pPr>
            <w:r>
              <w:t>45.41</w:t>
            </w:r>
          </w:p>
        </w:tc>
        <w:tc>
          <w:tcPr>
            <w:tcW w:w="1044" w:type="dxa"/>
            <w:vAlign w:val="center"/>
          </w:tcPr>
          <w:p>
            <w:pPr>
              <w:pStyle w:val="13"/>
            </w:pPr>
            <w:r>
              <w:t>45.41</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2010308</w:t>
            </w:r>
          </w:p>
        </w:tc>
        <w:tc>
          <w:tcPr>
            <w:tcW w:w="4156" w:type="dxa"/>
            <w:vAlign w:val="center"/>
          </w:tcPr>
          <w:p>
            <w:pPr>
              <w:pStyle w:val="14"/>
            </w:pPr>
            <w:r>
              <w:t>信访事务</w:t>
            </w:r>
          </w:p>
        </w:tc>
        <w:tc>
          <w:tcPr>
            <w:tcW w:w="1068" w:type="dxa"/>
            <w:vAlign w:val="center"/>
          </w:tcPr>
          <w:p>
            <w:pPr>
              <w:pStyle w:val="13"/>
            </w:pPr>
            <w:r>
              <w:t>5.00</w:t>
            </w:r>
          </w:p>
        </w:tc>
        <w:tc>
          <w:tcPr>
            <w:tcW w:w="1044" w:type="dxa"/>
            <w:vAlign w:val="center"/>
          </w:tcPr>
          <w:p>
            <w:pPr>
              <w:pStyle w:val="13"/>
            </w:pPr>
            <w:r>
              <w:t>5.00</w:t>
            </w:r>
          </w:p>
        </w:tc>
        <w:tc>
          <w:tcPr>
            <w:tcW w:w="1044" w:type="dxa"/>
            <w:vAlign w:val="center"/>
          </w:tcPr>
          <w:p>
            <w:pPr>
              <w:pStyle w:val="13"/>
            </w:pPr>
            <w:r>
              <w:t>5.00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w:t>
            </w:r>
          </w:p>
        </w:tc>
        <w:tc>
          <w:tcPr>
            <w:tcW w:w="4156" w:type="dxa"/>
            <w:vAlign w:val="center"/>
          </w:tcPr>
          <w:p>
            <w:pPr>
              <w:pStyle w:val="14"/>
            </w:pPr>
            <w:r>
              <w:t>文化旅游体育与传媒支出</w:t>
            </w:r>
          </w:p>
        </w:tc>
        <w:tc>
          <w:tcPr>
            <w:tcW w:w="1068" w:type="dxa"/>
            <w:vAlign w:val="center"/>
          </w:tcPr>
          <w:p>
            <w:pPr>
              <w:pStyle w:val="13"/>
            </w:pPr>
            <w:r>
              <w:t>8.00</w:t>
            </w:r>
          </w:p>
        </w:tc>
        <w:tc>
          <w:tcPr>
            <w:tcW w:w="1044" w:type="dxa"/>
            <w:vAlign w:val="center"/>
          </w:tcPr>
          <w:p>
            <w:pPr>
              <w:pStyle w:val="13"/>
            </w:pPr>
            <w:r>
              <w:t>8.00</w:t>
            </w:r>
          </w:p>
        </w:tc>
        <w:tc>
          <w:tcPr>
            <w:tcW w:w="1044" w:type="dxa"/>
            <w:vAlign w:val="center"/>
          </w:tcPr>
          <w:p>
            <w:pPr>
              <w:pStyle w:val="13"/>
            </w:pPr>
            <w:r>
              <w:t>8.00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w:t>
            </w:r>
          </w:p>
        </w:tc>
        <w:tc>
          <w:tcPr>
            <w:tcW w:w="4156" w:type="dxa"/>
            <w:vAlign w:val="center"/>
          </w:tcPr>
          <w:p>
            <w:pPr>
              <w:pStyle w:val="14"/>
            </w:pPr>
            <w:r>
              <w:t>文化和旅游</w:t>
            </w:r>
          </w:p>
        </w:tc>
        <w:tc>
          <w:tcPr>
            <w:tcW w:w="1068" w:type="dxa"/>
            <w:vAlign w:val="center"/>
          </w:tcPr>
          <w:p>
            <w:pPr>
              <w:pStyle w:val="13"/>
            </w:pPr>
            <w:r>
              <w:t>8.00</w:t>
            </w:r>
          </w:p>
        </w:tc>
        <w:tc>
          <w:tcPr>
            <w:tcW w:w="1044" w:type="dxa"/>
            <w:vAlign w:val="center"/>
          </w:tcPr>
          <w:p>
            <w:pPr>
              <w:pStyle w:val="13"/>
            </w:pPr>
            <w:r>
              <w:t>8.00</w:t>
            </w:r>
          </w:p>
        </w:tc>
        <w:tc>
          <w:tcPr>
            <w:tcW w:w="1044" w:type="dxa"/>
            <w:vAlign w:val="center"/>
          </w:tcPr>
          <w:p>
            <w:pPr>
              <w:pStyle w:val="13"/>
            </w:pPr>
            <w:r>
              <w:t>8.00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2070102</w:t>
            </w:r>
          </w:p>
        </w:tc>
        <w:tc>
          <w:tcPr>
            <w:tcW w:w="4156" w:type="dxa"/>
            <w:vAlign w:val="center"/>
          </w:tcPr>
          <w:p>
            <w:pPr>
              <w:pStyle w:val="14"/>
            </w:pPr>
            <w:r>
              <w:t>一般行政管理事务</w:t>
            </w:r>
          </w:p>
        </w:tc>
        <w:tc>
          <w:tcPr>
            <w:tcW w:w="1068" w:type="dxa"/>
            <w:vAlign w:val="center"/>
          </w:tcPr>
          <w:p>
            <w:pPr>
              <w:pStyle w:val="13"/>
            </w:pPr>
            <w:r>
              <w:t>5.00</w:t>
            </w:r>
          </w:p>
        </w:tc>
        <w:tc>
          <w:tcPr>
            <w:tcW w:w="1044" w:type="dxa"/>
            <w:vAlign w:val="center"/>
          </w:tcPr>
          <w:p>
            <w:pPr>
              <w:pStyle w:val="13"/>
            </w:pPr>
            <w:r>
              <w:t>5.00</w:t>
            </w:r>
          </w:p>
        </w:tc>
        <w:tc>
          <w:tcPr>
            <w:tcW w:w="1044" w:type="dxa"/>
            <w:vAlign w:val="center"/>
          </w:tcPr>
          <w:p>
            <w:pPr>
              <w:pStyle w:val="13"/>
            </w:pPr>
            <w:r>
              <w:t>5.00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2070109</w:t>
            </w:r>
          </w:p>
        </w:tc>
        <w:tc>
          <w:tcPr>
            <w:tcW w:w="4156" w:type="dxa"/>
            <w:vAlign w:val="center"/>
          </w:tcPr>
          <w:p>
            <w:pPr>
              <w:pStyle w:val="14"/>
            </w:pPr>
            <w:r>
              <w:t>群众文化</w:t>
            </w:r>
          </w:p>
        </w:tc>
        <w:tc>
          <w:tcPr>
            <w:tcW w:w="1068" w:type="dxa"/>
            <w:vAlign w:val="center"/>
          </w:tcPr>
          <w:p>
            <w:pPr>
              <w:pStyle w:val="13"/>
            </w:pPr>
            <w:r>
              <w:t>3.00</w:t>
            </w:r>
          </w:p>
        </w:tc>
        <w:tc>
          <w:tcPr>
            <w:tcW w:w="1044" w:type="dxa"/>
            <w:vAlign w:val="center"/>
          </w:tcPr>
          <w:p>
            <w:pPr>
              <w:pStyle w:val="13"/>
            </w:pPr>
            <w:r>
              <w:t>3.00</w:t>
            </w:r>
          </w:p>
        </w:tc>
        <w:tc>
          <w:tcPr>
            <w:tcW w:w="1044" w:type="dxa"/>
            <w:vAlign w:val="center"/>
          </w:tcPr>
          <w:p>
            <w:pPr>
              <w:pStyle w:val="13"/>
            </w:pPr>
            <w:r>
              <w:t>3.00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4156" w:type="dxa"/>
            <w:vAlign w:val="center"/>
          </w:tcPr>
          <w:p>
            <w:pPr>
              <w:pStyle w:val="14"/>
            </w:pPr>
            <w:r>
              <w:t>社会保障和就业支出</w:t>
            </w:r>
          </w:p>
        </w:tc>
        <w:tc>
          <w:tcPr>
            <w:tcW w:w="1068" w:type="dxa"/>
            <w:vAlign w:val="center"/>
          </w:tcPr>
          <w:p>
            <w:pPr>
              <w:pStyle w:val="13"/>
            </w:pPr>
            <w:r>
              <w:t>116.26</w:t>
            </w:r>
          </w:p>
        </w:tc>
        <w:tc>
          <w:tcPr>
            <w:tcW w:w="1044" w:type="dxa"/>
            <w:vAlign w:val="center"/>
          </w:tcPr>
          <w:p>
            <w:pPr>
              <w:pStyle w:val="13"/>
            </w:pPr>
            <w:r>
              <w:t>116.26</w:t>
            </w:r>
          </w:p>
        </w:tc>
        <w:tc>
          <w:tcPr>
            <w:tcW w:w="1044" w:type="dxa"/>
            <w:vAlign w:val="center"/>
          </w:tcPr>
          <w:p>
            <w:pPr>
              <w:pStyle w:val="13"/>
            </w:pPr>
            <w:r>
              <w:t>116.26</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4156" w:type="dxa"/>
            <w:vAlign w:val="center"/>
          </w:tcPr>
          <w:p>
            <w:pPr>
              <w:pStyle w:val="14"/>
            </w:pPr>
            <w:r>
              <w:t>行政事业单位养老支出</w:t>
            </w:r>
          </w:p>
        </w:tc>
        <w:tc>
          <w:tcPr>
            <w:tcW w:w="1068" w:type="dxa"/>
            <w:vAlign w:val="center"/>
          </w:tcPr>
          <w:p>
            <w:pPr>
              <w:pStyle w:val="13"/>
            </w:pPr>
            <w:r>
              <w:t>116.26</w:t>
            </w:r>
          </w:p>
        </w:tc>
        <w:tc>
          <w:tcPr>
            <w:tcW w:w="1044" w:type="dxa"/>
            <w:vAlign w:val="center"/>
          </w:tcPr>
          <w:p>
            <w:pPr>
              <w:pStyle w:val="13"/>
            </w:pPr>
            <w:r>
              <w:t>116.26</w:t>
            </w:r>
          </w:p>
        </w:tc>
        <w:tc>
          <w:tcPr>
            <w:tcW w:w="1044" w:type="dxa"/>
            <w:vAlign w:val="center"/>
          </w:tcPr>
          <w:p>
            <w:pPr>
              <w:pStyle w:val="13"/>
            </w:pPr>
            <w:r>
              <w:t>116.26</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2080501</w:t>
            </w:r>
          </w:p>
        </w:tc>
        <w:tc>
          <w:tcPr>
            <w:tcW w:w="4156" w:type="dxa"/>
            <w:vAlign w:val="center"/>
          </w:tcPr>
          <w:p>
            <w:pPr>
              <w:pStyle w:val="14"/>
            </w:pPr>
            <w:r>
              <w:t>行政单位离退休</w:t>
            </w:r>
          </w:p>
        </w:tc>
        <w:tc>
          <w:tcPr>
            <w:tcW w:w="1068" w:type="dxa"/>
            <w:vAlign w:val="center"/>
          </w:tcPr>
          <w:p>
            <w:pPr>
              <w:pStyle w:val="13"/>
            </w:pPr>
            <w:r>
              <w:t>22.61</w:t>
            </w:r>
          </w:p>
        </w:tc>
        <w:tc>
          <w:tcPr>
            <w:tcW w:w="1044" w:type="dxa"/>
            <w:vAlign w:val="center"/>
          </w:tcPr>
          <w:p>
            <w:pPr>
              <w:pStyle w:val="13"/>
            </w:pPr>
            <w:r>
              <w:t>22.61</w:t>
            </w:r>
          </w:p>
        </w:tc>
        <w:tc>
          <w:tcPr>
            <w:tcW w:w="1044" w:type="dxa"/>
            <w:vAlign w:val="center"/>
          </w:tcPr>
          <w:p>
            <w:pPr>
              <w:pStyle w:val="13"/>
            </w:pPr>
            <w:r>
              <w:t>22.61</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2080505</w:t>
            </w:r>
          </w:p>
        </w:tc>
        <w:tc>
          <w:tcPr>
            <w:tcW w:w="4156" w:type="dxa"/>
            <w:vAlign w:val="center"/>
          </w:tcPr>
          <w:p>
            <w:pPr>
              <w:pStyle w:val="14"/>
            </w:pPr>
            <w:r>
              <w:t>机关事业单位基本养老保险缴费支出</w:t>
            </w:r>
          </w:p>
        </w:tc>
        <w:tc>
          <w:tcPr>
            <w:tcW w:w="1068" w:type="dxa"/>
            <w:vAlign w:val="center"/>
          </w:tcPr>
          <w:p>
            <w:pPr>
              <w:pStyle w:val="13"/>
            </w:pPr>
            <w:r>
              <w:t>74.49</w:t>
            </w:r>
          </w:p>
        </w:tc>
        <w:tc>
          <w:tcPr>
            <w:tcW w:w="1044" w:type="dxa"/>
            <w:vAlign w:val="center"/>
          </w:tcPr>
          <w:p>
            <w:pPr>
              <w:pStyle w:val="13"/>
            </w:pPr>
            <w:r>
              <w:t>74.49</w:t>
            </w:r>
          </w:p>
        </w:tc>
        <w:tc>
          <w:tcPr>
            <w:tcW w:w="1044" w:type="dxa"/>
            <w:vAlign w:val="center"/>
          </w:tcPr>
          <w:p>
            <w:pPr>
              <w:pStyle w:val="13"/>
            </w:pPr>
            <w:r>
              <w:t>74.49</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2080506</w:t>
            </w:r>
          </w:p>
        </w:tc>
        <w:tc>
          <w:tcPr>
            <w:tcW w:w="4156" w:type="dxa"/>
            <w:vAlign w:val="center"/>
          </w:tcPr>
          <w:p>
            <w:pPr>
              <w:pStyle w:val="14"/>
            </w:pPr>
            <w:r>
              <w:t>机关事业单位职业年金缴费支出</w:t>
            </w:r>
          </w:p>
        </w:tc>
        <w:tc>
          <w:tcPr>
            <w:tcW w:w="1068" w:type="dxa"/>
            <w:vAlign w:val="center"/>
          </w:tcPr>
          <w:p>
            <w:pPr>
              <w:pStyle w:val="13"/>
            </w:pPr>
            <w:r>
              <w:t>19.16</w:t>
            </w:r>
          </w:p>
        </w:tc>
        <w:tc>
          <w:tcPr>
            <w:tcW w:w="1044" w:type="dxa"/>
            <w:vAlign w:val="center"/>
          </w:tcPr>
          <w:p>
            <w:pPr>
              <w:pStyle w:val="13"/>
            </w:pPr>
            <w:r>
              <w:t>19.16</w:t>
            </w:r>
          </w:p>
        </w:tc>
        <w:tc>
          <w:tcPr>
            <w:tcW w:w="1044" w:type="dxa"/>
            <w:vAlign w:val="center"/>
          </w:tcPr>
          <w:p>
            <w:pPr>
              <w:pStyle w:val="13"/>
            </w:pPr>
            <w:r>
              <w:t>19.16</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4156" w:type="dxa"/>
            <w:vAlign w:val="center"/>
          </w:tcPr>
          <w:p>
            <w:pPr>
              <w:pStyle w:val="14"/>
            </w:pPr>
            <w:r>
              <w:t>卫生健康支出</w:t>
            </w:r>
          </w:p>
        </w:tc>
        <w:tc>
          <w:tcPr>
            <w:tcW w:w="1068" w:type="dxa"/>
            <w:vAlign w:val="center"/>
          </w:tcPr>
          <w:p>
            <w:pPr>
              <w:pStyle w:val="13"/>
            </w:pPr>
            <w:r>
              <w:t>29.00</w:t>
            </w:r>
          </w:p>
        </w:tc>
        <w:tc>
          <w:tcPr>
            <w:tcW w:w="1044" w:type="dxa"/>
            <w:vAlign w:val="center"/>
          </w:tcPr>
          <w:p>
            <w:pPr>
              <w:pStyle w:val="13"/>
            </w:pPr>
            <w:r>
              <w:t>29.00</w:t>
            </w:r>
          </w:p>
        </w:tc>
        <w:tc>
          <w:tcPr>
            <w:tcW w:w="1044" w:type="dxa"/>
            <w:vAlign w:val="center"/>
          </w:tcPr>
          <w:p>
            <w:pPr>
              <w:pStyle w:val="13"/>
            </w:pPr>
            <w:r>
              <w:t>29.00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4156" w:type="dxa"/>
            <w:vAlign w:val="center"/>
          </w:tcPr>
          <w:p>
            <w:pPr>
              <w:pStyle w:val="14"/>
            </w:pPr>
            <w:r>
              <w:t>行政事业单位医疗</w:t>
            </w:r>
          </w:p>
        </w:tc>
        <w:tc>
          <w:tcPr>
            <w:tcW w:w="1068" w:type="dxa"/>
            <w:vAlign w:val="center"/>
          </w:tcPr>
          <w:p>
            <w:pPr>
              <w:pStyle w:val="13"/>
            </w:pPr>
            <w:r>
              <w:t>29.00</w:t>
            </w:r>
          </w:p>
        </w:tc>
        <w:tc>
          <w:tcPr>
            <w:tcW w:w="1044" w:type="dxa"/>
            <w:vAlign w:val="center"/>
          </w:tcPr>
          <w:p>
            <w:pPr>
              <w:pStyle w:val="13"/>
            </w:pPr>
            <w:r>
              <w:t>29.00</w:t>
            </w:r>
          </w:p>
        </w:tc>
        <w:tc>
          <w:tcPr>
            <w:tcW w:w="1044" w:type="dxa"/>
            <w:vAlign w:val="center"/>
          </w:tcPr>
          <w:p>
            <w:pPr>
              <w:pStyle w:val="13"/>
            </w:pPr>
            <w:r>
              <w:t>29.00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4156" w:type="dxa"/>
            <w:vAlign w:val="center"/>
          </w:tcPr>
          <w:p>
            <w:pPr>
              <w:pStyle w:val="14"/>
            </w:pPr>
            <w:r>
              <w:t>行政单位医疗</w:t>
            </w:r>
          </w:p>
        </w:tc>
        <w:tc>
          <w:tcPr>
            <w:tcW w:w="1068" w:type="dxa"/>
            <w:vAlign w:val="center"/>
          </w:tcPr>
          <w:p>
            <w:pPr>
              <w:pStyle w:val="13"/>
            </w:pPr>
            <w:r>
              <w:t>29.00</w:t>
            </w:r>
          </w:p>
        </w:tc>
        <w:tc>
          <w:tcPr>
            <w:tcW w:w="1044" w:type="dxa"/>
            <w:vAlign w:val="center"/>
          </w:tcPr>
          <w:p>
            <w:pPr>
              <w:pStyle w:val="13"/>
            </w:pPr>
            <w:r>
              <w:t>29.00</w:t>
            </w:r>
          </w:p>
        </w:tc>
        <w:tc>
          <w:tcPr>
            <w:tcW w:w="1044" w:type="dxa"/>
            <w:vAlign w:val="center"/>
          </w:tcPr>
          <w:p>
            <w:pPr>
              <w:pStyle w:val="13"/>
            </w:pPr>
            <w:r>
              <w:t>29.00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w:t>
            </w:r>
          </w:p>
        </w:tc>
        <w:tc>
          <w:tcPr>
            <w:tcW w:w="4156" w:type="dxa"/>
            <w:vAlign w:val="center"/>
          </w:tcPr>
          <w:p>
            <w:pPr>
              <w:pStyle w:val="14"/>
            </w:pPr>
            <w:r>
              <w:t>农林水支出</w:t>
            </w:r>
          </w:p>
        </w:tc>
        <w:tc>
          <w:tcPr>
            <w:tcW w:w="1068" w:type="dxa"/>
            <w:vAlign w:val="center"/>
          </w:tcPr>
          <w:p>
            <w:pPr>
              <w:pStyle w:val="13"/>
            </w:pPr>
            <w:r>
              <w:t>361.32</w:t>
            </w:r>
          </w:p>
        </w:tc>
        <w:tc>
          <w:tcPr>
            <w:tcW w:w="1044" w:type="dxa"/>
            <w:vAlign w:val="center"/>
          </w:tcPr>
          <w:p>
            <w:pPr>
              <w:pStyle w:val="13"/>
            </w:pPr>
            <w:r>
              <w:t>319.32</w:t>
            </w:r>
          </w:p>
        </w:tc>
        <w:tc>
          <w:tcPr>
            <w:tcW w:w="1044" w:type="dxa"/>
            <w:vAlign w:val="center"/>
          </w:tcPr>
          <w:p>
            <w:pPr>
              <w:pStyle w:val="13"/>
            </w:pPr>
            <w:r>
              <w:t>319.32</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21302</w:t>
            </w:r>
          </w:p>
        </w:tc>
        <w:tc>
          <w:tcPr>
            <w:tcW w:w="4156" w:type="dxa"/>
            <w:vAlign w:val="center"/>
          </w:tcPr>
          <w:p>
            <w:pPr>
              <w:pStyle w:val="14"/>
            </w:pPr>
            <w:r>
              <w:t>林业和草原</w:t>
            </w:r>
          </w:p>
        </w:tc>
        <w:tc>
          <w:tcPr>
            <w:tcW w:w="1068" w:type="dxa"/>
            <w:vAlign w:val="center"/>
          </w:tcPr>
          <w:p>
            <w:pPr>
              <w:pStyle w:val="13"/>
            </w:pPr>
            <w:r>
              <w:t>5.00</w:t>
            </w:r>
          </w:p>
        </w:tc>
        <w:tc>
          <w:tcPr>
            <w:tcW w:w="1044" w:type="dxa"/>
            <w:vAlign w:val="center"/>
          </w:tcPr>
          <w:p>
            <w:pPr>
              <w:pStyle w:val="13"/>
            </w:pPr>
            <w:r>
              <w:t>5.00</w:t>
            </w:r>
          </w:p>
        </w:tc>
        <w:tc>
          <w:tcPr>
            <w:tcW w:w="1044" w:type="dxa"/>
            <w:vAlign w:val="center"/>
          </w:tcPr>
          <w:p>
            <w:pPr>
              <w:pStyle w:val="13"/>
            </w:pPr>
            <w:r>
              <w:t>5.00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2130234</w:t>
            </w:r>
          </w:p>
        </w:tc>
        <w:tc>
          <w:tcPr>
            <w:tcW w:w="4156" w:type="dxa"/>
            <w:vAlign w:val="center"/>
          </w:tcPr>
          <w:p>
            <w:pPr>
              <w:pStyle w:val="14"/>
            </w:pPr>
            <w:r>
              <w:t>林业草原防灾减灾</w:t>
            </w:r>
          </w:p>
        </w:tc>
        <w:tc>
          <w:tcPr>
            <w:tcW w:w="1068" w:type="dxa"/>
            <w:vAlign w:val="center"/>
          </w:tcPr>
          <w:p>
            <w:pPr>
              <w:pStyle w:val="13"/>
            </w:pPr>
            <w:r>
              <w:t>5.00</w:t>
            </w:r>
          </w:p>
        </w:tc>
        <w:tc>
          <w:tcPr>
            <w:tcW w:w="1044" w:type="dxa"/>
            <w:vAlign w:val="center"/>
          </w:tcPr>
          <w:p>
            <w:pPr>
              <w:pStyle w:val="13"/>
            </w:pPr>
            <w:r>
              <w:t>5.00</w:t>
            </w:r>
          </w:p>
        </w:tc>
        <w:tc>
          <w:tcPr>
            <w:tcW w:w="1044" w:type="dxa"/>
            <w:vAlign w:val="center"/>
          </w:tcPr>
          <w:p>
            <w:pPr>
              <w:pStyle w:val="13"/>
            </w:pPr>
            <w:r>
              <w:t>5.00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21307</w:t>
            </w:r>
          </w:p>
        </w:tc>
        <w:tc>
          <w:tcPr>
            <w:tcW w:w="4156" w:type="dxa"/>
            <w:vAlign w:val="center"/>
          </w:tcPr>
          <w:p>
            <w:pPr>
              <w:pStyle w:val="14"/>
            </w:pPr>
            <w:r>
              <w:t>农村综合改革</w:t>
            </w:r>
          </w:p>
        </w:tc>
        <w:tc>
          <w:tcPr>
            <w:tcW w:w="1068" w:type="dxa"/>
            <w:vAlign w:val="center"/>
          </w:tcPr>
          <w:p>
            <w:pPr>
              <w:pStyle w:val="13"/>
            </w:pPr>
            <w:r>
              <w:t>356.32</w:t>
            </w:r>
          </w:p>
        </w:tc>
        <w:tc>
          <w:tcPr>
            <w:tcW w:w="1044" w:type="dxa"/>
            <w:vAlign w:val="center"/>
          </w:tcPr>
          <w:p>
            <w:pPr>
              <w:pStyle w:val="13"/>
            </w:pPr>
            <w:r>
              <w:t>314.32</w:t>
            </w:r>
          </w:p>
        </w:tc>
        <w:tc>
          <w:tcPr>
            <w:tcW w:w="1044" w:type="dxa"/>
            <w:vAlign w:val="center"/>
          </w:tcPr>
          <w:p>
            <w:pPr>
              <w:pStyle w:val="13"/>
            </w:pPr>
            <w:r>
              <w:t>314.32</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2130701</w:t>
            </w:r>
          </w:p>
        </w:tc>
        <w:tc>
          <w:tcPr>
            <w:tcW w:w="4156" w:type="dxa"/>
            <w:vAlign w:val="center"/>
          </w:tcPr>
          <w:p>
            <w:pPr>
              <w:pStyle w:val="14"/>
            </w:pPr>
            <w:r>
              <w:t>对村级公益事业建设的补助</w:t>
            </w:r>
          </w:p>
        </w:tc>
        <w:tc>
          <w:tcPr>
            <w:tcW w:w="1068" w:type="dxa"/>
            <w:vAlign w:val="center"/>
          </w:tcPr>
          <w:p>
            <w:pPr>
              <w:pStyle w:val="13"/>
            </w:pPr>
            <w:r>
              <w:t>107.00</w:t>
            </w:r>
          </w:p>
        </w:tc>
        <w:tc>
          <w:tcPr>
            <w:tcW w:w="1044" w:type="dxa"/>
            <w:vAlign w:val="center"/>
          </w:tcPr>
          <w:p>
            <w:pPr>
              <w:pStyle w:val="13"/>
            </w:pPr>
            <w:r>
              <w:t>65.00</w:t>
            </w:r>
          </w:p>
        </w:tc>
        <w:tc>
          <w:tcPr>
            <w:tcW w:w="1044" w:type="dxa"/>
            <w:vAlign w:val="center"/>
          </w:tcPr>
          <w:p>
            <w:pPr>
              <w:pStyle w:val="13"/>
            </w:pPr>
            <w:r>
              <w:t>65.00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2130705</w:t>
            </w:r>
          </w:p>
        </w:tc>
        <w:tc>
          <w:tcPr>
            <w:tcW w:w="4156" w:type="dxa"/>
            <w:vAlign w:val="center"/>
          </w:tcPr>
          <w:p>
            <w:pPr>
              <w:pStyle w:val="14"/>
            </w:pPr>
            <w:r>
              <w:t>对村民委员会和村党支部的补助</w:t>
            </w:r>
          </w:p>
        </w:tc>
        <w:tc>
          <w:tcPr>
            <w:tcW w:w="1068" w:type="dxa"/>
            <w:vAlign w:val="center"/>
          </w:tcPr>
          <w:p>
            <w:pPr>
              <w:pStyle w:val="13"/>
            </w:pPr>
            <w:r>
              <w:t>239.32</w:t>
            </w:r>
          </w:p>
        </w:tc>
        <w:tc>
          <w:tcPr>
            <w:tcW w:w="1044" w:type="dxa"/>
            <w:vAlign w:val="center"/>
          </w:tcPr>
          <w:p>
            <w:pPr>
              <w:pStyle w:val="13"/>
            </w:pPr>
            <w:r>
              <w:t>239.32</w:t>
            </w:r>
          </w:p>
        </w:tc>
        <w:tc>
          <w:tcPr>
            <w:tcW w:w="1044" w:type="dxa"/>
            <w:vAlign w:val="center"/>
          </w:tcPr>
          <w:p>
            <w:pPr>
              <w:pStyle w:val="13"/>
            </w:pPr>
            <w:r>
              <w:t>239.32</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2130706</w:t>
            </w:r>
          </w:p>
        </w:tc>
        <w:tc>
          <w:tcPr>
            <w:tcW w:w="4156" w:type="dxa"/>
            <w:vAlign w:val="center"/>
          </w:tcPr>
          <w:p>
            <w:pPr>
              <w:pStyle w:val="14"/>
            </w:pPr>
            <w:r>
              <w:t>对村集体经济组织的补助</w:t>
            </w:r>
          </w:p>
        </w:tc>
        <w:tc>
          <w:tcPr>
            <w:tcW w:w="1068" w:type="dxa"/>
            <w:vAlign w:val="center"/>
          </w:tcPr>
          <w:p>
            <w:pPr>
              <w:pStyle w:val="13"/>
            </w:pPr>
            <w:r>
              <w:t>10.00</w:t>
            </w:r>
          </w:p>
        </w:tc>
        <w:tc>
          <w:tcPr>
            <w:tcW w:w="1044" w:type="dxa"/>
            <w:vAlign w:val="center"/>
          </w:tcPr>
          <w:p>
            <w:pPr>
              <w:pStyle w:val="13"/>
            </w:pPr>
            <w:r>
              <w:t>10.00</w:t>
            </w:r>
          </w:p>
        </w:tc>
        <w:tc>
          <w:tcPr>
            <w:tcW w:w="1044" w:type="dxa"/>
            <w:vAlign w:val="center"/>
          </w:tcPr>
          <w:p>
            <w:pPr>
              <w:pStyle w:val="13"/>
            </w:pPr>
            <w:r>
              <w:t>10.00</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221</w:t>
            </w:r>
          </w:p>
        </w:tc>
        <w:tc>
          <w:tcPr>
            <w:tcW w:w="4156" w:type="dxa"/>
            <w:vAlign w:val="center"/>
          </w:tcPr>
          <w:p>
            <w:pPr>
              <w:pStyle w:val="14"/>
            </w:pPr>
            <w:r>
              <w:t>住房保障支出</w:t>
            </w:r>
          </w:p>
        </w:tc>
        <w:tc>
          <w:tcPr>
            <w:tcW w:w="1068" w:type="dxa"/>
            <w:vAlign w:val="center"/>
          </w:tcPr>
          <w:p>
            <w:pPr>
              <w:pStyle w:val="13"/>
            </w:pPr>
            <w:r>
              <w:t>44.72</w:t>
            </w:r>
          </w:p>
        </w:tc>
        <w:tc>
          <w:tcPr>
            <w:tcW w:w="1044" w:type="dxa"/>
            <w:vAlign w:val="center"/>
          </w:tcPr>
          <w:p>
            <w:pPr>
              <w:pStyle w:val="13"/>
            </w:pPr>
            <w:r>
              <w:t>44.72</w:t>
            </w:r>
          </w:p>
        </w:tc>
        <w:tc>
          <w:tcPr>
            <w:tcW w:w="1044" w:type="dxa"/>
            <w:vAlign w:val="center"/>
          </w:tcPr>
          <w:p>
            <w:pPr>
              <w:pStyle w:val="13"/>
            </w:pPr>
            <w:r>
              <w:t>44.72</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22102</w:t>
            </w:r>
          </w:p>
        </w:tc>
        <w:tc>
          <w:tcPr>
            <w:tcW w:w="4156" w:type="dxa"/>
            <w:vAlign w:val="center"/>
          </w:tcPr>
          <w:p>
            <w:pPr>
              <w:pStyle w:val="14"/>
            </w:pPr>
            <w:r>
              <w:t>住房改革支出</w:t>
            </w:r>
          </w:p>
        </w:tc>
        <w:tc>
          <w:tcPr>
            <w:tcW w:w="1068" w:type="dxa"/>
            <w:vAlign w:val="center"/>
          </w:tcPr>
          <w:p>
            <w:pPr>
              <w:pStyle w:val="13"/>
            </w:pPr>
            <w:r>
              <w:t>44.72</w:t>
            </w:r>
          </w:p>
        </w:tc>
        <w:tc>
          <w:tcPr>
            <w:tcW w:w="1044" w:type="dxa"/>
            <w:vAlign w:val="center"/>
          </w:tcPr>
          <w:p>
            <w:pPr>
              <w:pStyle w:val="13"/>
            </w:pPr>
            <w:r>
              <w:t>44.72</w:t>
            </w:r>
          </w:p>
        </w:tc>
        <w:tc>
          <w:tcPr>
            <w:tcW w:w="1044" w:type="dxa"/>
            <w:vAlign w:val="center"/>
          </w:tcPr>
          <w:p>
            <w:pPr>
              <w:pStyle w:val="13"/>
            </w:pPr>
            <w:r>
              <w:t>44.72</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2210201</w:t>
            </w:r>
          </w:p>
        </w:tc>
        <w:tc>
          <w:tcPr>
            <w:tcW w:w="4156" w:type="dxa"/>
            <w:vAlign w:val="center"/>
          </w:tcPr>
          <w:p>
            <w:pPr>
              <w:pStyle w:val="14"/>
            </w:pPr>
            <w:r>
              <w:t>住房公积金</w:t>
            </w:r>
          </w:p>
        </w:tc>
        <w:tc>
          <w:tcPr>
            <w:tcW w:w="1068" w:type="dxa"/>
            <w:vAlign w:val="center"/>
          </w:tcPr>
          <w:p>
            <w:pPr>
              <w:pStyle w:val="13"/>
            </w:pPr>
            <w:r>
              <w:t>44.72</w:t>
            </w:r>
          </w:p>
        </w:tc>
        <w:tc>
          <w:tcPr>
            <w:tcW w:w="1044" w:type="dxa"/>
            <w:vAlign w:val="center"/>
          </w:tcPr>
          <w:p>
            <w:pPr>
              <w:pStyle w:val="13"/>
            </w:pPr>
            <w:r>
              <w:t>44.72</w:t>
            </w:r>
          </w:p>
        </w:tc>
        <w:tc>
          <w:tcPr>
            <w:tcW w:w="1044" w:type="dxa"/>
            <w:vAlign w:val="center"/>
          </w:tcPr>
          <w:p>
            <w:pPr>
              <w:pStyle w:val="13"/>
            </w:pPr>
            <w:r>
              <w:t>44.72</w:t>
            </w:r>
          </w:p>
        </w:tc>
        <w:tc>
          <w:tcPr>
            <w:tcW w:w="732" w:type="dxa"/>
            <w:vAlign w:val="center"/>
          </w:tcPr>
          <w:p>
            <w:pPr>
              <w:pStyle w:val="13"/>
            </w:pPr>
          </w:p>
        </w:tc>
        <w:tc>
          <w:tcPr>
            <w:tcW w:w="672" w:type="dxa"/>
            <w:vAlign w:val="center"/>
          </w:tcPr>
          <w:p>
            <w:pPr>
              <w:pStyle w:val="13"/>
            </w:pPr>
          </w:p>
        </w:tc>
        <w:tc>
          <w:tcPr>
            <w:tcW w:w="780" w:type="dxa"/>
            <w:vAlign w:val="center"/>
          </w:tcPr>
          <w:p>
            <w:pPr>
              <w:pStyle w:val="13"/>
            </w:pPr>
          </w:p>
        </w:tc>
        <w:tc>
          <w:tcPr>
            <w:tcW w:w="948" w:type="dxa"/>
            <w:vAlign w:val="center"/>
          </w:tcPr>
          <w:p>
            <w:pPr>
              <w:pStyle w:val="13"/>
            </w:pPr>
          </w:p>
        </w:tc>
        <w:tc>
          <w:tcPr>
            <w:tcW w:w="948" w:type="dxa"/>
            <w:vAlign w:val="center"/>
          </w:tcPr>
          <w:p>
            <w:pPr>
              <w:pStyle w:val="13"/>
            </w:pPr>
          </w:p>
        </w:tc>
        <w:tc>
          <w:tcPr>
            <w:tcW w:w="756" w:type="dxa"/>
            <w:vAlign w:val="center"/>
          </w:tcPr>
          <w:p>
            <w:pPr>
              <w:pStyle w:val="13"/>
            </w:pPr>
          </w:p>
        </w:tc>
        <w:tc>
          <w:tcPr>
            <w:tcW w:w="7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721" w:type="dxa"/>
            <w:gridSpan w:val="2"/>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1291.61</w:t>
            </w:r>
          </w:p>
        </w:tc>
        <w:tc>
          <w:tcPr>
            <w:tcW w:w="1361" w:type="dxa"/>
            <w:vAlign w:val="center"/>
          </w:tcPr>
          <w:p>
            <w:pPr>
              <w:pStyle w:val="17"/>
              <w:rPr>
                <w:rFonts w:hint="eastAsia" w:eastAsia="方正书宋_GBK"/>
                <w:lang w:eastAsia="zh-CN"/>
              </w:rPr>
            </w:pPr>
            <w:r>
              <w:t>871.8</w:t>
            </w:r>
            <w:r>
              <w:rPr>
                <w:rFonts w:hint="eastAsia"/>
                <w:lang w:val="en-US" w:eastAsia="zh-CN"/>
              </w:rPr>
              <w:t>8</w:t>
            </w:r>
          </w:p>
        </w:tc>
        <w:tc>
          <w:tcPr>
            <w:tcW w:w="1361" w:type="dxa"/>
            <w:vAlign w:val="center"/>
          </w:tcPr>
          <w:p>
            <w:pPr>
              <w:pStyle w:val="17"/>
            </w:pPr>
            <w:r>
              <w:t>419.73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732.31</w:t>
            </w:r>
          </w:p>
        </w:tc>
        <w:tc>
          <w:tcPr>
            <w:tcW w:w="1361" w:type="dxa"/>
            <w:vAlign w:val="center"/>
          </w:tcPr>
          <w:p>
            <w:pPr>
              <w:pStyle w:val="13"/>
            </w:pPr>
            <w:r>
              <w:t>681.90</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732.31</w:t>
            </w:r>
          </w:p>
        </w:tc>
        <w:tc>
          <w:tcPr>
            <w:tcW w:w="1361" w:type="dxa"/>
            <w:vAlign w:val="center"/>
          </w:tcPr>
          <w:p>
            <w:pPr>
              <w:pStyle w:val="13"/>
            </w:pPr>
            <w:r>
              <w:t>681.90</w:t>
            </w:r>
          </w:p>
        </w:tc>
        <w:tc>
          <w:tcPr>
            <w:tcW w:w="1361" w:type="dxa"/>
            <w:vAlign w:val="center"/>
          </w:tcPr>
          <w:p>
            <w:pPr>
              <w:pStyle w:val="13"/>
            </w:pPr>
            <w:r>
              <w:t>50.41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681.90</w:t>
            </w:r>
          </w:p>
        </w:tc>
        <w:tc>
          <w:tcPr>
            <w:tcW w:w="1361" w:type="dxa"/>
            <w:vAlign w:val="center"/>
          </w:tcPr>
          <w:p>
            <w:pPr>
              <w:pStyle w:val="13"/>
            </w:pPr>
            <w:r>
              <w:t>681.90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45.41</w:t>
            </w:r>
          </w:p>
        </w:tc>
        <w:tc>
          <w:tcPr>
            <w:tcW w:w="1361" w:type="dxa"/>
            <w:vAlign w:val="center"/>
          </w:tcPr>
          <w:p>
            <w:pPr>
              <w:pStyle w:val="13"/>
            </w:pPr>
          </w:p>
        </w:tc>
        <w:tc>
          <w:tcPr>
            <w:tcW w:w="1361" w:type="dxa"/>
            <w:vAlign w:val="center"/>
          </w:tcPr>
          <w:p>
            <w:pPr>
              <w:pStyle w:val="13"/>
            </w:pPr>
            <w:r>
              <w:t>45.41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2070102</w:t>
            </w:r>
          </w:p>
        </w:tc>
        <w:tc>
          <w:tcPr>
            <w:tcW w:w="4535" w:type="dxa"/>
            <w:vAlign w:val="center"/>
          </w:tcPr>
          <w:p>
            <w:pPr>
              <w:pStyle w:val="14"/>
            </w:pPr>
            <w:r>
              <w:t>一般行政管理事务</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2070109</w:t>
            </w:r>
          </w:p>
        </w:tc>
        <w:tc>
          <w:tcPr>
            <w:tcW w:w="4535" w:type="dxa"/>
            <w:vAlign w:val="center"/>
          </w:tcPr>
          <w:p>
            <w:pPr>
              <w:pStyle w:val="14"/>
            </w:pPr>
            <w:r>
              <w:t>群众文化</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116.26</w:t>
            </w:r>
          </w:p>
        </w:tc>
        <w:tc>
          <w:tcPr>
            <w:tcW w:w="1361" w:type="dxa"/>
            <w:vAlign w:val="center"/>
          </w:tcPr>
          <w:p>
            <w:pPr>
              <w:pStyle w:val="13"/>
            </w:pPr>
            <w:r>
              <w:t>116.26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116.26</w:t>
            </w:r>
          </w:p>
        </w:tc>
        <w:tc>
          <w:tcPr>
            <w:tcW w:w="1361" w:type="dxa"/>
            <w:vAlign w:val="center"/>
          </w:tcPr>
          <w:p>
            <w:pPr>
              <w:pStyle w:val="13"/>
            </w:pPr>
            <w:r>
              <w:t>116.26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22.61</w:t>
            </w:r>
          </w:p>
        </w:tc>
        <w:tc>
          <w:tcPr>
            <w:tcW w:w="1361" w:type="dxa"/>
            <w:vAlign w:val="center"/>
          </w:tcPr>
          <w:p>
            <w:pPr>
              <w:pStyle w:val="13"/>
            </w:pPr>
            <w:r>
              <w:t>22.61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74.49</w:t>
            </w:r>
          </w:p>
        </w:tc>
        <w:tc>
          <w:tcPr>
            <w:tcW w:w="1361" w:type="dxa"/>
            <w:vAlign w:val="center"/>
          </w:tcPr>
          <w:p>
            <w:pPr>
              <w:pStyle w:val="13"/>
            </w:pPr>
            <w:r>
              <w:t>74.49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19.16</w:t>
            </w:r>
          </w:p>
        </w:tc>
        <w:tc>
          <w:tcPr>
            <w:tcW w:w="1361" w:type="dxa"/>
            <w:vAlign w:val="center"/>
          </w:tcPr>
          <w:p>
            <w:pPr>
              <w:pStyle w:val="13"/>
            </w:pPr>
            <w:r>
              <w:t>19.16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29.00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361.32</w:t>
            </w:r>
          </w:p>
        </w:tc>
        <w:tc>
          <w:tcPr>
            <w:tcW w:w="1361" w:type="dxa"/>
            <w:vAlign w:val="center"/>
          </w:tcPr>
          <w:p>
            <w:pPr>
              <w:pStyle w:val="13"/>
            </w:pPr>
          </w:p>
        </w:tc>
        <w:tc>
          <w:tcPr>
            <w:tcW w:w="1361" w:type="dxa"/>
            <w:vAlign w:val="center"/>
          </w:tcPr>
          <w:p>
            <w:pPr>
              <w:pStyle w:val="13"/>
            </w:pPr>
            <w:r>
              <w:t>361.32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2130234</w:t>
            </w:r>
          </w:p>
        </w:tc>
        <w:tc>
          <w:tcPr>
            <w:tcW w:w="4535" w:type="dxa"/>
            <w:vAlign w:val="center"/>
          </w:tcPr>
          <w:p>
            <w:pPr>
              <w:pStyle w:val="14"/>
            </w:pPr>
            <w:r>
              <w:t>林业草原防灾减灾</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356.32</w:t>
            </w:r>
          </w:p>
        </w:tc>
        <w:tc>
          <w:tcPr>
            <w:tcW w:w="1361" w:type="dxa"/>
            <w:vAlign w:val="center"/>
          </w:tcPr>
          <w:p>
            <w:pPr>
              <w:pStyle w:val="13"/>
            </w:pPr>
          </w:p>
        </w:tc>
        <w:tc>
          <w:tcPr>
            <w:tcW w:w="1361" w:type="dxa"/>
            <w:vAlign w:val="center"/>
          </w:tcPr>
          <w:p>
            <w:pPr>
              <w:pStyle w:val="13"/>
            </w:pPr>
            <w:r>
              <w:t>356.32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107.00</w:t>
            </w:r>
          </w:p>
        </w:tc>
        <w:tc>
          <w:tcPr>
            <w:tcW w:w="1361" w:type="dxa"/>
            <w:vAlign w:val="center"/>
          </w:tcPr>
          <w:p>
            <w:pPr>
              <w:pStyle w:val="13"/>
            </w:pPr>
          </w:p>
        </w:tc>
        <w:tc>
          <w:tcPr>
            <w:tcW w:w="1361" w:type="dxa"/>
            <w:vAlign w:val="center"/>
          </w:tcPr>
          <w:p>
            <w:pPr>
              <w:pStyle w:val="13"/>
            </w:pPr>
            <w:r>
              <w:t>107.00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239.32</w:t>
            </w:r>
          </w:p>
        </w:tc>
        <w:tc>
          <w:tcPr>
            <w:tcW w:w="1361" w:type="dxa"/>
            <w:vAlign w:val="center"/>
          </w:tcPr>
          <w:p>
            <w:pPr>
              <w:pStyle w:val="13"/>
            </w:pPr>
          </w:p>
        </w:tc>
        <w:tc>
          <w:tcPr>
            <w:tcW w:w="1361" w:type="dxa"/>
            <w:vAlign w:val="center"/>
          </w:tcPr>
          <w:p>
            <w:pPr>
              <w:pStyle w:val="13"/>
            </w:pPr>
            <w:r>
              <w:t>239.32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2130706</w:t>
            </w:r>
          </w:p>
        </w:tc>
        <w:tc>
          <w:tcPr>
            <w:tcW w:w="4535" w:type="dxa"/>
            <w:vAlign w:val="center"/>
          </w:tcPr>
          <w:p>
            <w:pPr>
              <w:pStyle w:val="14"/>
            </w:pPr>
            <w:r>
              <w:t>对村集体经济组织的补助</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44.72</w:t>
            </w:r>
          </w:p>
        </w:tc>
        <w:tc>
          <w:tcPr>
            <w:tcW w:w="1361" w:type="dxa"/>
            <w:vAlign w:val="center"/>
          </w:tcPr>
          <w:p>
            <w:pPr>
              <w:pStyle w:val="13"/>
            </w:pPr>
            <w:r>
              <w:t>44.72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44.72</w:t>
            </w:r>
          </w:p>
        </w:tc>
        <w:tc>
          <w:tcPr>
            <w:tcW w:w="1361" w:type="dxa"/>
            <w:vAlign w:val="center"/>
          </w:tcPr>
          <w:p>
            <w:pPr>
              <w:pStyle w:val="13"/>
            </w:pPr>
            <w:r>
              <w:t>44.72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44.72</w:t>
            </w:r>
          </w:p>
        </w:tc>
        <w:tc>
          <w:tcPr>
            <w:tcW w:w="1361" w:type="dxa"/>
            <w:vAlign w:val="center"/>
          </w:tcPr>
          <w:p>
            <w:pPr>
              <w:pStyle w:val="13"/>
            </w:pPr>
            <w:r>
              <w:t>44.72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4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2"/>
        <w:gridCol w:w="3496"/>
        <w:gridCol w:w="1516"/>
        <w:gridCol w:w="3496"/>
        <w:gridCol w:w="1514"/>
        <w:gridCol w:w="1514"/>
        <w:gridCol w:w="1514"/>
        <w:gridCol w:w="1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5884"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3496"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6059" w:type="dxa"/>
            <w:gridSpan w:val="4"/>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872" w:type="dxa"/>
            <w:vMerge w:val="restart"/>
            <w:vAlign w:val="center"/>
          </w:tcPr>
          <w:p>
            <w:pPr>
              <w:pStyle w:val="12"/>
            </w:pPr>
            <w:r>
              <w:t>序号</w:t>
            </w:r>
          </w:p>
        </w:tc>
        <w:tc>
          <w:tcPr>
            <w:tcW w:w="5012" w:type="dxa"/>
            <w:gridSpan w:val="2"/>
            <w:vAlign w:val="center"/>
          </w:tcPr>
          <w:p>
            <w:pPr>
              <w:pStyle w:val="12"/>
            </w:pPr>
            <w:r>
              <w:t>收入</w:t>
            </w:r>
          </w:p>
        </w:tc>
        <w:tc>
          <w:tcPr>
            <w:tcW w:w="955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8" w:hRule="atLeast"/>
          <w:tblHeader/>
          <w:jc w:val="center"/>
        </w:trPr>
        <w:tc>
          <w:tcPr>
            <w:tcW w:w="872" w:type="dxa"/>
            <w:vMerge w:val="continue"/>
          </w:tcPr>
          <w:p/>
        </w:tc>
        <w:tc>
          <w:tcPr>
            <w:tcW w:w="3496" w:type="dxa"/>
            <w:vAlign w:val="center"/>
          </w:tcPr>
          <w:p>
            <w:pPr>
              <w:pStyle w:val="12"/>
            </w:pPr>
            <w:r>
              <w:t>项  目</w:t>
            </w:r>
          </w:p>
        </w:tc>
        <w:tc>
          <w:tcPr>
            <w:tcW w:w="1516" w:type="dxa"/>
            <w:vAlign w:val="center"/>
          </w:tcPr>
          <w:p>
            <w:pPr>
              <w:pStyle w:val="12"/>
            </w:pPr>
            <w:r>
              <w:t>金额</w:t>
            </w:r>
          </w:p>
        </w:tc>
        <w:tc>
          <w:tcPr>
            <w:tcW w:w="3496" w:type="dxa"/>
            <w:vAlign w:val="center"/>
          </w:tcPr>
          <w:p>
            <w:pPr>
              <w:pStyle w:val="12"/>
            </w:pPr>
            <w:r>
              <w:t>项  目</w:t>
            </w:r>
          </w:p>
        </w:tc>
        <w:tc>
          <w:tcPr>
            <w:tcW w:w="1514" w:type="dxa"/>
            <w:vAlign w:val="center"/>
          </w:tcPr>
          <w:p>
            <w:pPr>
              <w:pStyle w:val="12"/>
            </w:pPr>
            <w:r>
              <w:t>合计</w:t>
            </w:r>
          </w:p>
        </w:tc>
        <w:tc>
          <w:tcPr>
            <w:tcW w:w="1514" w:type="dxa"/>
            <w:vAlign w:val="center"/>
          </w:tcPr>
          <w:p>
            <w:pPr>
              <w:pStyle w:val="12"/>
            </w:pPr>
            <w:r>
              <w:t>一般公共预算财政拨款</w:t>
            </w:r>
          </w:p>
        </w:tc>
        <w:tc>
          <w:tcPr>
            <w:tcW w:w="1514" w:type="dxa"/>
            <w:vAlign w:val="center"/>
          </w:tcPr>
          <w:p>
            <w:pPr>
              <w:pStyle w:val="12"/>
            </w:pPr>
            <w:r>
              <w:t>政府性基金预算财政    拨款</w:t>
            </w:r>
          </w:p>
        </w:tc>
        <w:tc>
          <w:tcPr>
            <w:tcW w:w="151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872" w:type="dxa"/>
            <w:vAlign w:val="center"/>
          </w:tcPr>
          <w:p>
            <w:pPr>
              <w:pStyle w:val="12"/>
            </w:pPr>
            <w:r>
              <w:t>栏次</w:t>
            </w:r>
          </w:p>
        </w:tc>
        <w:tc>
          <w:tcPr>
            <w:tcW w:w="3496" w:type="dxa"/>
            <w:vAlign w:val="center"/>
          </w:tcPr>
          <w:p>
            <w:pPr>
              <w:pStyle w:val="12"/>
            </w:pPr>
            <w:r>
              <w:t>1</w:t>
            </w:r>
          </w:p>
        </w:tc>
        <w:tc>
          <w:tcPr>
            <w:tcW w:w="1516" w:type="dxa"/>
            <w:vAlign w:val="center"/>
          </w:tcPr>
          <w:p>
            <w:pPr>
              <w:pStyle w:val="12"/>
            </w:pPr>
            <w:r>
              <w:t>2</w:t>
            </w:r>
          </w:p>
        </w:tc>
        <w:tc>
          <w:tcPr>
            <w:tcW w:w="3496" w:type="dxa"/>
            <w:vAlign w:val="center"/>
          </w:tcPr>
          <w:p>
            <w:pPr>
              <w:pStyle w:val="12"/>
            </w:pPr>
            <w:r>
              <w:t>3</w:t>
            </w:r>
          </w:p>
        </w:tc>
        <w:tc>
          <w:tcPr>
            <w:tcW w:w="1514" w:type="dxa"/>
            <w:vAlign w:val="center"/>
          </w:tcPr>
          <w:p>
            <w:pPr>
              <w:pStyle w:val="12"/>
            </w:pPr>
            <w:r>
              <w:t>4</w:t>
            </w:r>
          </w:p>
        </w:tc>
        <w:tc>
          <w:tcPr>
            <w:tcW w:w="1514" w:type="dxa"/>
            <w:vAlign w:val="center"/>
          </w:tcPr>
          <w:p>
            <w:pPr>
              <w:pStyle w:val="12"/>
            </w:pPr>
            <w:r>
              <w:t>5</w:t>
            </w:r>
          </w:p>
        </w:tc>
        <w:tc>
          <w:tcPr>
            <w:tcW w:w="1514" w:type="dxa"/>
            <w:vAlign w:val="center"/>
          </w:tcPr>
          <w:p>
            <w:pPr>
              <w:pStyle w:val="12"/>
            </w:pPr>
            <w:r>
              <w:t>6</w:t>
            </w:r>
          </w:p>
        </w:tc>
        <w:tc>
          <w:tcPr>
            <w:tcW w:w="151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w:t>
            </w:r>
          </w:p>
        </w:tc>
        <w:tc>
          <w:tcPr>
            <w:tcW w:w="3496" w:type="dxa"/>
            <w:vAlign w:val="center"/>
          </w:tcPr>
          <w:p>
            <w:pPr>
              <w:pStyle w:val="14"/>
            </w:pPr>
            <w:r>
              <w:t>一、一般公共预算拨款</w:t>
            </w:r>
          </w:p>
        </w:tc>
        <w:tc>
          <w:tcPr>
            <w:tcW w:w="1516" w:type="dxa"/>
            <w:vAlign w:val="center"/>
          </w:tcPr>
          <w:p>
            <w:pPr>
              <w:pStyle w:val="13"/>
            </w:pPr>
            <w:r>
              <w:t>1249.61</w:t>
            </w:r>
          </w:p>
        </w:tc>
        <w:tc>
          <w:tcPr>
            <w:tcW w:w="3496" w:type="dxa"/>
            <w:vAlign w:val="center"/>
          </w:tcPr>
          <w:p>
            <w:pPr>
              <w:pStyle w:val="14"/>
            </w:pPr>
            <w:r>
              <w:t>一、一般公共服务支出</w:t>
            </w:r>
          </w:p>
        </w:tc>
        <w:tc>
          <w:tcPr>
            <w:tcW w:w="1514" w:type="dxa"/>
            <w:vAlign w:val="center"/>
          </w:tcPr>
          <w:p>
            <w:pPr>
              <w:pStyle w:val="13"/>
            </w:pPr>
            <w:r>
              <w:t>732.31</w:t>
            </w:r>
          </w:p>
        </w:tc>
        <w:tc>
          <w:tcPr>
            <w:tcW w:w="1514" w:type="dxa"/>
            <w:vAlign w:val="center"/>
          </w:tcPr>
          <w:p>
            <w:pPr>
              <w:pStyle w:val="13"/>
            </w:pPr>
            <w:r>
              <w:t>732.31</w:t>
            </w: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w:t>
            </w:r>
          </w:p>
        </w:tc>
        <w:tc>
          <w:tcPr>
            <w:tcW w:w="3496" w:type="dxa"/>
            <w:vAlign w:val="center"/>
          </w:tcPr>
          <w:p>
            <w:pPr>
              <w:pStyle w:val="14"/>
            </w:pPr>
            <w:r>
              <w:t>二、政府性基金预算拨款</w:t>
            </w:r>
          </w:p>
        </w:tc>
        <w:tc>
          <w:tcPr>
            <w:tcW w:w="1516" w:type="dxa"/>
            <w:vAlign w:val="center"/>
          </w:tcPr>
          <w:p>
            <w:pPr>
              <w:pStyle w:val="13"/>
            </w:pPr>
          </w:p>
        </w:tc>
        <w:tc>
          <w:tcPr>
            <w:tcW w:w="3496" w:type="dxa"/>
            <w:vAlign w:val="center"/>
          </w:tcPr>
          <w:p>
            <w:pPr>
              <w:pStyle w:val="14"/>
            </w:pPr>
            <w:r>
              <w:t>二、外交支出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3</w:t>
            </w:r>
          </w:p>
        </w:tc>
        <w:tc>
          <w:tcPr>
            <w:tcW w:w="3496" w:type="dxa"/>
            <w:vAlign w:val="center"/>
          </w:tcPr>
          <w:p>
            <w:pPr>
              <w:pStyle w:val="14"/>
            </w:pPr>
            <w:r>
              <w:t>三、国有资本经营预算拨款</w:t>
            </w:r>
          </w:p>
        </w:tc>
        <w:tc>
          <w:tcPr>
            <w:tcW w:w="1516" w:type="dxa"/>
            <w:vAlign w:val="center"/>
          </w:tcPr>
          <w:p>
            <w:pPr>
              <w:pStyle w:val="13"/>
            </w:pPr>
          </w:p>
        </w:tc>
        <w:tc>
          <w:tcPr>
            <w:tcW w:w="3496" w:type="dxa"/>
            <w:vAlign w:val="center"/>
          </w:tcPr>
          <w:p>
            <w:pPr>
              <w:pStyle w:val="14"/>
            </w:pPr>
            <w:r>
              <w:t>三、国防支出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4</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四、公共安全支出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5</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五、教育支出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6</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六、科学技术支出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7</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七、文化旅游体育与传媒支出</w:t>
            </w:r>
          </w:p>
        </w:tc>
        <w:tc>
          <w:tcPr>
            <w:tcW w:w="1514" w:type="dxa"/>
            <w:vAlign w:val="center"/>
          </w:tcPr>
          <w:p>
            <w:pPr>
              <w:pStyle w:val="13"/>
            </w:pPr>
            <w:r>
              <w:t>8.00</w:t>
            </w:r>
          </w:p>
        </w:tc>
        <w:tc>
          <w:tcPr>
            <w:tcW w:w="1514" w:type="dxa"/>
            <w:vAlign w:val="center"/>
          </w:tcPr>
          <w:p>
            <w:pPr>
              <w:pStyle w:val="13"/>
            </w:pPr>
            <w:r>
              <w:t>8.00</w:t>
            </w: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8</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八、社会保障和就业支出</w:t>
            </w:r>
          </w:p>
        </w:tc>
        <w:tc>
          <w:tcPr>
            <w:tcW w:w="1514" w:type="dxa"/>
            <w:vAlign w:val="center"/>
          </w:tcPr>
          <w:p>
            <w:pPr>
              <w:pStyle w:val="13"/>
            </w:pPr>
            <w:r>
              <w:t>116.26</w:t>
            </w:r>
          </w:p>
        </w:tc>
        <w:tc>
          <w:tcPr>
            <w:tcW w:w="1514" w:type="dxa"/>
            <w:vAlign w:val="center"/>
          </w:tcPr>
          <w:p>
            <w:pPr>
              <w:pStyle w:val="13"/>
            </w:pPr>
            <w:r>
              <w:t>116.26</w:t>
            </w: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9</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九、社会保险基金支出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10</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十、卫生健康支出</w:t>
            </w:r>
          </w:p>
        </w:tc>
        <w:tc>
          <w:tcPr>
            <w:tcW w:w="1514" w:type="dxa"/>
            <w:vAlign w:val="center"/>
          </w:tcPr>
          <w:p>
            <w:pPr>
              <w:pStyle w:val="13"/>
            </w:pPr>
            <w:r>
              <w:t>29.00</w:t>
            </w:r>
          </w:p>
        </w:tc>
        <w:tc>
          <w:tcPr>
            <w:tcW w:w="1514" w:type="dxa"/>
            <w:vAlign w:val="center"/>
          </w:tcPr>
          <w:p>
            <w:pPr>
              <w:pStyle w:val="13"/>
            </w:pPr>
            <w:r>
              <w:t>29.00</w:t>
            </w: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11</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十一、节能环保支出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12</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十二、城乡社区支出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13</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十三、农林水支出</w:t>
            </w:r>
          </w:p>
        </w:tc>
        <w:tc>
          <w:tcPr>
            <w:tcW w:w="1514" w:type="dxa"/>
            <w:vAlign w:val="center"/>
          </w:tcPr>
          <w:p>
            <w:pPr>
              <w:pStyle w:val="13"/>
            </w:pPr>
            <w:r>
              <w:t>361.32</w:t>
            </w:r>
          </w:p>
        </w:tc>
        <w:tc>
          <w:tcPr>
            <w:tcW w:w="1514" w:type="dxa"/>
            <w:vAlign w:val="center"/>
          </w:tcPr>
          <w:p>
            <w:pPr>
              <w:pStyle w:val="13"/>
            </w:pPr>
            <w:r>
              <w:t>361.32</w:t>
            </w: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14</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十四、交通运输支出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15</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十五、资源勘探工业信息等支出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16</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十六、商业服务业等支出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17</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十七、金融支出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18</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十八、援助其他地区支出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19</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十九、自然资源海洋气象等支出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20</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二十、住房保障支出</w:t>
            </w:r>
          </w:p>
        </w:tc>
        <w:tc>
          <w:tcPr>
            <w:tcW w:w="1514" w:type="dxa"/>
            <w:vAlign w:val="center"/>
          </w:tcPr>
          <w:p>
            <w:pPr>
              <w:pStyle w:val="13"/>
            </w:pPr>
            <w:r>
              <w:t>44.72</w:t>
            </w:r>
          </w:p>
        </w:tc>
        <w:tc>
          <w:tcPr>
            <w:tcW w:w="1514" w:type="dxa"/>
            <w:vAlign w:val="center"/>
          </w:tcPr>
          <w:p>
            <w:pPr>
              <w:pStyle w:val="13"/>
            </w:pPr>
            <w:r>
              <w:t>44.72</w:t>
            </w: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21</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二十一、粮油物资储备支出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22</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二十二、国有资本经营预算支出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23</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二十三、灾害防治及应急管理支出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24</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二十四、预备费</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25</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二十五、其他支出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26</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二十六、转移性支出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27</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二十七、债务还本支出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28</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二十八、债务付息支出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29</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二十九、债务发行费用支出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30</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三十、抗疫特别国债安排的支出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31</w:t>
            </w:r>
          </w:p>
        </w:tc>
        <w:tc>
          <w:tcPr>
            <w:tcW w:w="3496" w:type="dxa"/>
            <w:vAlign w:val="center"/>
          </w:tcPr>
          <w:p>
            <w:pPr>
              <w:pStyle w:val="14"/>
            </w:pPr>
          </w:p>
        </w:tc>
        <w:tc>
          <w:tcPr>
            <w:tcW w:w="1516" w:type="dxa"/>
            <w:vAlign w:val="center"/>
          </w:tcPr>
          <w:p>
            <w:pPr>
              <w:pStyle w:val="13"/>
            </w:pPr>
          </w:p>
        </w:tc>
        <w:tc>
          <w:tcPr>
            <w:tcW w:w="3496" w:type="dxa"/>
            <w:vAlign w:val="center"/>
          </w:tcPr>
          <w:p>
            <w:pPr>
              <w:pStyle w:val="14"/>
            </w:pPr>
            <w:r>
              <w:t>三十一、往来性支出</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32</w:t>
            </w:r>
          </w:p>
        </w:tc>
        <w:tc>
          <w:tcPr>
            <w:tcW w:w="3496" w:type="dxa"/>
            <w:vAlign w:val="center"/>
          </w:tcPr>
          <w:p>
            <w:pPr>
              <w:pStyle w:val="16"/>
            </w:pPr>
            <w:r>
              <w:t>本年收入合计</w:t>
            </w:r>
          </w:p>
        </w:tc>
        <w:tc>
          <w:tcPr>
            <w:tcW w:w="1516" w:type="dxa"/>
            <w:vAlign w:val="center"/>
          </w:tcPr>
          <w:p>
            <w:pPr>
              <w:pStyle w:val="17"/>
            </w:pPr>
            <w:r>
              <w:t>1249.61</w:t>
            </w:r>
          </w:p>
        </w:tc>
        <w:tc>
          <w:tcPr>
            <w:tcW w:w="3496" w:type="dxa"/>
            <w:vAlign w:val="center"/>
          </w:tcPr>
          <w:p>
            <w:pPr>
              <w:pStyle w:val="16"/>
            </w:pPr>
            <w:r>
              <w:t>本年支出合计</w:t>
            </w:r>
          </w:p>
        </w:tc>
        <w:tc>
          <w:tcPr>
            <w:tcW w:w="1514" w:type="dxa"/>
            <w:vAlign w:val="center"/>
          </w:tcPr>
          <w:p>
            <w:pPr>
              <w:pStyle w:val="17"/>
            </w:pPr>
            <w:r>
              <w:t>1291.61</w:t>
            </w:r>
          </w:p>
        </w:tc>
        <w:tc>
          <w:tcPr>
            <w:tcW w:w="1514" w:type="dxa"/>
            <w:vAlign w:val="center"/>
          </w:tcPr>
          <w:p>
            <w:pPr>
              <w:pStyle w:val="17"/>
            </w:pPr>
            <w:r>
              <w:t>1291.61</w:t>
            </w:r>
          </w:p>
        </w:tc>
        <w:tc>
          <w:tcPr>
            <w:tcW w:w="1514" w:type="dxa"/>
            <w:vAlign w:val="center"/>
          </w:tcPr>
          <w:p>
            <w:pPr>
              <w:pStyle w:val="17"/>
            </w:pPr>
          </w:p>
        </w:tc>
        <w:tc>
          <w:tcPr>
            <w:tcW w:w="15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33</w:t>
            </w:r>
          </w:p>
        </w:tc>
        <w:tc>
          <w:tcPr>
            <w:tcW w:w="3496" w:type="dxa"/>
            <w:vAlign w:val="center"/>
          </w:tcPr>
          <w:p>
            <w:pPr>
              <w:pStyle w:val="14"/>
            </w:pPr>
            <w:r>
              <w:t>年初财政拨款结转和结余</w:t>
            </w:r>
          </w:p>
        </w:tc>
        <w:tc>
          <w:tcPr>
            <w:tcW w:w="1516" w:type="dxa"/>
            <w:vAlign w:val="center"/>
          </w:tcPr>
          <w:p>
            <w:pPr>
              <w:pStyle w:val="13"/>
            </w:pPr>
            <w:r>
              <w:t>42.00</w:t>
            </w:r>
          </w:p>
        </w:tc>
        <w:tc>
          <w:tcPr>
            <w:tcW w:w="3496" w:type="dxa"/>
            <w:vAlign w:val="center"/>
          </w:tcPr>
          <w:p>
            <w:pPr>
              <w:pStyle w:val="14"/>
            </w:pPr>
            <w:r>
              <w:t>年末财政拨款结转和结余</w:t>
            </w: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34</w:t>
            </w:r>
          </w:p>
        </w:tc>
        <w:tc>
          <w:tcPr>
            <w:tcW w:w="3496" w:type="dxa"/>
            <w:vAlign w:val="center"/>
          </w:tcPr>
          <w:p>
            <w:pPr>
              <w:pStyle w:val="14"/>
            </w:pPr>
            <w:r>
              <w:t>一、一般公共预算拨款</w:t>
            </w:r>
          </w:p>
        </w:tc>
        <w:tc>
          <w:tcPr>
            <w:tcW w:w="1516" w:type="dxa"/>
            <w:vAlign w:val="center"/>
          </w:tcPr>
          <w:p>
            <w:pPr>
              <w:pStyle w:val="13"/>
            </w:pPr>
            <w:r>
              <w:t>42.00</w:t>
            </w:r>
          </w:p>
        </w:tc>
        <w:tc>
          <w:tcPr>
            <w:tcW w:w="3496" w:type="dxa"/>
            <w:vAlign w:val="center"/>
          </w:tcPr>
          <w:p>
            <w:pPr>
              <w:pStyle w:val="14"/>
            </w:pP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35</w:t>
            </w:r>
          </w:p>
        </w:tc>
        <w:tc>
          <w:tcPr>
            <w:tcW w:w="3496" w:type="dxa"/>
            <w:vAlign w:val="center"/>
          </w:tcPr>
          <w:p>
            <w:pPr>
              <w:pStyle w:val="14"/>
            </w:pPr>
            <w:r>
              <w:t>二、政府性基金预算拨款</w:t>
            </w:r>
          </w:p>
        </w:tc>
        <w:tc>
          <w:tcPr>
            <w:tcW w:w="1516" w:type="dxa"/>
            <w:vAlign w:val="center"/>
          </w:tcPr>
          <w:p>
            <w:pPr>
              <w:pStyle w:val="13"/>
            </w:pPr>
          </w:p>
        </w:tc>
        <w:tc>
          <w:tcPr>
            <w:tcW w:w="3496" w:type="dxa"/>
            <w:vAlign w:val="center"/>
          </w:tcPr>
          <w:p>
            <w:pPr>
              <w:pStyle w:val="14"/>
            </w:pP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72" w:type="dxa"/>
            <w:vAlign w:val="center"/>
          </w:tcPr>
          <w:p>
            <w:pPr>
              <w:pStyle w:val="15"/>
            </w:pPr>
            <w:r>
              <w:t>36</w:t>
            </w:r>
          </w:p>
        </w:tc>
        <w:tc>
          <w:tcPr>
            <w:tcW w:w="3496" w:type="dxa"/>
            <w:vAlign w:val="center"/>
          </w:tcPr>
          <w:p>
            <w:pPr>
              <w:pStyle w:val="14"/>
            </w:pPr>
            <w:r>
              <w:t>三、国有资本经营预算拨款</w:t>
            </w:r>
          </w:p>
        </w:tc>
        <w:tc>
          <w:tcPr>
            <w:tcW w:w="1516" w:type="dxa"/>
            <w:vAlign w:val="center"/>
          </w:tcPr>
          <w:p>
            <w:pPr>
              <w:pStyle w:val="13"/>
            </w:pPr>
          </w:p>
        </w:tc>
        <w:tc>
          <w:tcPr>
            <w:tcW w:w="3496" w:type="dxa"/>
            <w:vAlign w:val="center"/>
          </w:tcPr>
          <w:p>
            <w:pPr>
              <w:pStyle w:val="14"/>
            </w:pPr>
          </w:p>
        </w:tc>
        <w:tc>
          <w:tcPr>
            <w:tcW w:w="1514" w:type="dxa"/>
            <w:vAlign w:val="center"/>
          </w:tcPr>
          <w:p>
            <w:pPr>
              <w:pStyle w:val="13"/>
            </w:pPr>
          </w:p>
        </w:tc>
        <w:tc>
          <w:tcPr>
            <w:tcW w:w="1514" w:type="dxa"/>
            <w:vAlign w:val="center"/>
          </w:tcPr>
          <w:p>
            <w:pPr>
              <w:pStyle w:val="13"/>
            </w:pPr>
          </w:p>
        </w:tc>
        <w:tc>
          <w:tcPr>
            <w:tcW w:w="1514" w:type="dxa"/>
            <w:vAlign w:val="center"/>
          </w:tcPr>
          <w:p>
            <w:pPr>
              <w:pStyle w:val="13"/>
            </w:pPr>
          </w:p>
        </w:tc>
        <w:tc>
          <w:tcPr>
            <w:tcW w:w="15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872" w:type="dxa"/>
            <w:vAlign w:val="center"/>
          </w:tcPr>
          <w:p>
            <w:pPr>
              <w:pStyle w:val="15"/>
            </w:pPr>
            <w:r>
              <w:t>37</w:t>
            </w:r>
          </w:p>
        </w:tc>
        <w:tc>
          <w:tcPr>
            <w:tcW w:w="3496" w:type="dxa"/>
            <w:vAlign w:val="center"/>
          </w:tcPr>
          <w:p>
            <w:pPr>
              <w:pStyle w:val="16"/>
            </w:pPr>
            <w:r>
              <w:t>收入总计</w:t>
            </w:r>
          </w:p>
        </w:tc>
        <w:tc>
          <w:tcPr>
            <w:tcW w:w="1516" w:type="dxa"/>
            <w:vAlign w:val="center"/>
          </w:tcPr>
          <w:p>
            <w:pPr>
              <w:pStyle w:val="17"/>
            </w:pPr>
            <w:r>
              <w:t>1291.61</w:t>
            </w:r>
          </w:p>
        </w:tc>
        <w:tc>
          <w:tcPr>
            <w:tcW w:w="3496" w:type="dxa"/>
            <w:vAlign w:val="center"/>
          </w:tcPr>
          <w:p>
            <w:pPr>
              <w:pStyle w:val="16"/>
            </w:pPr>
            <w:r>
              <w:t>支出总计</w:t>
            </w:r>
          </w:p>
        </w:tc>
        <w:tc>
          <w:tcPr>
            <w:tcW w:w="1514" w:type="dxa"/>
            <w:vAlign w:val="center"/>
          </w:tcPr>
          <w:p>
            <w:pPr>
              <w:pStyle w:val="17"/>
            </w:pPr>
            <w:r>
              <w:t>1291.61</w:t>
            </w:r>
          </w:p>
        </w:tc>
        <w:tc>
          <w:tcPr>
            <w:tcW w:w="1514" w:type="dxa"/>
            <w:vAlign w:val="center"/>
          </w:tcPr>
          <w:p>
            <w:pPr>
              <w:pStyle w:val="17"/>
            </w:pPr>
            <w:r>
              <w:t>1291.61</w:t>
            </w:r>
          </w:p>
        </w:tc>
        <w:tc>
          <w:tcPr>
            <w:tcW w:w="1514" w:type="dxa"/>
            <w:vAlign w:val="center"/>
          </w:tcPr>
          <w:p>
            <w:pPr>
              <w:pStyle w:val="17"/>
            </w:pPr>
          </w:p>
        </w:tc>
        <w:tc>
          <w:tcPr>
            <w:tcW w:w="1517"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1291.61</w:t>
            </w:r>
          </w:p>
        </w:tc>
        <w:tc>
          <w:tcPr>
            <w:tcW w:w="2551" w:type="dxa"/>
            <w:vAlign w:val="center"/>
          </w:tcPr>
          <w:p>
            <w:pPr>
              <w:pStyle w:val="17"/>
              <w:rPr>
                <w:rFonts w:hint="eastAsia" w:eastAsiaTheme="minorEastAsia"/>
                <w:lang w:eastAsia="zh-CN"/>
              </w:rPr>
            </w:pPr>
            <w:r>
              <w:t>871.8</w:t>
            </w:r>
            <w:r>
              <w:rPr>
                <w:rFonts w:hint="eastAsia" w:eastAsiaTheme="minorEastAsia"/>
                <w:lang w:eastAsia="zh-CN"/>
              </w:rPr>
              <w:t>8</w:t>
            </w:r>
          </w:p>
        </w:tc>
        <w:tc>
          <w:tcPr>
            <w:tcW w:w="2551" w:type="dxa"/>
            <w:vAlign w:val="center"/>
          </w:tcPr>
          <w:p>
            <w:pPr>
              <w:pStyle w:val="17"/>
            </w:pPr>
            <w:r>
              <w:t>419.73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732.31</w:t>
            </w:r>
          </w:p>
        </w:tc>
        <w:tc>
          <w:tcPr>
            <w:tcW w:w="2551" w:type="dxa"/>
            <w:vAlign w:val="center"/>
          </w:tcPr>
          <w:p>
            <w:pPr>
              <w:pStyle w:val="13"/>
            </w:pPr>
            <w:r>
              <w:t>681.90</w:t>
            </w:r>
          </w:p>
        </w:tc>
        <w:tc>
          <w:tcPr>
            <w:tcW w:w="2551" w:type="dxa"/>
            <w:vAlign w:val="center"/>
          </w:tcPr>
          <w:p>
            <w:pPr>
              <w:pStyle w:val="13"/>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732.31</w:t>
            </w:r>
          </w:p>
        </w:tc>
        <w:tc>
          <w:tcPr>
            <w:tcW w:w="2551" w:type="dxa"/>
            <w:vAlign w:val="center"/>
          </w:tcPr>
          <w:p>
            <w:pPr>
              <w:pStyle w:val="13"/>
            </w:pPr>
            <w:r>
              <w:t>681.90</w:t>
            </w:r>
          </w:p>
        </w:tc>
        <w:tc>
          <w:tcPr>
            <w:tcW w:w="2551" w:type="dxa"/>
            <w:vAlign w:val="center"/>
          </w:tcPr>
          <w:p>
            <w:pPr>
              <w:pStyle w:val="13"/>
            </w:pPr>
            <w:r>
              <w:t>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681.90</w:t>
            </w:r>
          </w:p>
        </w:tc>
        <w:tc>
          <w:tcPr>
            <w:tcW w:w="2551" w:type="dxa"/>
            <w:vAlign w:val="center"/>
          </w:tcPr>
          <w:p>
            <w:pPr>
              <w:pStyle w:val="13"/>
            </w:pPr>
            <w:r>
              <w:t>681.90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45.41</w:t>
            </w:r>
          </w:p>
        </w:tc>
        <w:tc>
          <w:tcPr>
            <w:tcW w:w="2551" w:type="dxa"/>
            <w:vAlign w:val="center"/>
          </w:tcPr>
          <w:p>
            <w:pPr>
              <w:pStyle w:val="13"/>
            </w:pPr>
          </w:p>
        </w:tc>
        <w:tc>
          <w:tcPr>
            <w:tcW w:w="2551" w:type="dxa"/>
            <w:vAlign w:val="center"/>
          </w:tcPr>
          <w:p>
            <w:pPr>
              <w:pStyle w:val="13"/>
            </w:pPr>
            <w:r>
              <w:t>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2070102</w:t>
            </w:r>
          </w:p>
        </w:tc>
        <w:tc>
          <w:tcPr>
            <w:tcW w:w="4535" w:type="dxa"/>
            <w:vAlign w:val="center"/>
          </w:tcPr>
          <w:p>
            <w:pPr>
              <w:pStyle w:val="14"/>
            </w:pPr>
            <w:r>
              <w:t>一般行政管理事务</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2070109</w:t>
            </w:r>
          </w:p>
        </w:tc>
        <w:tc>
          <w:tcPr>
            <w:tcW w:w="4535" w:type="dxa"/>
            <w:vAlign w:val="center"/>
          </w:tcPr>
          <w:p>
            <w:pPr>
              <w:pStyle w:val="14"/>
            </w:pPr>
            <w:r>
              <w:t>群众文化</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116.26</w:t>
            </w:r>
          </w:p>
        </w:tc>
        <w:tc>
          <w:tcPr>
            <w:tcW w:w="2551" w:type="dxa"/>
            <w:vAlign w:val="center"/>
          </w:tcPr>
          <w:p>
            <w:pPr>
              <w:pStyle w:val="13"/>
            </w:pPr>
            <w:r>
              <w:t>116.26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116.26</w:t>
            </w:r>
          </w:p>
        </w:tc>
        <w:tc>
          <w:tcPr>
            <w:tcW w:w="2551" w:type="dxa"/>
            <w:vAlign w:val="center"/>
          </w:tcPr>
          <w:p>
            <w:pPr>
              <w:pStyle w:val="13"/>
            </w:pPr>
            <w:r>
              <w:t>116.26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22.61</w:t>
            </w:r>
          </w:p>
        </w:tc>
        <w:tc>
          <w:tcPr>
            <w:tcW w:w="2551" w:type="dxa"/>
            <w:vAlign w:val="center"/>
          </w:tcPr>
          <w:p>
            <w:pPr>
              <w:pStyle w:val="13"/>
            </w:pPr>
            <w:r>
              <w:t>22.61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74.49</w:t>
            </w:r>
          </w:p>
        </w:tc>
        <w:tc>
          <w:tcPr>
            <w:tcW w:w="2551" w:type="dxa"/>
            <w:vAlign w:val="center"/>
          </w:tcPr>
          <w:p>
            <w:pPr>
              <w:pStyle w:val="13"/>
            </w:pPr>
            <w:r>
              <w:t>74.49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19.16</w:t>
            </w:r>
          </w:p>
        </w:tc>
        <w:tc>
          <w:tcPr>
            <w:tcW w:w="2551" w:type="dxa"/>
            <w:vAlign w:val="center"/>
          </w:tcPr>
          <w:p>
            <w:pPr>
              <w:pStyle w:val="13"/>
            </w:pPr>
            <w:r>
              <w:t>19.16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29.00</w:t>
            </w:r>
          </w:p>
        </w:tc>
        <w:tc>
          <w:tcPr>
            <w:tcW w:w="2551" w:type="dxa"/>
            <w:vAlign w:val="center"/>
          </w:tcPr>
          <w:p>
            <w:pPr>
              <w:pStyle w:val="13"/>
            </w:pPr>
            <w:r>
              <w:t>29.00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361.32</w:t>
            </w:r>
          </w:p>
        </w:tc>
        <w:tc>
          <w:tcPr>
            <w:tcW w:w="2551" w:type="dxa"/>
            <w:vAlign w:val="center"/>
          </w:tcPr>
          <w:p>
            <w:pPr>
              <w:pStyle w:val="13"/>
            </w:pPr>
          </w:p>
        </w:tc>
        <w:tc>
          <w:tcPr>
            <w:tcW w:w="2551" w:type="dxa"/>
            <w:vAlign w:val="center"/>
          </w:tcPr>
          <w:p>
            <w:pPr>
              <w:pStyle w:val="13"/>
            </w:pPr>
            <w:r>
              <w:t>361.32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2130234</w:t>
            </w:r>
          </w:p>
        </w:tc>
        <w:tc>
          <w:tcPr>
            <w:tcW w:w="4535" w:type="dxa"/>
            <w:vAlign w:val="center"/>
          </w:tcPr>
          <w:p>
            <w:pPr>
              <w:pStyle w:val="14"/>
            </w:pPr>
            <w:r>
              <w:t>林业草原防灾减灾</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356.32</w:t>
            </w:r>
          </w:p>
        </w:tc>
        <w:tc>
          <w:tcPr>
            <w:tcW w:w="2551" w:type="dxa"/>
            <w:vAlign w:val="center"/>
          </w:tcPr>
          <w:p>
            <w:pPr>
              <w:pStyle w:val="13"/>
            </w:pPr>
          </w:p>
        </w:tc>
        <w:tc>
          <w:tcPr>
            <w:tcW w:w="2551" w:type="dxa"/>
            <w:vAlign w:val="center"/>
          </w:tcPr>
          <w:p>
            <w:pPr>
              <w:pStyle w:val="13"/>
            </w:pPr>
            <w:r>
              <w:t>356.32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107.00</w:t>
            </w:r>
          </w:p>
        </w:tc>
        <w:tc>
          <w:tcPr>
            <w:tcW w:w="2551" w:type="dxa"/>
            <w:vAlign w:val="center"/>
          </w:tcPr>
          <w:p>
            <w:pPr>
              <w:pStyle w:val="13"/>
            </w:pPr>
          </w:p>
        </w:tc>
        <w:tc>
          <w:tcPr>
            <w:tcW w:w="2551" w:type="dxa"/>
            <w:vAlign w:val="center"/>
          </w:tcPr>
          <w:p>
            <w:pPr>
              <w:pStyle w:val="13"/>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239.32</w:t>
            </w:r>
          </w:p>
        </w:tc>
        <w:tc>
          <w:tcPr>
            <w:tcW w:w="2551" w:type="dxa"/>
            <w:vAlign w:val="center"/>
          </w:tcPr>
          <w:p>
            <w:pPr>
              <w:pStyle w:val="13"/>
            </w:pPr>
          </w:p>
        </w:tc>
        <w:tc>
          <w:tcPr>
            <w:tcW w:w="2551" w:type="dxa"/>
            <w:vAlign w:val="center"/>
          </w:tcPr>
          <w:p>
            <w:pPr>
              <w:pStyle w:val="13"/>
            </w:pPr>
            <w:r>
              <w:t>239.32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2130706</w:t>
            </w:r>
          </w:p>
        </w:tc>
        <w:tc>
          <w:tcPr>
            <w:tcW w:w="4535" w:type="dxa"/>
            <w:vAlign w:val="center"/>
          </w:tcPr>
          <w:p>
            <w:pPr>
              <w:pStyle w:val="14"/>
            </w:pPr>
            <w:r>
              <w:t>对村集体经济组织的补助</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44.72</w:t>
            </w:r>
          </w:p>
        </w:tc>
        <w:tc>
          <w:tcPr>
            <w:tcW w:w="2551" w:type="dxa"/>
            <w:vAlign w:val="center"/>
          </w:tcPr>
          <w:p>
            <w:pPr>
              <w:pStyle w:val="13"/>
            </w:pPr>
            <w:r>
              <w:t>44.72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44.72</w:t>
            </w:r>
          </w:p>
        </w:tc>
        <w:tc>
          <w:tcPr>
            <w:tcW w:w="2551" w:type="dxa"/>
            <w:vAlign w:val="center"/>
          </w:tcPr>
          <w:p>
            <w:pPr>
              <w:pStyle w:val="13"/>
            </w:pPr>
            <w:r>
              <w:t>44.72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44.72</w:t>
            </w:r>
          </w:p>
        </w:tc>
        <w:tc>
          <w:tcPr>
            <w:tcW w:w="2551" w:type="dxa"/>
            <w:vAlign w:val="center"/>
          </w:tcPr>
          <w:p>
            <w:pPr>
              <w:pStyle w:val="13"/>
            </w:pPr>
            <w:r>
              <w:t>44.72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Theme="minorEastAsia"/>
                <w:lang w:eastAsia="zh-CN"/>
              </w:rPr>
            </w:pPr>
            <w:r>
              <w:t>871.8</w:t>
            </w:r>
            <w:r>
              <w:rPr>
                <w:rFonts w:hint="eastAsia" w:eastAsiaTheme="minorEastAsia"/>
                <w:lang w:eastAsia="zh-CN"/>
              </w:rPr>
              <w:t>8</w:t>
            </w:r>
          </w:p>
        </w:tc>
        <w:tc>
          <w:tcPr>
            <w:tcW w:w="2551" w:type="dxa"/>
            <w:vAlign w:val="center"/>
          </w:tcPr>
          <w:p>
            <w:pPr>
              <w:pStyle w:val="17"/>
              <w:rPr>
                <w:rFonts w:hint="eastAsia" w:eastAsiaTheme="minorEastAsia"/>
                <w:lang w:eastAsia="zh-CN"/>
              </w:rPr>
            </w:pPr>
            <w:r>
              <w:t>808.9</w:t>
            </w:r>
            <w:r>
              <w:rPr>
                <w:rFonts w:hint="eastAsia" w:eastAsiaTheme="minorEastAsia"/>
                <w:lang w:eastAsia="zh-CN"/>
              </w:rPr>
              <w:t>1</w:t>
            </w:r>
          </w:p>
        </w:tc>
        <w:tc>
          <w:tcPr>
            <w:tcW w:w="2551" w:type="dxa"/>
            <w:vAlign w:val="center"/>
          </w:tcPr>
          <w:p>
            <w:pPr>
              <w:pStyle w:val="17"/>
            </w:pPr>
            <w:r>
              <w:t>62.97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730.53</w:t>
            </w:r>
          </w:p>
        </w:tc>
        <w:tc>
          <w:tcPr>
            <w:tcW w:w="2551" w:type="dxa"/>
            <w:vAlign w:val="center"/>
          </w:tcPr>
          <w:p>
            <w:pPr>
              <w:pStyle w:val="13"/>
            </w:pPr>
            <w:r>
              <w:t>730.53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212.65</w:t>
            </w:r>
          </w:p>
        </w:tc>
        <w:tc>
          <w:tcPr>
            <w:tcW w:w="2551" w:type="dxa"/>
            <w:vAlign w:val="center"/>
          </w:tcPr>
          <w:p>
            <w:pPr>
              <w:pStyle w:val="13"/>
            </w:pPr>
            <w:r>
              <w:t>212.65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88.00</w:t>
            </w:r>
          </w:p>
        </w:tc>
        <w:tc>
          <w:tcPr>
            <w:tcW w:w="2551" w:type="dxa"/>
            <w:vAlign w:val="center"/>
          </w:tcPr>
          <w:p>
            <w:pPr>
              <w:pStyle w:val="13"/>
            </w:pPr>
            <w:r>
              <w:t>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82.25</w:t>
            </w:r>
          </w:p>
        </w:tc>
        <w:tc>
          <w:tcPr>
            <w:tcW w:w="2551" w:type="dxa"/>
            <w:vAlign w:val="center"/>
          </w:tcPr>
          <w:p>
            <w:pPr>
              <w:pStyle w:val="13"/>
            </w:pPr>
            <w:r>
              <w:t>82.25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100.29</w:t>
            </w:r>
          </w:p>
        </w:tc>
        <w:tc>
          <w:tcPr>
            <w:tcW w:w="2551" w:type="dxa"/>
            <w:vAlign w:val="center"/>
          </w:tcPr>
          <w:p>
            <w:pPr>
              <w:pStyle w:val="13"/>
            </w:pPr>
            <w:r>
              <w:t>100.29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71.54</w:t>
            </w:r>
          </w:p>
        </w:tc>
        <w:tc>
          <w:tcPr>
            <w:tcW w:w="2551" w:type="dxa"/>
            <w:vAlign w:val="center"/>
          </w:tcPr>
          <w:p>
            <w:pPr>
              <w:pStyle w:val="13"/>
            </w:pPr>
            <w:r>
              <w:t>71.54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19.16</w:t>
            </w:r>
          </w:p>
        </w:tc>
        <w:tc>
          <w:tcPr>
            <w:tcW w:w="2551" w:type="dxa"/>
            <w:vAlign w:val="center"/>
          </w:tcPr>
          <w:p>
            <w:pPr>
              <w:pStyle w:val="13"/>
            </w:pPr>
            <w:r>
              <w:t>19.16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28.62</w:t>
            </w:r>
          </w:p>
        </w:tc>
        <w:tc>
          <w:tcPr>
            <w:tcW w:w="2551" w:type="dxa"/>
            <w:vAlign w:val="center"/>
          </w:tcPr>
          <w:p>
            <w:pPr>
              <w:pStyle w:val="13"/>
            </w:pPr>
            <w:r>
              <w:t>28.62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3.32</w:t>
            </w:r>
          </w:p>
        </w:tc>
        <w:tc>
          <w:tcPr>
            <w:tcW w:w="2551" w:type="dxa"/>
            <w:vAlign w:val="center"/>
          </w:tcPr>
          <w:p>
            <w:pPr>
              <w:pStyle w:val="13"/>
            </w:pPr>
            <w:r>
              <w:t>3.32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44.72</w:t>
            </w:r>
          </w:p>
        </w:tc>
        <w:tc>
          <w:tcPr>
            <w:tcW w:w="2551" w:type="dxa"/>
            <w:vAlign w:val="center"/>
          </w:tcPr>
          <w:p>
            <w:pPr>
              <w:pStyle w:val="13"/>
            </w:pPr>
            <w:r>
              <w:t>44.72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79.97</w:t>
            </w:r>
          </w:p>
        </w:tc>
        <w:tc>
          <w:tcPr>
            <w:tcW w:w="2551" w:type="dxa"/>
            <w:vAlign w:val="center"/>
          </w:tcPr>
          <w:p>
            <w:pPr>
              <w:pStyle w:val="13"/>
            </w:pPr>
            <w:r>
              <w:t>79.97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62.97</w:t>
            </w:r>
          </w:p>
        </w:tc>
        <w:tc>
          <w:tcPr>
            <w:tcW w:w="2551" w:type="dxa"/>
            <w:vAlign w:val="center"/>
          </w:tcPr>
          <w:p>
            <w:pPr>
              <w:pStyle w:val="13"/>
            </w:pPr>
          </w:p>
        </w:tc>
        <w:tc>
          <w:tcPr>
            <w:tcW w:w="2551" w:type="dxa"/>
            <w:vAlign w:val="center"/>
          </w:tcPr>
          <w:p>
            <w:pPr>
              <w:pStyle w:val="13"/>
            </w:pPr>
            <w:r>
              <w:t>62.97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3.71</w:t>
            </w:r>
          </w:p>
        </w:tc>
        <w:tc>
          <w:tcPr>
            <w:tcW w:w="2551" w:type="dxa"/>
            <w:vAlign w:val="center"/>
          </w:tcPr>
          <w:p>
            <w:pPr>
              <w:pStyle w:val="13"/>
            </w:pPr>
          </w:p>
        </w:tc>
        <w:tc>
          <w:tcPr>
            <w:tcW w:w="2551" w:type="dxa"/>
            <w:vAlign w:val="center"/>
          </w:tcPr>
          <w:p>
            <w:pPr>
              <w:pStyle w:val="13"/>
            </w:pPr>
            <w:r>
              <w:t>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2.65</w:t>
            </w:r>
          </w:p>
        </w:tc>
        <w:tc>
          <w:tcPr>
            <w:tcW w:w="2551" w:type="dxa"/>
            <w:vAlign w:val="center"/>
          </w:tcPr>
          <w:p>
            <w:pPr>
              <w:pStyle w:val="13"/>
            </w:pPr>
          </w:p>
        </w:tc>
        <w:tc>
          <w:tcPr>
            <w:tcW w:w="2551" w:type="dxa"/>
            <w:vAlign w:val="center"/>
          </w:tcPr>
          <w:p>
            <w:pPr>
              <w:pStyle w:val="13"/>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8.20</w:t>
            </w:r>
          </w:p>
        </w:tc>
        <w:tc>
          <w:tcPr>
            <w:tcW w:w="2551" w:type="dxa"/>
            <w:vAlign w:val="center"/>
          </w:tcPr>
          <w:p>
            <w:pPr>
              <w:pStyle w:val="13"/>
            </w:pPr>
          </w:p>
        </w:tc>
        <w:tc>
          <w:tcPr>
            <w:tcW w:w="2551" w:type="dxa"/>
            <w:vAlign w:val="center"/>
          </w:tcPr>
          <w:p>
            <w:pPr>
              <w:pStyle w:val="13"/>
            </w:pPr>
            <w: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0.53</w:t>
            </w:r>
          </w:p>
        </w:tc>
        <w:tc>
          <w:tcPr>
            <w:tcW w:w="2551" w:type="dxa"/>
            <w:vAlign w:val="center"/>
          </w:tcPr>
          <w:p>
            <w:pPr>
              <w:pStyle w:val="13"/>
            </w:pPr>
          </w:p>
        </w:tc>
        <w:tc>
          <w:tcPr>
            <w:tcW w:w="2551"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1.29</w:t>
            </w:r>
          </w:p>
        </w:tc>
        <w:tc>
          <w:tcPr>
            <w:tcW w:w="2551" w:type="dxa"/>
            <w:vAlign w:val="center"/>
          </w:tcPr>
          <w:p>
            <w:pPr>
              <w:pStyle w:val="13"/>
            </w:pPr>
          </w:p>
        </w:tc>
        <w:tc>
          <w:tcPr>
            <w:tcW w:w="2551" w:type="dxa"/>
            <w:vAlign w:val="center"/>
          </w:tcPr>
          <w:p>
            <w:pPr>
              <w:pStyle w:val="13"/>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2.55</w:t>
            </w:r>
          </w:p>
        </w:tc>
        <w:tc>
          <w:tcPr>
            <w:tcW w:w="2551" w:type="dxa"/>
            <w:vAlign w:val="center"/>
          </w:tcPr>
          <w:p>
            <w:pPr>
              <w:pStyle w:val="13"/>
            </w:pPr>
          </w:p>
        </w:tc>
        <w:tc>
          <w:tcPr>
            <w:tcW w:w="2551" w:type="dxa"/>
            <w:vAlign w:val="center"/>
          </w:tcPr>
          <w:p>
            <w:pPr>
              <w:pStyle w:val="13"/>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2.13</w:t>
            </w:r>
          </w:p>
        </w:tc>
        <w:tc>
          <w:tcPr>
            <w:tcW w:w="2551" w:type="dxa"/>
            <w:vAlign w:val="center"/>
          </w:tcPr>
          <w:p>
            <w:pPr>
              <w:pStyle w:val="13"/>
            </w:pPr>
          </w:p>
        </w:tc>
        <w:tc>
          <w:tcPr>
            <w:tcW w:w="2551" w:type="dxa"/>
            <w:vAlign w:val="center"/>
          </w:tcPr>
          <w:p>
            <w:pPr>
              <w:pStyle w:val="13"/>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25.44</w:t>
            </w:r>
          </w:p>
        </w:tc>
        <w:tc>
          <w:tcPr>
            <w:tcW w:w="2551" w:type="dxa"/>
            <w:vAlign w:val="center"/>
          </w:tcPr>
          <w:p>
            <w:pPr>
              <w:pStyle w:val="13"/>
            </w:pPr>
          </w:p>
        </w:tc>
        <w:tc>
          <w:tcPr>
            <w:tcW w:w="2551" w:type="dxa"/>
            <w:vAlign w:val="center"/>
          </w:tcPr>
          <w:p>
            <w:pPr>
              <w:pStyle w:val="13"/>
            </w:pPr>
            <w:r>
              <w:t>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78.37</w:t>
            </w:r>
          </w:p>
        </w:tc>
        <w:tc>
          <w:tcPr>
            <w:tcW w:w="2551" w:type="dxa"/>
            <w:vAlign w:val="center"/>
          </w:tcPr>
          <w:p>
            <w:pPr>
              <w:pStyle w:val="13"/>
            </w:pPr>
            <w:r>
              <w:t>78.37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15.86</w:t>
            </w:r>
          </w:p>
        </w:tc>
        <w:tc>
          <w:tcPr>
            <w:tcW w:w="2551" w:type="dxa"/>
            <w:vAlign w:val="center"/>
          </w:tcPr>
          <w:p>
            <w:pPr>
              <w:pStyle w:val="13"/>
            </w:pPr>
            <w:r>
              <w:t>15.86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30303</w:t>
            </w:r>
          </w:p>
        </w:tc>
        <w:tc>
          <w:tcPr>
            <w:tcW w:w="4535" w:type="dxa"/>
            <w:vAlign w:val="center"/>
          </w:tcPr>
          <w:p>
            <w:pPr>
              <w:pStyle w:val="14"/>
            </w:pPr>
            <w:r>
              <w:t>退职（役）费</w:t>
            </w:r>
          </w:p>
        </w:tc>
        <w:tc>
          <w:tcPr>
            <w:tcW w:w="2551" w:type="dxa"/>
            <w:vAlign w:val="center"/>
          </w:tcPr>
          <w:p>
            <w:pPr>
              <w:pStyle w:val="13"/>
            </w:pPr>
            <w:r>
              <w:t>6.34</w:t>
            </w:r>
          </w:p>
        </w:tc>
        <w:tc>
          <w:tcPr>
            <w:tcW w:w="2551" w:type="dxa"/>
            <w:vAlign w:val="center"/>
          </w:tcPr>
          <w:p>
            <w:pPr>
              <w:pStyle w:val="13"/>
            </w:pPr>
            <w:r>
              <w:t>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7.19</w:t>
            </w:r>
          </w:p>
        </w:tc>
        <w:tc>
          <w:tcPr>
            <w:tcW w:w="2551" w:type="dxa"/>
            <w:vAlign w:val="center"/>
          </w:tcPr>
          <w:p>
            <w:pPr>
              <w:pStyle w:val="13"/>
            </w:pPr>
            <w:r>
              <w:t>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48.97</w:t>
            </w:r>
          </w:p>
        </w:tc>
        <w:tc>
          <w:tcPr>
            <w:tcW w:w="2551" w:type="dxa"/>
            <w:vAlign w:val="center"/>
          </w:tcPr>
          <w:p>
            <w:pPr>
              <w:pStyle w:val="13"/>
            </w:pPr>
            <w:r>
              <w:t>48.97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551" w:type="dxa"/>
            <w:tcBorders>
              <w:top w:val="single" w:color="FFFFFF" w:sz="6" w:space="0"/>
              <w:left w:val="single" w:color="FFFFFF" w:sz="6" w:space="0"/>
              <w:right w:val="single" w:color="FFFFFF" w:sz="6" w:space="0"/>
            </w:tcBorders>
            <w:vAlign w:val="center"/>
          </w:tcPr>
          <w:p>
            <w:pPr>
              <w:pStyle w:val="10"/>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2381" w:type="dxa"/>
            <w:tcBorders>
              <w:top w:val="single" w:color="FFFFFF" w:sz="6" w:space="0"/>
              <w:left w:val="single" w:color="FFFFFF" w:sz="6" w:space="0"/>
              <w:right w:val="single" w:color="FFFFFF" w:sz="6" w:space="0"/>
            </w:tcBorders>
            <w:vAlign w:val="center"/>
          </w:tcPr>
          <w:p>
            <w:pPr>
              <w:pStyle w:val="10"/>
              <w:rPr>
                <w:rFonts w:hint="eastAsia"/>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90"/>
              <w:ind w:left="14"/>
              <w:jc w:val="center"/>
              <w:rPr>
                <w:sz w:val="21"/>
              </w:rPr>
            </w:pPr>
            <w:r>
              <w:rPr>
                <w:w w:val="99"/>
                <w:sz w:val="21"/>
              </w:rPr>
              <w:t>1</w:t>
            </w:r>
          </w:p>
        </w:tc>
        <w:tc>
          <w:tcPr>
            <w:tcW w:w="3798" w:type="dxa"/>
          </w:tcPr>
          <w:p>
            <w:pPr>
              <w:pStyle w:val="37"/>
              <w:spacing w:before="90"/>
              <w:ind w:left="10"/>
              <w:jc w:val="center"/>
              <w:rPr>
                <w:b/>
                <w:sz w:val="21"/>
              </w:rPr>
            </w:pPr>
            <w:r>
              <w:rPr>
                <w:b/>
                <w:sz w:val="21"/>
              </w:rPr>
              <w:t>合计</w:t>
            </w:r>
          </w:p>
        </w:tc>
        <w:tc>
          <w:tcPr>
            <w:tcW w:w="2382" w:type="dxa"/>
            <w:vAlign w:val="center"/>
          </w:tcPr>
          <w:p>
            <w:pPr>
              <w:pStyle w:val="13"/>
              <w:jc w:val="center"/>
            </w:pPr>
            <w:r>
              <w:rPr>
                <w:rFonts w:hint="eastAsia"/>
                <w:lang w:eastAsia="zh-CN"/>
              </w:rPr>
              <w:t>7.29</w:t>
            </w:r>
          </w:p>
        </w:tc>
        <w:tc>
          <w:tcPr>
            <w:tcW w:w="2381" w:type="dxa"/>
            <w:vAlign w:val="center"/>
          </w:tcPr>
          <w:p>
            <w:pPr>
              <w:pStyle w:val="13"/>
              <w:jc w:val="center"/>
            </w:pPr>
            <w:r>
              <w:rPr>
                <w:rFonts w:hint="eastAsia"/>
                <w:lang w:eastAsia="zh-CN"/>
              </w:rPr>
              <w:t>7.29</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89"/>
              <w:ind w:left="14"/>
              <w:jc w:val="center"/>
              <w:rPr>
                <w:sz w:val="21"/>
              </w:rPr>
            </w:pPr>
            <w:r>
              <w:rPr>
                <w:w w:val="99"/>
                <w:sz w:val="21"/>
              </w:rPr>
              <w:t>2</w:t>
            </w:r>
          </w:p>
        </w:tc>
        <w:tc>
          <w:tcPr>
            <w:tcW w:w="3798" w:type="dxa"/>
          </w:tcPr>
          <w:p>
            <w:pPr>
              <w:pStyle w:val="37"/>
              <w:spacing w:before="89"/>
              <w:ind w:left="108"/>
              <w:rPr>
                <w:sz w:val="21"/>
              </w:rPr>
            </w:pPr>
            <w:r>
              <w:rPr>
                <w:sz w:val="21"/>
              </w:rP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90"/>
              <w:ind w:left="14"/>
              <w:jc w:val="center"/>
              <w:rPr>
                <w:sz w:val="21"/>
              </w:rPr>
            </w:pPr>
            <w:r>
              <w:rPr>
                <w:w w:val="99"/>
                <w:sz w:val="21"/>
              </w:rPr>
              <w:t>3</w:t>
            </w:r>
          </w:p>
        </w:tc>
        <w:tc>
          <w:tcPr>
            <w:tcW w:w="3798" w:type="dxa"/>
          </w:tcPr>
          <w:p>
            <w:pPr>
              <w:pStyle w:val="37"/>
              <w:spacing w:before="90"/>
              <w:ind w:left="108"/>
              <w:rPr>
                <w:sz w:val="21"/>
              </w:rPr>
            </w:pPr>
            <w:r>
              <w:rPr>
                <w:sz w:val="21"/>
              </w:rPr>
              <w:t>二、公务用车购置及运维费</w:t>
            </w:r>
          </w:p>
        </w:tc>
        <w:tc>
          <w:tcPr>
            <w:tcW w:w="2382" w:type="dxa"/>
            <w:vAlign w:val="center"/>
          </w:tcPr>
          <w:p>
            <w:pPr>
              <w:pStyle w:val="13"/>
              <w:jc w:val="center"/>
            </w:pPr>
            <w:r>
              <w:rPr>
                <w:rFonts w:hint="eastAsia"/>
              </w:rPr>
              <w:t>6.00</w:t>
            </w:r>
          </w:p>
        </w:tc>
        <w:tc>
          <w:tcPr>
            <w:tcW w:w="2381" w:type="dxa"/>
            <w:vAlign w:val="center"/>
          </w:tcPr>
          <w:p>
            <w:pPr>
              <w:pStyle w:val="13"/>
              <w:jc w:val="center"/>
            </w:pPr>
            <w:r>
              <w:rPr>
                <w:rFonts w:hint="eastAsia"/>
              </w:rPr>
              <w:t>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89"/>
              <w:ind w:left="14"/>
              <w:jc w:val="center"/>
              <w:rPr>
                <w:sz w:val="21"/>
              </w:rPr>
            </w:pPr>
            <w:r>
              <w:rPr>
                <w:w w:val="99"/>
                <w:sz w:val="21"/>
              </w:rPr>
              <w:t>4</w:t>
            </w:r>
          </w:p>
        </w:tc>
        <w:tc>
          <w:tcPr>
            <w:tcW w:w="3798" w:type="dxa"/>
          </w:tcPr>
          <w:p>
            <w:pPr>
              <w:pStyle w:val="37"/>
              <w:spacing w:before="89"/>
              <w:ind w:left="528"/>
              <w:rPr>
                <w:sz w:val="21"/>
              </w:rPr>
            </w:pPr>
            <w:r>
              <w:rPr>
                <w:sz w:val="21"/>
              </w:rPr>
              <w:t>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90"/>
              <w:ind w:left="14"/>
              <w:jc w:val="center"/>
              <w:rPr>
                <w:sz w:val="21"/>
              </w:rPr>
            </w:pPr>
            <w:r>
              <w:rPr>
                <w:w w:val="99"/>
                <w:sz w:val="21"/>
              </w:rPr>
              <w:t>5</w:t>
            </w:r>
          </w:p>
        </w:tc>
        <w:tc>
          <w:tcPr>
            <w:tcW w:w="3798" w:type="dxa"/>
          </w:tcPr>
          <w:p>
            <w:pPr>
              <w:pStyle w:val="37"/>
              <w:spacing w:before="90"/>
              <w:ind w:left="1157"/>
              <w:rPr>
                <w:sz w:val="21"/>
              </w:rPr>
            </w:pPr>
            <w:r>
              <w:rPr>
                <w:sz w:val="21"/>
              </w:rPr>
              <w:t>公务用车运行维护费</w:t>
            </w:r>
          </w:p>
        </w:tc>
        <w:tc>
          <w:tcPr>
            <w:tcW w:w="2382" w:type="dxa"/>
            <w:vAlign w:val="center"/>
          </w:tcPr>
          <w:p>
            <w:pPr>
              <w:pStyle w:val="13"/>
              <w:jc w:val="center"/>
            </w:pPr>
            <w:r>
              <w:t>6</w:t>
            </w:r>
            <w:r>
              <w:rPr>
                <w:rFonts w:hint="eastAsia"/>
                <w:lang w:eastAsia="zh-Hans"/>
              </w:rPr>
              <w:t>.</w:t>
            </w:r>
            <w:r>
              <w:rPr>
                <w:lang w:eastAsia="zh-Hans"/>
              </w:rPr>
              <w:t>00</w:t>
            </w:r>
          </w:p>
        </w:tc>
        <w:tc>
          <w:tcPr>
            <w:tcW w:w="2381" w:type="dxa"/>
            <w:vAlign w:val="center"/>
          </w:tcPr>
          <w:p>
            <w:pPr>
              <w:pStyle w:val="13"/>
              <w:jc w:val="center"/>
            </w:pPr>
            <w:r>
              <w:t>6</w:t>
            </w:r>
            <w:r>
              <w:rPr>
                <w:rFonts w:hint="eastAsia"/>
                <w:lang w:eastAsia="zh-Hans"/>
              </w:rPr>
              <w:t>.</w:t>
            </w:r>
            <w:r>
              <w:rPr>
                <w:lang w:eastAsia="zh-Hans"/>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7"/>
              <w:spacing w:before="14" w:line="385" w:lineRule="exact"/>
              <w:ind w:left="14"/>
              <w:jc w:val="center"/>
              <w:rPr>
                <w:sz w:val="21"/>
              </w:rPr>
            </w:pPr>
            <w:r>
              <w:rPr>
                <w:w w:val="99"/>
                <w:sz w:val="21"/>
              </w:rPr>
              <w:t>6</w:t>
            </w:r>
          </w:p>
        </w:tc>
        <w:tc>
          <w:tcPr>
            <w:tcW w:w="3798" w:type="dxa"/>
          </w:tcPr>
          <w:p>
            <w:pPr>
              <w:pStyle w:val="37"/>
              <w:spacing w:before="14" w:line="385" w:lineRule="exact"/>
              <w:ind w:left="108"/>
              <w:rPr>
                <w:sz w:val="21"/>
              </w:rPr>
            </w:pPr>
            <w:r>
              <w:rPr>
                <w:sz w:val="21"/>
              </w:rPr>
              <w:t>三、公务接待费</w:t>
            </w:r>
          </w:p>
        </w:tc>
        <w:tc>
          <w:tcPr>
            <w:tcW w:w="2382" w:type="dxa"/>
            <w:vAlign w:val="center"/>
          </w:tcPr>
          <w:p>
            <w:pPr>
              <w:pStyle w:val="13"/>
              <w:jc w:val="center"/>
            </w:pPr>
            <w:r>
              <w:rPr>
                <w:rFonts w:hint="eastAsia"/>
                <w:lang w:eastAsia="zh-CN"/>
              </w:rPr>
              <w:t>1.29</w:t>
            </w:r>
          </w:p>
        </w:tc>
        <w:tc>
          <w:tcPr>
            <w:tcW w:w="2381" w:type="dxa"/>
            <w:vAlign w:val="center"/>
          </w:tcPr>
          <w:p>
            <w:pPr>
              <w:pStyle w:val="13"/>
              <w:jc w:val="center"/>
            </w:pPr>
            <w:r>
              <w:rPr>
                <w:rFonts w:hint="eastAsia"/>
                <w:lang w:eastAsia="zh-CN"/>
              </w:rPr>
              <w:t>1.29</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区白龙乡人民政府2023年部门预算信息公开情况说明</w:t>
      </w:r>
    </w:p>
    <w:p>
      <w:pPr>
        <w:jc w:val="center"/>
      </w:pPr>
      <w:r>
        <w:rPr>
          <w:rFonts w:ascii="方正小标宋_GBK" w:hAnsi="方正小标宋_GBK" w:eastAsia="方正小标宋_GBK" w:cs="方正小标宋_GBK"/>
          <w:color w:val="000000"/>
          <w:sz w:val="44"/>
        </w:rPr>
        <w:t>保定市满城区白龙乡人民政府2023年部门预算信息公开情况说明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》、《地方预决算公开操作规程》和《关于进一步推进预算公开工作的实施意见》规定，现将保定市满城区白龙乡人民政府2023年部门预算公开如下：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1.党政综合</w:t>
      </w:r>
    </w:p>
    <w:p>
      <w:pPr>
        <w:pStyle w:val="19"/>
      </w:pPr>
      <w:r>
        <w:t>主要职责：承担乡党委、政府日常运转工作；负责综合协调、上传下达、任务交办和督促落实工作；负责党委政府值班、公文、会务、接待、人事、档案、信息综合、安全保卫、机要保密、人民防空、地方金融监管、后勤保障工作；负责镇承担改革事项的协调落实、督促检查和对上汇报工作；负责涉及本镇媒体来电来访协调处置工作;负责信访接待工作。</w:t>
      </w:r>
    </w:p>
    <w:p>
      <w:pPr>
        <w:pStyle w:val="19"/>
      </w:pPr>
      <w:r>
        <w:t>2.党建</w:t>
      </w:r>
    </w:p>
    <w:p>
      <w:pPr>
        <w:pStyle w:val="19"/>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乡党委自身建设和基层党组织建设，以及其他隶属乡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19"/>
      </w:pPr>
      <w:r>
        <w:t>3.应急管理</w:t>
      </w:r>
    </w:p>
    <w:p>
      <w:pPr>
        <w:pStyle w:val="19"/>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镇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19"/>
      </w:pPr>
      <w:r>
        <w:t>4.自然资源和生态环境</w:t>
      </w:r>
    </w:p>
    <w:p>
      <w:pPr>
        <w:pStyle w:val="19"/>
      </w:pPr>
      <w:r>
        <w:t>主要职责：负责贯彻落实城乡规划建设、自然资源等法律法规，负责本乡发展规划、村乡建设规划和专规详规的制定落实工作；负责辖区土地规划编制、调整协调工作；负责动员和组织社会力量参与土地调查工作；负责本辖区乡道、村道建设规划工作。负责住房和城乡建设工作。</w:t>
      </w:r>
    </w:p>
    <w:p>
      <w:pPr>
        <w:pStyle w:val="19"/>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镇村环境保护工作。</w:t>
      </w:r>
    </w:p>
    <w:p>
      <w:pPr>
        <w:pStyle w:val="19"/>
      </w:pPr>
      <w:r>
        <w:t>5.综合行政执法队（综合指挥和信息化网络中心、社会治安综合治理中心）</w:t>
      </w:r>
    </w:p>
    <w:p>
      <w:pPr>
        <w:pStyle w:val="19"/>
      </w:pPr>
      <w:r>
        <w:t>主要职责：负责乡综合行政执法工作，承担乡级、区直部门下放镇和区直部门委托乡行政处罚工作；负责本区域内执法工作的日常巡查监管；负责协助区直部门在本行政区域内进行的其他行政执法工作。</w:t>
      </w:r>
    </w:p>
    <w:p>
      <w:pPr>
        <w:pStyle w:val="19"/>
      </w:pPr>
      <w:r>
        <w:t>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19"/>
      </w:pPr>
      <w:r>
        <w:t>6.行政综合服务中心（综合文化服务站）</w:t>
      </w:r>
    </w:p>
    <w:p>
      <w:pPr>
        <w:pStyle w:val="19"/>
      </w:pPr>
      <w:r>
        <w:t>主要职责：负责集中办理行政审批和民政、劳动就业、卫生健康等民生保障的公共服务事项；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镇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19"/>
      </w:pPr>
      <w:r>
        <w:t>7.农业综合服务中心（镇村经济发展服务中心）</w:t>
      </w:r>
    </w:p>
    <w:p>
      <w:pPr>
        <w:pStyle w:val="19"/>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19"/>
      </w:pPr>
      <w:r>
        <w:t>8.白龙乡单独设退役军人服务</w:t>
      </w:r>
    </w:p>
    <w:p>
      <w:pPr>
        <w:pStyle w:val="19"/>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spacing w:line="500" w:lineRule="exact"/>
              <w:ind w:firstLine="560"/>
              <w:rPr>
                <w:rFonts w:eastAsia="方正仿宋_GBK"/>
                <w:color w:val="000000"/>
                <w:sz w:val="28"/>
              </w:rPr>
            </w:pPr>
            <w:r>
              <w:rPr>
                <w:rFonts w:eastAsia="方正仿宋_GBK"/>
                <w:color w:val="000000"/>
                <w:sz w:val="28"/>
              </w:rPr>
              <w:t>保定市满城区白龙乡人民政府</w:t>
            </w:r>
          </w:p>
        </w:tc>
        <w:tc>
          <w:tcPr>
            <w:tcW w:w="1843" w:type="dxa"/>
            <w:vAlign w:val="center"/>
          </w:tcPr>
          <w:p>
            <w:pPr>
              <w:spacing w:line="500" w:lineRule="exact"/>
              <w:ind w:firstLine="560"/>
              <w:rPr>
                <w:rFonts w:eastAsia="方正仿宋_GBK"/>
                <w:color w:val="000000"/>
                <w:sz w:val="28"/>
              </w:rPr>
            </w:pPr>
            <w:r>
              <w:rPr>
                <w:rFonts w:eastAsia="方正仿宋_GBK"/>
                <w:color w:val="000000"/>
                <w:sz w:val="28"/>
              </w:rPr>
              <w:t>行政</w:t>
            </w:r>
          </w:p>
        </w:tc>
        <w:tc>
          <w:tcPr>
            <w:tcW w:w="2126" w:type="dxa"/>
            <w:vAlign w:val="center"/>
          </w:tcPr>
          <w:p>
            <w:pPr>
              <w:spacing w:line="500" w:lineRule="exact"/>
              <w:ind w:firstLine="560"/>
              <w:rPr>
                <w:rFonts w:eastAsia="方正仿宋_GBK"/>
                <w:color w:val="000000"/>
                <w:sz w:val="28"/>
              </w:rPr>
            </w:pPr>
            <w:r>
              <w:rPr>
                <w:rFonts w:eastAsia="方正仿宋_GBK"/>
                <w:color w:val="000000"/>
                <w:sz w:val="28"/>
              </w:rPr>
              <w:t>正科级</w:t>
            </w:r>
          </w:p>
        </w:tc>
        <w:tc>
          <w:tcPr>
            <w:tcW w:w="3827" w:type="dxa"/>
            <w:vAlign w:val="center"/>
          </w:tcPr>
          <w:p>
            <w:pPr>
              <w:spacing w:line="500" w:lineRule="exact"/>
              <w:ind w:firstLine="560"/>
              <w:rPr>
                <w:rFonts w:eastAsia="方正仿宋_GBK"/>
                <w:color w:val="000000"/>
                <w:sz w:val="28"/>
              </w:rPr>
            </w:pPr>
            <w:r>
              <w:rPr>
                <w:rFonts w:eastAsia="方正仿宋_GBK"/>
                <w:color w:val="000000"/>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spacing w:line="500" w:lineRule="exact"/>
              <w:ind w:firstLine="560"/>
              <w:rPr>
                <w:rFonts w:eastAsia="方正仿宋_GBK"/>
                <w:color w:val="000000"/>
                <w:sz w:val="28"/>
              </w:rPr>
            </w:pPr>
            <w:r>
              <w:rPr>
                <w:rFonts w:eastAsia="方正仿宋_GBK"/>
                <w:color w:val="000000"/>
                <w:sz w:val="28"/>
              </w:rPr>
              <w:t>保定市满城区白龙乡人民政府（</w:t>
            </w:r>
            <w:r>
              <w:rPr>
                <w:rFonts w:hint="eastAsia" w:eastAsia="方正仿宋_GBK"/>
                <w:color w:val="000000"/>
                <w:sz w:val="28"/>
                <w:lang w:eastAsia="zh-CN"/>
              </w:rPr>
              <w:t>本级</w:t>
            </w:r>
            <w:r>
              <w:rPr>
                <w:rFonts w:eastAsia="方正仿宋_GBK"/>
                <w:color w:val="000000"/>
                <w:sz w:val="28"/>
              </w:rPr>
              <w:t>）</w:t>
            </w:r>
          </w:p>
        </w:tc>
        <w:tc>
          <w:tcPr>
            <w:tcW w:w="1843" w:type="dxa"/>
            <w:vAlign w:val="center"/>
          </w:tcPr>
          <w:p>
            <w:pPr>
              <w:spacing w:line="500" w:lineRule="exact"/>
              <w:ind w:firstLine="560"/>
              <w:rPr>
                <w:rFonts w:eastAsia="方正仿宋_GBK"/>
                <w:color w:val="000000"/>
                <w:sz w:val="28"/>
              </w:rPr>
            </w:pPr>
            <w:r>
              <w:rPr>
                <w:rFonts w:eastAsia="方正仿宋_GBK"/>
                <w:color w:val="000000"/>
                <w:sz w:val="28"/>
              </w:rPr>
              <w:t>行政</w:t>
            </w:r>
          </w:p>
        </w:tc>
        <w:tc>
          <w:tcPr>
            <w:tcW w:w="2126" w:type="dxa"/>
            <w:vAlign w:val="center"/>
          </w:tcPr>
          <w:p>
            <w:pPr>
              <w:spacing w:line="500" w:lineRule="exact"/>
              <w:ind w:firstLine="560"/>
              <w:rPr>
                <w:rFonts w:eastAsia="方正仿宋_GBK"/>
                <w:color w:val="000000"/>
                <w:sz w:val="28"/>
              </w:rPr>
            </w:pPr>
            <w:r>
              <w:rPr>
                <w:rFonts w:eastAsia="方正仿宋_GBK"/>
                <w:color w:val="000000"/>
                <w:sz w:val="28"/>
              </w:rPr>
              <w:t>正科级</w:t>
            </w:r>
          </w:p>
        </w:tc>
        <w:tc>
          <w:tcPr>
            <w:tcW w:w="3827" w:type="dxa"/>
            <w:vAlign w:val="center"/>
          </w:tcPr>
          <w:p>
            <w:pPr>
              <w:spacing w:line="500" w:lineRule="exact"/>
              <w:ind w:firstLine="560"/>
              <w:rPr>
                <w:rFonts w:eastAsia="方正仿宋_GBK"/>
                <w:color w:val="000000"/>
                <w:sz w:val="28"/>
              </w:rPr>
            </w:pPr>
            <w:r>
              <w:rPr>
                <w:rFonts w:eastAsia="方正仿宋_GBK"/>
                <w:color w:val="000000"/>
                <w:sz w:val="28"/>
              </w:rP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部门预算的编制实行综合预算管理，即全部收入和支出都反映在预算中。保定市满城区白龙乡人民政府机关及所属事业单位的收支包含在部门预算中。</w:t>
      </w:r>
    </w:p>
    <w:p>
      <w:pPr>
        <w:spacing w:line="500" w:lineRule="exact"/>
        <w:ind w:firstLine="420" w:firstLineChars="150"/>
        <w:rPr>
          <w:rFonts w:eastAsia="方正仿宋_GBK"/>
          <w:color w:val="000000"/>
          <w:sz w:val="28"/>
          <w:lang w:eastAsia="zh-Hans"/>
        </w:rPr>
      </w:pPr>
      <w:r>
        <w:rPr>
          <w:rFonts w:eastAsia="方正仿宋_GBK"/>
          <w:color w:val="000000"/>
          <w:sz w:val="28"/>
          <w:lang w:eastAsia="zh-Hans"/>
        </w:rPr>
        <w:t>（</w:t>
      </w:r>
      <w:r>
        <w:rPr>
          <w:rFonts w:hint="eastAsia" w:eastAsia="方正仿宋_GBK"/>
          <w:color w:val="000000"/>
          <w:sz w:val="28"/>
          <w:lang w:eastAsia="zh-Hans"/>
        </w:rPr>
        <w:t>一</w:t>
      </w:r>
      <w:r>
        <w:rPr>
          <w:rFonts w:eastAsia="方正仿宋_GBK"/>
          <w:color w:val="000000"/>
          <w:sz w:val="28"/>
          <w:lang w:eastAsia="zh-Hans"/>
        </w:rPr>
        <w:t>）</w:t>
      </w:r>
      <w:r>
        <w:rPr>
          <w:rFonts w:hint="eastAsia" w:eastAsia="方正仿宋_GBK"/>
          <w:color w:val="000000"/>
          <w:sz w:val="28"/>
          <w:lang w:eastAsia="zh-Hans"/>
        </w:rPr>
        <w:t>收入说明</w:t>
      </w:r>
    </w:p>
    <w:p>
      <w:pPr>
        <w:spacing w:line="500" w:lineRule="exact"/>
        <w:ind w:firstLine="560" w:firstLineChars="200"/>
        <w:rPr>
          <w:rFonts w:eastAsia="方正仿宋_GBK"/>
          <w:color w:val="000000"/>
          <w:sz w:val="28"/>
          <w:lang w:eastAsia="zh-Hans"/>
        </w:rPr>
      </w:pPr>
      <w:r>
        <w:rPr>
          <w:rFonts w:eastAsia="方正仿宋_GBK"/>
          <w:color w:val="000000"/>
          <w:sz w:val="28"/>
          <w:lang w:eastAsia="zh-CN"/>
        </w:rPr>
        <w:t>反映本部门当年全部收入。202</w:t>
      </w:r>
      <w:r>
        <w:rPr>
          <w:rFonts w:hint="eastAsia" w:eastAsia="方正仿宋_GBK"/>
          <w:color w:val="000000"/>
          <w:sz w:val="28"/>
          <w:lang w:eastAsia="zh-CN"/>
        </w:rPr>
        <w:t>3</w:t>
      </w:r>
      <w:r>
        <w:rPr>
          <w:rFonts w:eastAsia="方正仿宋_GBK"/>
          <w:color w:val="000000"/>
          <w:sz w:val="28"/>
          <w:lang w:eastAsia="zh-CN"/>
        </w:rPr>
        <w:t xml:space="preserve"> 年预算收入 </w:t>
      </w:r>
      <w:r>
        <w:rPr>
          <w:rFonts w:hint="eastAsia" w:eastAsia="方正仿宋_GBK"/>
          <w:color w:val="000000"/>
          <w:sz w:val="28"/>
          <w:lang w:eastAsia="zh-CN"/>
        </w:rPr>
        <w:t>1291.61</w:t>
      </w:r>
      <w:r>
        <w:rPr>
          <w:rFonts w:eastAsia="方正仿宋_GBK"/>
          <w:color w:val="000000"/>
          <w:sz w:val="28"/>
          <w:lang w:eastAsia="zh-CN"/>
        </w:rPr>
        <w:t>万元，其中：一般公共预算收入</w:t>
      </w:r>
      <w:r>
        <w:rPr>
          <w:rFonts w:hint="eastAsia" w:eastAsia="方正仿宋_GBK"/>
          <w:color w:val="000000"/>
          <w:sz w:val="28"/>
          <w:lang w:eastAsia="zh-CN"/>
        </w:rPr>
        <w:t>1291.61</w:t>
      </w:r>
      <w:r>
        <w:rPr>
          <w:rFonts w:eastAsia="方正仿宋_GBK"/>
          <w:color w:val="000000"/>
          <w:sz w:val="28"/>
          <w:lang w:eastAsia="zh-CN"/>
        </w:rPr>
        <w:t>万元，基金预算收入0万元，国有资本经营预算收入 0 万元，财政专户核拨收入 0 万元，单位资金收入 0 万元，上年结转结余 0 万元。</w:t>
      </w:r>
    </w:p>
    <w:p>
      <w:pPr>
        <w:spacing w:line="500" w:lineRule="exact"/>
        <w:ind w:firstLine="420" w:firstLineChars="150"/>
        <w:rPr>
          <w:rFonts w:eastAsia="方正仿宋_GBK"/>
          <w:color w:val="000000"/>
          <w:sz w:val="28"/>
          <w:lang w:eastAsia="zh-CN"/>
        </w:rPr>
      </w:pPr>
      <w:r>
        <w:rPr>
          <w:rFonts w:eastAsia="方正仿宋_GBK"/>
          <w:color w:val="000000"/>
          <w:sz w:val="28"/>
          <w:lang w:eastAsia="zh-Hans"/>
        </w:rPr>
        <w:t>（</w:t>
      </w:r>
      <w:r>
        <w:rPr>
          <w:rFonts w:hint="eastAsia" w:eastAsia="方正仿宋_GBK"/>
          <w:color w:val="000000"/>
          <w:sz w:val="28"/>
          <w:lang w:eastAsia="zh-Hans"/>
        </w:rPr>
        <w:t>二</w:t>
      </w:r>
      <w:r>
        <w:rPr>
          <w:rFonts w:eastAsia="方正仿宋_GBK"/>
          <w:color w:val="000000"/>
          <w:sz w:val="28"/>
          <w:lang w:eastAsia="zh-Hans"/>
        </w:rPr>
        <w:t>）</w:t>
      </w:r>
      <w:r>
        <w:rPr>
          <w:rFonts w:hint="eastAsia" w:eastAsia="方正仿宋_GBK"/>
          <w:color w:val="000000"/>
          <w:sz w:val="28"/>
          <w:lang w:eastAsia="zh-Hans"/>
        </w:rPr>
        <w:t>支出说明</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收支预算总表支出栏、基本支出表、项目支出表按经济分类和支出功能分类科目编制，反映保定市</w:t>
      </w:r>
      <w:r>
        <w:rPr>
          <w:rFonts w:hint="eastAsia" w:eastAsia="方正仿宋_GBK"/>
          <w:color w:val="000000"/>
          <w:sz w:val="28"/>
          <w:lang w:eastAsia="zh-CN"/>
        </w:rPr>
        <w:t>满城区</w:t>
      </w:r>
      <w:r>
        <w:rPr>
          <w:rFonts w:hint="eastAsia" w:eastAsia="方正仿宋_GBK"/>
          <w:color w:val="000000"/>
          <w:sz w:val="28"/>
          <w:lang w:eastAsia="zh-Hans"/>
        </w:rPr>
        <w:t>白龙乡</w:t>
      </w:r>
      <w:r>
        <w:rPr>
          <w:rFonts w:hint="eastAsia" w:eastAsia="方正仿宋_GBK"/>
          <w:color w:val="000000"/>
          <w:sz w:val="28"/>
          <w:lang w:eastAsia="zh-CN"/>
        </w:rPr>
        <w:t>人民政府</w:t>
      </w:r>
      <w:r>
        <w:rPr>
          <w:rFonts w:eastAsia="方正仿宋_GBK"/>
          <w:color w:val="000000"/>
          <w:sz w:val="28"/>
          <w:lang w:eastAsia="zh-CN"/>
        </w:rPr>
        <w:t>年度部门预算中支出预算的总体情况。202</w:t>
      </w:r>
      <w:r>
        <w:rPr>
          <w:rFonts w:hint="eastAsia" w:eastAsia="方正仿宋_GBK"/>
          <w:color w:val="000000"/>
          <w:sz w:val="28"/>
          <w:lang w:eastAsia="zh-CN"/>
        </w:rPr>
        <w:t>3</w:t>
      </w:r>
      <w:r>
        <w:rPr>
          <w:rFonts w:eastAsia="方正仿宋_GBK"/>
          <w:color w:val="000000"/>
          <w:sz w:val="28"/>
          <w:lang w:eastAsia="zh-CN"/>
        </w:rPr>
        <w:t>年支出预算</w:t>
      </w:r>
      <w:r>
        <w:rPr>
          <w:rFonts w:hint="eastAsia" w:eastAsia="方正仿宋_GBK"/>
          <w:color w:val="000000"/>
          <w:sz w:val="28"/>
          <w:lang w:eastAsia="zh-CN"/>
        </w:rPr>
        <w:t>1291.61</w:t>
      </w:r>
      <w:r>
        <w:rPr>
          <w:rFonts w:eastAsia="方正仿宋_GBK"/>
          <w:color w:val="000000"/>
          <w:sz w:val="28"/>
          <w:lang w:eastAsia="zh-CN"/>
        </w:rPr>
        <w:t>万元，其中基本支出</w:t>
      </w:r>
      <w:r>
        <w:rPr>
          <w:rFonts w:hint="eastAsia" w:eastAsia="方正仿宋_GBK"/>
          <w:color w:val="000000"/>
          <w:sz w:val="28"/>
          <w:lang w:eastAsia="zh-CN"/>
        </w:rPr>
        <w:t>871.8</w:t>
      </w:r>
      <w:r>
        <w:rPr>
          <w:rFonts w:hint="eastAsia" w:eastAsiaTheme="minorEastAsia"/>
          <w:color w:val="000000"/>
          <w:sz w:val="28"/>
          <w:lang w:eastAsia="zh-CN"/>
        </w:rPr>
        <w:t>8</w:t>
      </w:r>
      <w:r>
        <w:rPr>
          <w:rFonts w:eastAsia="方正仿宋_GBK"/>
          <w:color w:val="000000"/>
          <w:sz w:val="28"/>
          <w:lang w:eastAsia="zh-CN"/>
        </w:rPr>
        <w:t xml:space="preserve">万元，包括人员经费 </w:t>
      </w:r>
      <w:r>
        <w:rPr>
          <w:rFonts w:hint="eastAsia" w:eastAsia="方正仿宋_GBK"/>
          <w:color w:val="000000"/>
          <w:sz w:val="28"/>
          <w:lang w:eastAsia="zh-CN"/>
        </w:rPr>
        <w:t>80</w:t>
      </w:r>
      <w:r>
        <w:rPr>
          <w:rFonts w:hint="eastAsia" w:eastAsiaTheme="minorEastAsia"/>
          <w:color w:val="000000"/>
          <w:sz w:val="28"/>
          <w:lang w:eastAsia="zh-CN"/>
        </w:rPr>
        <w:t>8</w:t>
      </w:r>
      <w:r>
        <w:rPr>
          <w:rFonts w:hint="eastAsia" w:eastAsia="方正仿宋_GBK"/>
          <w:color w:val="000000"/>
          <w:sz w:val="28"/>
          <w:lang w:eastAsia="zh-CN"/>
        </w:rPr>
        <w:t>.</w:t>
      </w:r>
      <w:r>
        <w:rPr>
          <w:rFonts w:hint="eastAsia" w:eastAsiaTheme="minorEastAsia"/>
          <w:color w:val="000000"/>
          <w:sz w:val="28"/>
          <w:lang w:eastAsia="zh-CN"/>
        </w:rPr>
        <w:t>91</w:t>
      </w:r>
      <w:r>
        <w:rPr>
          <w:rFonts w:eastAsia="方正仿宋_GBK"/>
          <w:color w:val="000000"/>
          <w:sz w:val="28"/>
          <w:lang w:eastAsia="zh-CN"/>
        </w:rPr>
        <w:t>万元和日常公用经费</w:t>
      </w:r>
      <w:r>
        <w:rPr>
          <w:rFonts w:hint="eastAsia" w:eastAsia="方正仿宋_GBK"/>
          <w:color w:val="000000"/>
          <w:sz w:val="28"/>
          <w:lang w:eastAsia="zh-CN"/>
        </w:rPr>
        <w:t>62.</w:t>
      </w:r>
      <w:r>
        <w:rPr>
          <w:rFonts w:hint="eastAsia" w:eastAsiaTheme="minorEastAsia"/>
          <w:color w:val="000000"/>
          <w:sz w:val="28"/>
          <w:lang w:eastAsia="zh-CN"/>
        </w:rPr>
        <w:t>97</w:t>
      </w:r>
      <w:r>
        <w:rPr>
          <w:rFonts w:eastAsia="方正仿宋_GBK"/>
          <w:color w:val="000000"/>
          <w:sz w:val="28"/>
          <w:lang w:eastAsia="zh-CN"/>
        </w:rPr>
        <w:t>万元，项目支出</w:t>
      </w:r>
      <w:r>
        <w:rPr>
          <w:rFonts w:hint="eastAsia" w:eastAsia="方正仿宋_GBK"/>
          <w:color w:val="000000"/>
          <w:sz w:val="28"/>
          <w:lang w:eastAsia="zh-CN"/>
        </w:rPr>
        <w:t>419.73</w:t>
      </w:r>
      <w:r>
        <w:rPr>
          <w:rFonts w:eastAsia="方正仿宋_GBK"/>
          <w:color w:val="000000"/>
          <w:sz w:val="28"/>
          <w:lang w:eastAsia="zh-CN"/>
        </w:rPr>
        <w:t>万元，</w:t>
      </w:r>
      <w:r>
        <w:rPr>
          <w:rFonts w:hint="eastAsia" w:eastAsia="方正仿宋_GBK"/>
          <w:color w:val="000000"/>
          <w:sz w:val="28"/>
          <w:lang w:val="en-US" w:eastAsia="zh-CN"/>
        </w:rPr>
        <w:t>主要为农村综合改革项目等，</w:t>
      </w:r>
      <w:r>
        <w:rPr>
          <w:rFonts w:hint="eastAsia" w:eastAsia="方正仿宋_GBK"/>
          <w:color w:val="000000"/>
          <w:sz w:val="28"/>
          <w:lang w:eastAsia="zh-CN"/>
        </w:rPr>
        <w:t>政府基金支出</w:t>
      </w:r>
      <w:r>
        <w:rPr>
          <w:rFonts w:eastAsia="方正仿宋_GBK"/>
          <w:color w:val="000000"/>
          <w:sz w:val="28"/>
          <w:lang w:eastAsia="zh-CN"/>
        </w:rPr>
        <w:t>0</w:t>
      </w:r>
      <w:r>
        <w:rPr>
          <w:rFonts w:hint="eastAsia" w:eastAsia="方正仿宋_GBK"/>
          <w:color w:val="000000"/>
          <w:sz w:val="28"/>
          <w:lang w:eastAsia="zh-CN"/>
        </w:rPr>
        <w:t>万元</w:t>
      </w:r>
      <w:r>
        <w:rPr>
          <w:rFonts w:eastAsia="方正仿宋_GBK"/>
          <w:color w:val="000000"/>
          <w:sz w:val="28"/>
          <w:lang w:eastAsia="zh-CN"/>
        </w:rPr>
        <w:t>。</w:t>
      </w:r>
    </w:p>
    <w:p>
      <w:pPr>
        <w:spacing w:line="500" w:lineRule="exact"/>
        <w:rPr>
          <w:rFonts w:eastAsia="方正仿宋_GBK"/>
          <w:color w:val="000000"/>
          <w:sz w:val="28"/>
          <w:lang w:eastAsia="zh-Hans"/>
        </w:rPr>
      </w:pPr>
      <w:r>
        <w:rPr>
          <w:rFonts w:eastAsia="方正仿宋_GBK"/>
          <w:color w:val="000000"/>
          <w:sz w:val="28"/>
          <w:lang w:eastAsia="zh-Hans"/>
        </w:rPr>
        <w:t xml:space="preserve">       （</w:t>
      </w:r>
      <w:r>
        <w:rPr>
          <w:rFonts w:hint="eastAsia" w:eastAsia="方正仿宋_GBK"/>
          <w:color w:val="000000"/>
          <w:sz w:val="28"/>
          <w:lang w:eastAsia="zh-Hans"/>
        </w:rPr>
        <w:t>三</w:t>
      </w:r>
      <w:r>
        <w:rPr>
          <w:rFonts w:eastAsia="方正仿宋_GBK"/>
          <w:color w:val="000000"/>
          <w:sz w:val="28"/>
          <w:lang w:eastAsia="zh-Hans"/>
        </w:rPr>
        <w:t>）</w:t>
      </w:r>
      <w:r>
        <w:rPr>
          <w:rFonts w:hint="eastAsia" w:eastAsia="方正仿宋_GBK"/>
          <w:color w:val="000000"/>
          <w:sz w:val="28"/>
          <w:lang w:eastAsia="zh-Hans"/>
        </w:rPr>
        <w:t>比上年增减情况</w:t>
      </w:r>
    </w:p>
    <w:p>
      <w:pPr>
        <w:pStyle w:val="2"/>
        <w:spacing w:line="500" w:lineRule="exact"/>
        <w:ind w:firstLine="560" w:firstLineChars="200"/>
        <w:rPr>
          <w:rFonts w:ascii="Times New Roman" w:hAnsi="Times New Roman" w:eastAsia="方正仿宋_GBK" w:cs="Times New Roman"/>
          <w:color w:val="000000"/>
          <w:sz w:val="28"/>
          <w:szCs w:val="24"/>
          <w:lang w:eastAsia="zh-Hans"/>
        </w:rPr>
      </w:pPr>
      <w:r>
        <w:rPr>
          <w:rFonts w:ascii="Times New Roman" w:hAnsi="Times New Roman" w:eastAsia="方正仿宋_GBK" w:cs="Times New Roman"/>
          <w:color w:val="000000"/>
          <w:sz w:val="28"/>
          <w:szCs w:val="24"/>
          <w:lang w:eastAsia="zh-Hans"/>
        </w:rPr>
        <w:t>202</w:t>
      </w:r>
      <w:r>
        <w:rPr>
          <w:rFonts w:hint="eastAsia" w:ascii="Times New Roman" w:hAnsi="Times New Roman" w:eastAsia="方正仿宋_GBK" w:cs="Times New Roman"/>
          <w:color w:val="000000"/>
          <w:sz w:val="28"/>
          <w:szCs w:val="24"/>
          <w:lang w:eastAsia="zh-CN"/>
        </w:rPr>
        <w:t>3</w:t>
      </w:r>
      <w:r>
        <w:rPr>
          <w:rFonts w:hint="eastAsia" w:ascii="Times New Roman" w:hAnsi="Times New Roman" w:eastAsia="方正仿宋_GBK" w:cs="Times New Roman"/>
          <w:color w:val="000000"/>
          <w:sz w:val="28"/>
          <w:szCs w:val="24"/>
          <w:lang w:eastAsia="zh-Hans"/>
        </w:rPr>
        <w:t>年预算收支安排</w:t>
      </w:r>
      <w:r>
        <w:rPr>
          <w:rFonts w:hint="eastAsia" w:eastAsia="方正仿宋_GBK"/>
          <w:color w:val="000000"/>
          <w:sz w:val="28"/>
          <w:lang w:eastAsia="zh-CN"/>
        </w:rPr>
        <w:t>1291.61</w:t>
      </w:r>
      <w:r>
        <w:rPr>
          <w:rFonts w:hint="eastAsia" w:ascii="Times New Roman" w:hAnsi="Times New Roman" w:eastAsia="方正仿宋_GBK" w:cs="Times New Roman"/>
          <w:color w:val="000000"/>
          <w:sz w:val="28"/>
          <w:szCs w:val="24"/>
          <w:lang w:eastAsia="zh-Hans"/>
        </w:rPr>
        <w:t>万元</w:t>
      </w:r>
      <w:r>
        <w:rPr>
          <w:rFonts w:ascii="Times New Roman" w:hAnsi="Times New Roman" w:eastAsia="方正仿宋_GBK" w:cs="Times New Roman"/>
          <w:color w:val="000000"/>
          <w:sz w:val="28"/>
          <w:szCs w:val="24"/>
          <w:lang w:eastAsia="zh-Hans"/>
        </w:rPr>
        <w:t>，</w:t>
      </w:r>
      <w:r>
        <w:rPr>
          <w:rFonts w:ascii="Times New Roman" w:hAnsi="Times New Roman" w:eastAsia="方正仿宋_GBK" w:cs="Times New Roman"/>
          <w:color w:val="000000"/>
          <w:sz w:val="28"/>
          <w:szCs w:val="24"/>
          <w:lang w:eastAsia="zh-CN"/>
        </w:rPr>
        <w:t>较 202</w:t>
      </w:r>
      <w:r>
        <w:rPr>
          <w:rFonts w:hint="eastAsia" w:ascii="Times New Roman" w:hAnsi="Times New Roman" w:eastAsia="方正仿宋_GBK" w:cs="Times New Roman"/>
          <w:color w:val="000000"/>
          <w:sz w:val="28"/>
          <w:szCs w:val="24"/>
          <w:lang w:eastAsia="zh-CN"/>
        </w:rPr>
        <w:t>2</w:t>
      </w:r>
      <w:r>
        <w:rPr>
          <w:rFonts w:ascii="Times New Roman" w:hAnsi="Times New Roman" w:eastAsia="方正仿宋_GBK" w:cs="Times New Roman"/>
          <w:color w:val="000000"/>
          <w:sz w:val="28"/>
          <w:szCs w:val="24"/>
          <w:lang w:eastAsia="zh-CN"/>
        </w:rPr>
        <w:t xml:space="preserve"> 年预算</w:t>
      </w:r>
      <w:r>
        <w:rPr>
          <w:rFonts w:hint="eastAsia" w:ascii="Times New Roman" w:hAnsi="Times New Roman" w:eastAsia="方正仿宋_GBK" w:cs="Times New Roman"/>
          <w:color w:val="000000"/>
          <w:sz w:val="28"/>
          <w:szCs w:val="24"/>
          <w:lang w:eastAsia="zh-Hans"/>
        </w:rPr>
        <w:t>增加</w:t>
      </w:r>
      <w:r>
        <w:rPr>
          <w:rFonts w:hint="eastAsia" w:ascii="Times New Roman" w:hAnsi="Times New Roman" w:eastAsia="方正仿宋_GBK" w:cs="Times New Roman"/>
          <w:color w:val="000000"/>
          <w:sz w:val="28"/>
          <w:szCs w:val="24"/>
          <w:lang w:eastAsia="zh-CN"/>
        </w:rPr>
        <w:t>237.1</w:t>
      </w:r>
      <w:r>
        <w:rPr>
          <w:rFonts w:hint="eastAsia" w:cs="Times New Roman" w:asciiTheme="minorEastAsia" w:hAnsiTheme="minorEastAsia" w:eastAsiaTheme="minorEastAsia"/>
          <w:color w:val="000000"/>
          <w:sz w:val="28"/>
          <w:szCs w:val="24"/>
          <w:lang w:eastAsia="zh-CN"/>
        </w:rPr>
        <w:t>3</w:t>
      </w:r>
      <w:r>
        <w:rPr>
          <w:rFonts w:ascii="Times New Roman" w:hAnsi="Times New Roman" w:eastAsia="方正仿宋_GBK" w:cs="Times New Roman"/>
          <w:color w:val="000000"/>
          <w:sz w:val="28"/>
          <w:szCs w:val="24"/>
          <w:lang w:eastAsia="zh-CN"/>
        </w:rPr>
        <w:t>万元，其中：基本支出</w:t>
      </w:r>
      <w:r>
        <w:rPr>
          <w:rFonts w:hint="eastAsia" w:ascii="Times New Roman" w:hAnsi="Times New Roman" w:eastAsia="方正仿宋_GBK" w:cs="Times New Roman"/>
          <w:color w:val="000000"/>
          <w:sz w:val="28"/>
          <w:szCs w:val="24"/>
          <w:lang w:eastAsia="zh-Hans"/>
        </w:rPr>
        <w:t>增加</w:t>
      </w:r>
      <w:r>
        <w:rPr>
          <w:rFonts w:hint="eastAsia" w:ascii="Times New Roman" w:hAnsi="Times New Roman" w:eastAsia="方正仿宋_GBK" w:cs="Times New Roman"/>
          <w:color w:val="000000"/>
          <w:sz w:val="28"/>
          <w:szCs w:val="24"/>
          <w:lang w:eastAsia="zh-CN"/>
        </w:rPr>
        <w:t>93.7</w:t>
      </w:r>
      <w:r>
        <w:rPr>
          <w:rFonts w:hint="eastAsia" w:ascii="Times New Roman" w:hAnsi="Times New Roman" w:cs="Times New Roman" w:eastAsiaTheme="minorEastAsia"/>
          <w:color w:val="000000"/>
          <w:sz w:val="28"/>
          <w:szCs w:val="24"/>
          <w:lang w:eastAsia="zh-CN"/>
        </w:rPr>
        <w:t>3</w:t>
      </w:r>
      <w:r>
        <w:rPr>
          <w:rFonts w:ascii="Times New Roman" w:hAnsi="Times New Roman" w:eastAsia="方正仿宋_GBK" w:cs="Times New Roman"/>
          <w:color w:val="000000"/>
          <w:sz w:val="28"/>
          <w:szCs w:val="24"/>
          <w:lang w:eastAsia="zh-CN"/>
        </w:rPr>
        <w:t>万元，主要为人员</w:t>
      </w:r>
      <w:r>
        <w:rPr>
          <w:rFonts w:hint="eastAsia" w:ascii="Times New Roman" w:hAnsi="Times New Roman" w:eastAsia="方正仿宋_GBK" w:cs="Times New Roman"/>
          <w:color w:val="000000"/>
          <w:sz w:val="28"/>
          <w:szCs w:val="24"/>
          <w:lang w:eastAsia="zh-Hans"/>
        </w:rPr>
        <w:t>调入</w:t>
      </w:r>
      <w:r>
        <w:rPr>
          <w:rFonts w:ascii="Times New Roman" w:hAnsi="Times New Roman" w:eastAsia="方正仿宋_GBK" w:cs="Times New Roman"/>
          <w:color w:val="000000"/>
          <w:sz w:val="28"/>
          <w:szCs w:val="24"/>
          <w:lang w:eastAsia="zh-CN"/>
        </w:rPr>
        <w:t>；项目支出</w:t>
      </w:r>
      <w:r>
        <w:rPr>
          <w:rFonts w:hint="eastAsia" w:ascii="Times New Roman" w:hAnsi="Times New Roman" w:eastAsia="方正仿宋_GBK" w:cs="Times New Roman"/>
          <w:color w:val="000000"/>
          <w:sz w:val="28"/>
          <w:szCs w:val="24"/>
          <w:lang w:eastAsia="zh-Hans"/>
        </w:rPr>
        <w:t>增加</w:t>
      </w:r>
      <w:r>
        <w:rPr>
          <w:rFonts w:hint="eastAsia" w:ascii="Times New Roman" w:hAnsi="Times New Roman" w:eastAsia="方正仿宋_GBK" w:cs="Times New Roman"/>
          <w:color w:val="000000"/>
          <w:sz w:val="28"/>
          <w:szCs w:val="24"/>
          <w:lang w:eastAsia="zh-CN"/>
        </w:rPr>
        <w:t>143.40</w:t>
      </w:r>
      <w:r>
        <w:rPr>
          <w:rFonts w:ascii="Times New Roman" w:hAnsi="Times New Roman" w:eastAsia="方正仿宋_GBK" w:cs="Times New Roman"/>
          <w:color w:val="000000"/>
          <w:sz w:val="28"/>
          <w:szCs w:val="24"/>
          <w:lang w:eastAsia="zh-CN"/>
        </w:rPr>
        <w:t>万元，主要</w:t>
      </w:r>
      <w:r>
        <w:rPr>
          <w:rFonts w:hint="eastAsia" w:ascii="Times New Roman" w:hAnsi="Times New Roman" w:eastAsia="方正仿宋_GBK" w:cs="Times New Roman"/>
          <w:color w:val="000000"/>
          <w:sz w:val="28"/>
          <w:szCs w:val="24"/>
          <w:lang w:eastAsia="zh-Hans"/>
        </w:rPr>
        <w:t>是</w:t>
      </w:r>
      <w:r>
        <w:rPr>
          <w:rFonts w:hint="eastAsia" w:ascii="Times New Roman" w:hAnsi="Times New Roman" w:eastAsia="方正仿宋_GBK" w:cs="Times New Roman"/>
          <w:color w:val="000000"/>
          <w:sz w:val="28"/>
          <w:szCs w:val="24"/>
          <w:lang w:eastAsia="zh-CN"/>
        </w:rPr>
        <w:t>之前一事一议未完成</w:t>
      </w:r>
      <w:r>
        <w:rPr>
          <w:rFonts w:hint="eastAsia" w:ascii="Times New Roman" w:hAnsi="Times New Roman" w:eastAsia="方正仿宋_GBK" w:cs="Times New Roman"/>
          <w:color w:val="000000"/>
          <w:sz w:val="28"/>
          <w:szCs w:val="24"/>
          <w:lang w:eastAsia="zh-Hans"/>
        </w:rPr>
        <w:t>项目</w:t>
      </w:r>
      <w:r>
        <w:rPr>
          <w:rFonts w:hint="eastAsia" w:ascii="Times New Roman" w:hAnsi="Times New Roman" w:eastAsia="方正仿宋_GBK" w:cs="Times New Roman"/>
          <w:color w:val="000000"/>
          <w:sz w:val="28"/>
          <w:szCs w:val="24"/>
          <w:lang w:eastAsia="zh-CN"/>
        </w:rPr>
        <w:t>资金转结</w:t>
      </w:r>
      <w:r>
        <w:rPr>
          <w:rFonts w:ascii="Times New Roman" w:hAnsi="Times New Roman" w:eastAsia="方正仿宋_GBK" w:cs="Times New Roman"/>
          <w:color w:val="000000"/>
          <w:sz w:val="28"/>
          <w:szCs w:val="24"/>
          <w:lang w:eastAsia="zh-CN"/>
        </w:rPr>
        <w:t>。</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firstLineChars="200"/>
        <w:outlineLvl w:val="0"/>
        <w:rPr>
          <w:rFonts w:eastAsia="方正仿宋_GBK"/>
          <w:color w:val="000000"/>
          <w:sz w:val="28"/>
          <w:lang w:eastAsia="zh-CN"/>
        </w:rPr>
      </w:pPr>
      <w:r>
        <w:rPr>
          <w:rFonts w:hint="eastAsia" w:eastAsia="方正仿宋_GBK"/>
          <w:color w:val="000000"/>
          <w:sz w:val="28"/>
          <w:lang w:eastAsia="zh-Hans"/>
        </w:rPr>
        <w:t>202</w:t>
      </w:r>
      <w:r>
        <w:rPr>
          <w:rFonts w:hint="eastAsia" w:eastAsia="方正仿宋_GBK"/>
          <w:color w:val="000000"/>
          <w:sz w:val="28"/>
          <w:lang w:eastAsia="zh-CN"/>
        </w:rPr>
        <w:t>3</w:t>
      </w:r>
      <w:r>
        <w:rPr>
          <w:rFonts w:hint="eastAsia" w:eastAsia="方正仿宋_GBK"/>
          <w:color w:val="000000"/>
          <w:sz w:val="28"/>
          <w:lang w:eastAsia="zh-Hans"/>
        </w:rPr>
        <w:t>年我部门运行经费共计安排</w:t>
      </w:r>
      <w:r>
        <w:rPr>
          <w:rFonts w:hint="eastAsia" w:eastAsia="方正仿宋_GBK"/>
          <w:color w:val="000000"/>
          <w:sz w:val="28"/>
          <w:lang w:eastAsia="zh-CN"/>
        </w:rPr>
        <w:t>62.9</w:t>
      </w:r>
      <w:r>
        <w:rPr>
          <w:rFonts w:hint="eastAsia" w:eastAsiaTheme="minorEastAsia"/>
          <w:color w:val="000000"/>
          <w:sz w:val="28"/>
          <w:lang w:eastAsia="zh-CN"/>
        </w:rPr>
        <w:t>7</w:t>
      </w:r>
      <w:r>
        <w:rPr>
          <w:rFonts w:hint="eastAsia" w:eastAsia="方正仿宋_GBK"/>
          <w:color w:val="000000"/>
          <w:sz w:val="28"/>
          <w:lang w:eastAsia="zh-Hans"/>
        </w:rPr>
        <w:t>万元，主要用于日常办公费、办公用房水电费、办公用房取暖费、等日常运行支出。</w:t>
      </w:r>
    </w:p>
    <w:p>
      <w:pPr>
        <w:spacing w:line="500" w:lineRule="exact"/>
        <w:ind w:firstLine="560" w:firstLineChars="200"/>
        <w:outlineLvl w:val="0"/>
        <w:rPr>
          <w:rFonts w:eastAsia="方正仿宋_GBK"/>
          <w:color w:val="000000"/>
          <w:sz w:val="28"/>
          <w:lang w:eastAsia="zh-CN"/>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outlineLvl w:val="0"/>
        <w:rPr>
          <w:rFonts w:eastAsia="方正仿宋_GBK"/>
          <w:color w:val="000000"/>
          <w:sz w:val="28"/>
          <w:lang w:eastAsia="zh-CN"/>
        </w:rPr>
      </w:pPr>
      <w:r>
        <w:rPr>
          <w:rFonts w:eastAsia="方正仿宋_GBK"/>
          <w:color w:val="000000"/>
          <w:sz w:val="28"/>
          <w:lang w:eastAsia="zh-Hans"/>
        </w:rPr>
        <w:t>202</w:t>
      </w:r>
      <w:r>
        <w:rPr>
          <w:rFonts w:hint="eastAsia" w:eastAsia="方正仿宋_GBK"/>
          <w:color w:val="000000"/>
          <w:sz w:val="28"/>
          <w:lang w:eastAsia="zh-CN"/>
        </w:rPr>
        <w:t>3</w:t>
      </w:r>
      <w:r>
        <w:rPr>
          <w:rFonts w:eastAsia="方正仿宋_GBK"/>
          <w:color w:val="000000"/>
          <w:sz w:val="28"/>
          <w:lang w:eastAsia="zh-Hans"/>
        </w:rPr>
        <w:t xml:space="preserve"> 年，我部门财政拨款“三公”经费预算安排</w:t>
      </w:r>
      <w:r>
        <w:rPr>
          <w:rFonts w:hint="eastAsia" w:eastAsia="方正仿宋_GBK"/>
          <w:color w:val="000000"/>
          <w:sz w:val="28"/>
          <w:lang w:eastAsia="zh-CN"/>
        </w:rPr>
        <w:t>7.29</w:t>
      </w:r>
      <w:r>
        <w:rPr>
          <w:rFonts w:eastAsia="方正仿宋_GBK"/>
          <w:color w:val="000000"/>
          <w:sz w:val="28"/>
          <w:lang w:eastAsia="zh-Hans"/>
        </w:rPr>
        <w:t>万元，其中因公出国（境）费 0 万元；公务用车购置及运维费6</w:t>
      </w:r>
      <w:r>
        <w:rPr>
          <w:rFonts w:hint="eastAsia" w:eastAsia="方正仿宋_GBK"/>
          <w:color w:val="000000"/>
          <w:sz w:val="28"/>
          <w:lang w:eastAsia="zh-Hans"/>
        </w:rPr>
        <w:t>.</w:t>
      </w:r>
      <w:r>
        <w:rPr>
          <w:rFonts w:eastAsia="方正仿宋_GBK"/>
          <w:color w:val="000000"/>
          <w:sz w:val="28"/>
          <w:lang w:eastAsia="zh-Hans"/>
        </w:rPr>
        <w:t>00万元（其中：公务用车购置费为0万元，公务用车</w:t>
      </w:r>
      <w:r>
        <w:rPr>
          <w:rFonts w:hint="eastAsia" w:eastAsia="方正仿宋_GBK"/>
          <w:color w:val="000000"/>
          <w:sz w:val="28"/>
          <w:lang w:eastAsia="zh-Hans"/>
        </w:rPr>
        <w:t>运行维护</w:t>
      </w:r>
      <w:r>
        <w:rPr>
          <w:rFonts w:eastAsia="方正仿宋_GBK"/>
          <w:color w:val="000000"/>
          <w:sz w:val="28"/>
          <w:lang w:eastAsia="zh-Hans"/>
        </w:rPr>
        <w:t>费6</w:t>
      </w:r>
      <w:r>
        <w:rPr>
          <w:rFonts w:hint="eastAsia" w:eastAsia="方正仿宋_GBK"/>
          <w:color w:val="000000"/>
          <w:sz w:val="28"/>
          <w:lang w:eastAsia="zh-Hans"/>
        </w:rPr>
        <w:t>.</w:t>
      </w:r>
      <w:r>
        <w:rPr>
          <w:rFonts w:eastAsia="方正仿宋_GBK"/>
          <w:color w:val="000000"/>
          <w:sz w:val="28"/>
          <w:lang w:eastAsia="zh-Hans"/>
        </w:rPr>
        <w:t>00万元)</w:t>
      </w:r>
      <w:r>
        <w:rPr>
          <w:rFonts w:hint="eastAsia" w:eastAsia="方正仿宋_GBK"/>
          <w:color w:val="000000"/>
          <w:sz w:val="28"/>
          <w:lang w:eastAsia="zh-CN"/>
        </w:rPr>
        <w:t>，</w:t>
      </w:r>
      <w:r>
        <w:rPr>
          <w:rFonts w:hint="eastAsia" w:eastAsia="方正仿宋_GBK"/>
          <w:color w:val="000000"/>
          <w:sz w:val="28"/>
        </w:rPr>
        <w:t>较202</w:t>
      </w:r>
      <w:r>
        <w:rPr>
          <w:rFonts w:hint="eastAsia" w:eastAsia="方正仿宋_GBK"/>
          <w:color w:val="000000"/>
          <w:sz w:val="28"/>
          <w:lang w:eastAsia="zh-CN"/>
        </w:rPr>
        <w:t>2</w:t>
      </w:r>
      <w:r>
        <w:rPr>
          <w:rFonts w:hint="eastAsia" w:eastAsia="方正仿宋_GBK"/>
          <w:color w:val="000000"/>
          <w:sz w:val="28"/>
        </w:rPr>
        <w:t>年无增减变化</w:t>
      </w:r>
      <w:r>
        <w:rPr>
          <w:rFonts w:eastAsia="方正仿宋_GBK"/>
          <w:color w:val="000000"/>
          <w:sz w:val="28"/>
          <w:lang w:eastAsia="zh-Hans"/>
        </w:rPr>
        <w:t>；公务接待费</w:t>
      </w:r>
      <w:r>
        <w:rPr>
          <w:rFonts w:hint="eastAsia" w:eastAsia="方正仿宋_GBK"/>
          <w:color w:val="000000"/>
          <w:sz w:val="28"/>
          <w:lang w:eastAsia="zh-CN"/>
        </w:rPr>
        <w:t>1.29</w:t>
      </w:r>
      <w:r>
        <w:rPr>
          <w:rFonts w:eastAsia="方正仿宋_GBK"/>
          <w:color w:val="000000"/>
          <w:sz w:val="28"/>
          <w:lang w:eastAsia="zh-Hans"/>
        </w:rPr>
        <w:t>万元</w:t>
      </w:r>
      <w:r>
        <w:rPr>
          <w:rFonts w:hint="eastAsia" w:eastAsia="方正仿宋_GBK"/>
          <w:color w:val="000000"/>
          <w:sz w:val="28"/>
          <w:lang w:eastAsia="zh-CN"/>
        </w:rPr>
        <w:t>，</w:t>
      </w:r>
      <w:r>
        <w:rPr>
          <w:rFonts w:eastAsia="方正仿宋_GBK"/>
          <w:color w:val="000000"/>
          <w:sz w:val="28"/>
          <w:lang w:eastAsia="zh-Hans"/>
        </w:rPr>
        <w:t>与202</w:t>
      </w:r>
      <w:r>
        <w:rPr>
          <w:rFonts w:hint="eastAsia" w:eastAsia="方正仿宋_GBK"/>
          <w:color w:val="000000"/>
          <w:sz w:val="28"/>
          <w:lang w:eastAsia="zh-CN"/>
        </w:rPr>
        <w:t>2</w:t>
      </w:r>
      <w:r>
        <w:rPr>
          <w:rFonts w:eastAsia="方正仿宋_GBK"/>
          <w:color w:val="000000"/>
          <w:sz w:val="28"/>
          <w:lang w:eastAsia="zh-Hans"/>
        </w:rPr>
        <w:t>年相比</w:t>
      </w:r>
      <w:r>
        <w:rPr>
          <w:rFonts w:hint="eastAsia" w:eastAsia="方正仿宋_GBK"/>
          <w:color w:val="000000"/>
          <w:sz w:val="28"/>
          <w:lang w:eastAsia="zh-CN"/>
        </w:rPr>
        <w:t>增加0.55</w:t>
      </w:r>
      <w:r>
        <w:rPr>
          <w:rFonts w:eastAsia="方正仿宋_GBK"/>
          <w:color w:val="000000"/>
          <w:sz w:val="28"/>
          <w:lang w:eastAsia="zh-Hans"/>
        </w:rPr>
        <w:t>万元，</w:t>
      </w:r>
      <w:r>
        <w:rPr>
          <w:rFonts w:hint="eastAsia" w:eastAsia="方正仿宋_GBK"/>
          <w:color w:val="000000"/>
          <w:sz w:val="28"/>
          <w:lang w:eastAsia="zh-CN"/>
        </w:rPr>
        <w:t>增加</w:t>
      </w:r>
      <w:r>
        <w:rPr>
          <w:rFonts w:eastAsia="方正仿宋_GBK"/>
          <w:color w:val="000000"/>
          <w:sz w:val="28"/>
          <w:lang w:eastAsia="zh-Hans"/>
        </w:rPr>
        <w:t>的主要原因是：根据年度工作计划实际情况</w:t>
      </w:r>
      <w:r>
        <w:rPr>
          <w:rFonts w:hint="eastAsia" w:eastAsia="方正仿宋_GBK"/>
          <w:color w:val="000000"/>
          <w:sz w:val="28"/>
          <w:lang w:eastAsia="zh-CN"/>
        </w:rPr>
        <w:t>增加</w:t>
      </w:r>
      <w:r>
        <w:rPr>
          <w:rFonts w:eastAsia="方正仿宋_GBK"/>
          <w:color w:val="000000"/>
          <w:sz w:val="28"/>
          <w:lang w:eastAsia="zh-Hans"/>
        </w:rPr>
        <w:t>公务接待费预算。</w:t>
      </w:r>
    </w:p>
    <w:p>
      <w:pPr>
        <w:spacing w:line="500" w:lineRule="exact"/>
        <w:ind w:firstLine="480" w:firstLineChars="200"/>
        <w:outlineLvl w:val="0"/>
        <w:rPr>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jc w:val="center"/>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2023年，白龙乡以习近</w:t>
      </w:r>
      <w:r>
        <w:rPr>
          <w:rFonts w:hint="eastAsia"/>
          <w:lang w:eastAsia="zh-CN"/>
        </w:rPr>
        <w:t>平</w:t>
      </w:r>
      <w:r>
        <w:t>新时代中国特色社会主义思想为指导，深入学习贯彻党的二十大精神，以高度的政治自觉和行动自觉，围绕亩产、增收、创新、宜居、平安五个方面，通过一系列务实创新、扎实有效的具体举措，夯实特色农业产业基础，为打造中国式现代化满城场景贡献白龙乡力量。</w:t>
      </w:r>
    </w:p>
    <w:p>
      <w:pPr>
        <w:pStyle w:val="23"/>
      </w:pPr>
      <w:r>
        <w:t>一、坚持党建引领，坚定不移落实全面从严治党</w:t>
      </w:r>
    </w:p>
    <w:p>
      <w:pPr>
        <w:pStyle w:val="23"/>
      </w:pPr>
      <w:r>
        <w:t>一是完善干部激励机制，严格党员精细化管理，科学落实“千分制”考核、党建四项制度等一</w:t>
      </w:r>
      <w:r>
        <w:rPr>
          <w:rFonts w:hint="eastAsia"/>
          <w:lang w:eastAsia="zh-CN"/>
        </w:rPr>
        <w:t>系</w:t>
      </w:r>
      <w:r>
        <w:t>列制度、措施，引导干部争当先进，实现自我价值，增强工作责任感、进取心和荣誉感。</w:t>
      </w:r>
    </w:p>
    <w:p>
      <w:pPr>
        <w:pStyle w:val="23"/>
      </w:pPr>
      <w:r>
        <w:t>二是深入开展社会主义核心价值观宣传教育，弘扬中华民族传统文化，党员干部带头弘扬家风建设，做到明大德、守公德、严私德。</w:t>
      </w:r>
    </w:p>
    <w:p>
      <w:pPr>
        <w:pStyle w:val="23"/>
      </w:pPr>
      <w:r>
        <w:t>三是强化政治理论学习，深入学习党的二十大精神，坚定“四个自信”，用马克思主义中国时代化的理论成果指导实践工作，坚定信仰理念，始终牢记“江山就是人民、人民就是江山”，不断针对新理念、新思路、新办法，指导推动全镇各项事业稳步发展。</w:t>
      </w:r>
    </w:p>
    <w:p>
      <w:pPr>
        <w:pStyle w:val="23"/>
      </w:pPr>
      <w:r>
        <w:t>四是深化“纠四风”，严格落实中央八项规定，重点纠治形式主义、官僚主义，强化学习、自查自纠及问题整改，进一步提升全镇党员干部干事创业精气神，实现自我净化、自我完善、自我革新、自我提高，打造一支政治立场坚定，拒腐防变能力强，业务能力过硬的镇村干部队伍。</w:t>
      </w:r>
    </w:p>
    <w:p>
      <w:pPr>
        <w:pStyle w:val="23"/>
      </w:pPr>
      <w:r>
        <w:t>二、以宜居论英雄，加快建设和美乡村</w:t>
      </w:r>
    </w:p>
    <w:p>
      <w:pPr>
        <w:pStyle w:val="23"/>
      </w:pPr>
      <w:r>
        <w:t>一是加大污染面源管控，推进生态治理工程，落实好重污染天气应急响应机制，做好在建工地、企业、餐饮饭店、移动污染源管理，打好蓝天保卫战。</w:t>
      </w:r>
    </w:p>
    <w:p>
      <w:pPr>
        <w:pStyle w:val="23"/>
      </w:pPr>
      <w:r>
        <w:t>二是加大农村黑臭水体治理，常态化落实域内坑塘、河道巡查监督，引导村民建立生态环保理念，严格畜牧养殖业管理，杜绝偷排行为。</w:t>
      </w:r>
    </w:p>
    <w:p>
      <w:pPr>
        <w:pStyle w:val="23"/>
      </w:pPr>
      <w:r>
        <w:t>三是推进江水置换、农业节水灌溉工程，加大地下水超采治理力度，切实做好自备井关停等工作，保护好华北地下水源。</w:t>
      </w:r>
    </w:p>
    <w:p>
      <w:pPr>
        <w:pStyle w:val="23"/>
      </w:pPr>
      <w:r>
        <w:t>四是开展人居环境综合整治，提升农村新颜值。对道路交通环境进行综合综合靓化提升，引导村民共同推进生态宜居乡村环境建设。</w:t>
      </w:r>
    </w:p>
    <w:p>
      <w:pPr>
        <w:pStyle w:val="23"/>
      </w:pPr>
      <w:r>
        <w:t>五是通过实施道路硬化、新建集贸市场、高标准生态停车场、康养中心等一系列民生工程，完善基础设施服务保障，解决好群众急难求盼的民生问题。</w:t>
      </w:r>
    </w:p>
    <w:p>
      <w:pPr>
        <w:pStyle w:val="23"/>
      </w:pPr>
      <w:r>
        <w:t>三、以平安论英雄，确保社会大局和谐稳定</w:t>
      </w:r>
    </w:p>
    <w:p>
      <w:pPr>
        <w:pStyle w:val="23"/>
      </w:pPr>
      <w:r>
        <w:t>一是守住安全防线。常态化坚持扫黑除恶、扫黄打非、电信网络诈骗治理等工作力度。推进企业安全生产、农村燃气安全大检查、大整治，维护保障群众生命财产安全。进一步落实“新十条”常态化疫情防控措施，科学落实各项政策，保障社会正常运转。</w:t>
      </w:r>
    </w:p>
    <w:p>
      <w:pPr>
        <w:pStyle w:val="23"/>
      </w:pPr>
      <w:r>
        <w:t>二是狠抓基层治理。推进信访治理，发挥农村网格化治理力度，加大信访排调，推动枫桥经验落实，切实推进凯旋城等信访问题化解工作，依法维护群众合法权利。</w:t>
      </w:r>
    </w:p>
    <w:p>
      <w:pPr>
        <w:pStyle w:val="23"/>
      </w:pPr>
      <w:r>
        <w:t>三是践行人民至上发展理念，继续深入推进“两为一事”“一事一议”、民生事项、12345政务服务热线等工作，持续巩固脱贫攻坚工作成果，落实医疗、养老等各项服务保障。坚持依法行政，严格落实“三重一大”决策制度，严格党务、政务公开，广泛接受群众民主监督，规范行政执法程序，坚持文明执法。</w:t>
      </w:r>
    </w:p>
    <w:p>
      <w:pPr>
        <w:spacing w:line="500" w:lineRule="exact"/>
        <w:ind w:firstLine="560"/>
      </w:pPr>
      <w:r>
        <w:rPr>
          <w:rFonts w:eastAsia="方正仿宋_GBK"/>
          <w:color w:val="000000"/>
          <w:sz w:val="28"/>
        </w:rPr>
        <w:t>（二）分项绩效目标</w:t>
      </w:r>
    </w:p>
    <w:p>
      <w:pPr>
        <w:pStyle w:val="24"/>
      </w:pPr>
      <w:r>
        <w:rPr>
          <w:rFonts w:hint="eastAsia"/>
          <w:lang w:eastAsia="zh-CN"/>
        </w:rPr>
        <w:t>一、党</w:t>
      </w:r>
      <w:r>
        <w:t>政综合</w:t>
      </w:r>
    </w:p>
    <w:p>
      <w:pPr>
        <w:pStyle w:val="24"/>
      </w:pPr>
      <w:r>
        <w:t>绩效目标：承担乡党委、政府日常运转工作；综合协调、上传下达、任务交办和督促落实工作；党委政府值班、公文、会务、接待、人事、档案、信息综合、安全保卫、机要保密、人民防空、地方金融监管、后勤保障工作；承担改革事项的协调落实、督促检查和对上汇报工作；本乡媒体来电来访协调处置工作;负责信访接待工作。</w:t>
      </w:r>
    </w:p>
    <w:p>
      <w:pPr>
        <w:pStyle w:val="24"/>
      </w:pPr>
      <w:r>
        <w:t>绩效指标：</w:t>
      </w:r>
    </w:p>
    <w:p>
      <w:pPr>
        <w:pStyle w:val="24"/>
        <w:rPr>
          <w:lang w:eastAsia="zh-CN"/>
        </w:rPr>
      </w:pPr>
      <w:r>
        <w:t>1.乡党委、政府日常运转工作完成率</w:t>
      </w:r>
      <w:r>
        <w:rPr>
          <w:rFonts w:hint="eastAsia"/>
          <w:lang w:eastAsia="zh-Hans"/>
        </w:rPr>
        <w:t>小于等于</w:t>
      </w:r>
      <w:r>
        <w:rPr>
          <w:lang w:eastAsia="zh-Hans"/>
        </w:rPr>
        <w:t>10</w:t>
      </w:r>
      <w:r>
        <w:t>0%。</w:t>
      </w:r>
    </w:p>
    <w:p>
      <w:pPr>
        <w:pStyle w:val="24"/>
      </w:pPr>
      <w:r>
        <w:t>2.认真做好群众来信来访工作，特别是涉及政法各部门的案件</w:t>
      </w:r>
      <w:r>
        <w:rPr>
          <w:rFonts w:hint="eastAsia"/>
          <w:lang w:eastAsia="zh-CN"/>
        </w:rPr>
        <w:t>、</w:t>
      </w:r>
      <w:r>
        <w:t>信件，及时准确的做好解释疏导工作，并转办（交办)政法各部限期办理或督导检查落实情况，维护群众利益诉求</w:t>
      </w:r>
      <w:r>
        <w:rPr>
          <w:rFonts w:hint="eastAsia"/>
          <w:lang w:eastAsia="zh-Hans"/>
        </w:rPr>
        <w:t>小于等于</w:t>
      </w:r>
      <w:r>
        <w:rPr>
          <w:lang w:eastAsia="zh-Hans"/>
        </w:rPr>
        <w:t>10</w:t>
      </w:r>
      <w:r>
        <w:t>0%。</w:t>
      </w:r>
    </w:p>
    <w:p>
      <w:pPr>
        <w:pStyle w:val="24"/>
      </w:pPr>
      <w:r>
        <w:t>3.矛盾纠纷排查化解</w:t>
      </w:r>
      <w:r>
        <w:rPr>
          <w:rFonts w:hint="eastAsia"/>
          <w:lang w:eastAsia="zh-CN"/>
        </w:rPr>
        <w:t>，</w:t>
      </w:r>
      <w:r>
        <w:t>完善矛盾纠纷排查机制</w:t>
      </w:r>
      <w:r>
        <w:rPr>
          <w:rFonts w:hint="eastAsia"/>
          <w:lang w:eastAsia="zh-Hans"/>
        </w:rPr>
        <w:t>小于等于</w:t>
      </w:r>
      <w:r>
        <w:rPr>
          <w:lang w:eastAsia="zh-Hans"/>
        </w:rPr>
        <w:t>10</w:t>
      </w:r>
      <w:r>
        <w:t>0%。</w:t>
      </w:r>
    </w:p>
    <w:p>
      <w:pPr>
        <w:pStyle w:val="24"/>
      </w:pPr>
      <w:r>
        <w:rPr>
          <w:rFonts w:hint="eastAsia"/>
          <w:lang w:eastAsia="zh-CN"/>
        </w:rPr>
        <w:t>二、</w:t>
      </w:r>
      <w:r>
        <w:t>党建</w:t>
      </w:r>
      <w:r>
        <w:rPr>
          <w:rFonts w:hint="eastAsia"/>
          <w:lang w:eastAsia="zh-CN"/>
        </w:rPr>
        <w:t>工作</w:t>
      </w:r>
    </w:p>
    <w:p>
      <w:pPr>
        <w:pStyle w:val="24"/>
        <w:jc w:val="both"/>
      </w:pPr>
      <w:r>
        <w:t>绩效目标：宣传和执行党的路线、方针、政策，宣传和执行党中央、上级党组织和本级党组织的决议，团结、组织党内外的干部和群众；维护和执行党的纪律，监督党员干部和其他任何工作人员严格遵守国家法律法规；乡党委自身建设和基层党组织建设，以及其他隶属乡党委的党组织建设；下级党的基层组织选举工作，对下级党组织的成立或撤销作出决定；非公有制企业和社会组织党建工作，扩大新兴领域党建有效覆盖；加强党员队伍建设，对党员干部进行教育、管理、监督和培训工作，做好经常性的发展党员工作，加强流动党员管理工作；协助管理上级有关部门驻乡单位的干部；党员干部日常和年度考核工作；负责组织、机构编制、宣传、国家安全、网络安全和信息化、人才工作；负责党管意识形态、统一统战、民族宗教工作；党的主题教育活动工作；负责推进移风易俗、文明创建等工作；推动农村民主政治建设；负责群团、人民武装工作。承担人大主席团日常事务和人大代表联络等工作；承担政协委员联络工作。</w:t>
      </w:r>
    </w:p>
    <w:p>
      <w:pPr>
        <w:pStyle w:val="24"/>
      </w:pPr>
      <w:r>
        <w:t>绩效指标：</w:t>
      </w:r>
    </w:p>
    <w:p>
      <w:pPr>
        <w:pStyle w:val="24"/>
        <w:rPr>
          <w:lang w:eastAsia="zh-CN"/>
        </w:rPr>
      </w:pPr>
      <w:r>
        <w:t>1.乡镇人大换届选举、乡镇区领导人的选举和常委会人事任免的服务工作；负责对乡镇政府组成人员和乡镇人民法院主要负责人的目标责任书、述职报告的督办工作。换届选举工作完成率</w:t>
      </w:r>
      <w:r>
        <w:rPr>
          <w:rFonts w:hint="eastAsia"/>
          <w:lang w:eastAsia="zh-CN"/>
        </w:rPr>
        <w:t>小于等于</w:t>
      </w:r>
      <w:r>
        <w:t>100%</w:t>
      </w:r>
    </w:p>
    <w:p>
      <w:pPr>
        <w:pStyle w:val="24"/>
      </w:pPr>
      <w:r>
        <w:t>2.组织指导乡镇、村民委员会和基层群众自治组织；指导村民委员会民主选举、民主决策、民主管理和民主监督，村务公开；指导乡镇村民委员会建设及服务管理工作。加强党风廉政建设，营造风清气正、干事创业的工作氛围，巡视监督工作常态化、全覆盖 巡视工作完成率</w:t>
      </w:r>
      <w:r>
        <w:rPr>
          <w:rFonts w:hint="eastAsia"/>
          <w:lang w:eastAsia="zh-CN"/>
        </w:rPr>
        <w:t>小于等于100%</w:t>
      </w:r>
    </w:p>
    <w:p>
      <w:pPr>
        <w:pStyle w:val="24"/>
      </w:pPr>
      <w:r>
        <w:t xml:space="preserve"> 3.教育活动落实率</w:t>
      </w:r>
      <w:r>
        <w:rPr>
          <w:rFonts w:hint="eastAsia"/>
          <w:lang w:eastAsia="zh-Hans"/>
        </w:rPr>
        <w:t>小于等于</w:t>
      </w:r>
      <w:r>
        <w:rPr>
          <w:lang w:eastAsia="zh-Hans"/>
        </w:rPr>
        <w:t>10</w:t>
      </w:r>
      <w:r>
        <w:t>0%。</w:t>
      </w:r>
    </w:p>
    <w:p>
      <w:pPr>
        <w:pStyle w:val="24"/>
      </w:pPr>
      <w:r>
        <w:rPr>
          <w:rFonts w:hint="eastAsia"/>
          <w:lang w:eastAsia="zh-CN"/>
        </w:rPr>
        <w:t>三、</w:t>
      </w:r>
      <w:r>
        <w:t>应急管理</w:t>
      </w:r>
    </w:p>
    <w:p>
      <w:pPr>
        <w:pStyle w:val="24"/>
      </w:pPr>
      <w:r>
        <w:t>绩效目标： 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4"/>
        <w:rPr>
          <w:lang w:eastAsia="zh-CN"/>
        </w:rPr>
      </w:pPr>
      <w:r>
        <w:t>绩效指标： 1.协调维护社会稳定和国家安全 排查、化解影响社会稳定的重大不稳定隐患、群体性事件和突发事件及影响国家安全的事件。</w:t>
      </w:r>
    </w:p>
    <w:p>
      <w:pPr>
        <w:pStyle w:val="24"/>
        <w:rPr>
          <w:lang w:eastAsia="zh-CN"/>
        </w:rPr>
      </w:pPr>
      <w:r>
        <w:t>2. 各项工作完成率</w:t>
      </w:r>
      <w:r>
        <w:rPr>
          <w:rFonts w:hint="eastAsia"/>
          <w:lang w:eastAsia="zh-Hans"/>
        </w:rPr>
        <w:t>小于等于</w:t>
      </w:r>
      <w:r>
        <w:rPr>
          <w:lang w:eastAsia="zh-Hans"/>
        </w:rPr>
        <w:t>10</w:t>
      </w:r>
      <w:r>
        <w:t>0%。</w:t>
      </w:r>
    </w:p>
    <w:p>
      <w:pPr>
        <w:pStyle w:val="24"/>
        <w:rPr>
          <w:lang w:eastAsia="zh-CN"/>
        </w:rPr>
      </w:pPr>
      <w:r>
        <w:t>3.农村及企业建立健全应急队伍，检查各项应急处置措施落实工作率</w:t>
      </w:r>
      <w:r>
        <w:rPr>
          <w:rFonts w:hint="eastAsia"/>
          <w:lang w:eastAsia="zh-Hans"/>
        </w:rPr>
        <w:t>小于等于</w:t>
      </w:r>
      <w:r>
        <w:rPr>
          <w:lang w:eastAsia="zh-Hans"/>
        </w:rPr>
        <w:t>10</w:t>
      </w:r>
      <w:r>
        <w:t>0%。</w:t>
      </w:r>
    </w:p>
    <w:p>
      <w:pPr>
        <w:pStyle w:val="24"/>
        <w:rPr>
          <w:lang w:eastAsia="zh-CN"/>
        </w:rPr>
      </w:pPr>
      <w:r>
        <w:t>4.发挥财政职能，提高理财水平 财政人员培训</w:t>
      </w:r>
      <w:r>
        <w:rPr>
          <w:rFonts w:hint="eastAsia"/>
          <w:lang w:eastAsia="zh-Hans"/>
        </w:rPr>
        <w:t>小于等于</w:t>
      </w:r>
      <w:r>
        <w:rPr>
          <w:lang w:eastAsia="zh-Hans"/>
        </w:rPr>
        <w:t>10</w:t>
      </w:r>
      <w:r>
        <w:t xml:space="preserve">0%。          </w:t>
      </w:r>
    </w:p>
    <w:p>
      <w:pPr>
        <w:pStyle w:val="24"/>
      </w:pPr>
      <w:r>
        <w:t>5.加强安全生产综合监督管理 定期组织在乡镇内开展安全生产检查活动，对重点行业和作业场所职业卫生安全生产进行检查；不断加强安全生产监管能力建设；组织开展安全生产教育活动，促进企业全面落实安全生产诚信管理。通过检查安全生产，最大限度地发现、纠正、督促企业消除各类隐患，预防和减少事故的发生，确保乡安全生产形势持续稳定好转，加大安全生产宣传和信息公开力度，提高全社会产意识。检查覆盖率</w:t>
      </w:r>
      <w:r>
        <w:rPr>
          <w:rFonts w:hint="eastAsia"/>
          <w:lang w:eastAsia="zh-Hans"/>
        </w:rPr>
        <w:t>小于等于</w:t>
      </w:r>
      <w:r>
        <w:rPr>
          <w:lang w:eastAsia="zh-Hans"/>
        </w:rPr>
        <w:t>10</w:t>
      </w:r>
      <w:r>
        <w:t>0%。</w:t>
      </w:r>
    </w:p>
    <w:p>
      <w:pPr>
        <w:pStyle w:val="24"/>
      </w:pPr>
      <w:r>
        <w:t>6.加强重大危险源安全管理 加强重大危险源的监测、监控、辨识与评估及登记建档、备案与核销等安全管理；开展重大危险源执法检查工作。科学准确进行重大危险源等级界定；有效开展监测数据的综合分析、数据发布工作；督促企业切实加强危险源监控，有效治理隐患，落实监管责任。专项检查次数</w:t>
      </w:r>
      <w:r>
        <w:rPr>
          <w:rFonts w:hint="eastAsia"/>
          <w:lang w:eastAsia="zh-CN"/>
        </w:rPr>
        <w:t>不少于4次。</w:t>
      </w:r>
    </w:p>
    <w:p>
      <w:pPr>
        <w:pStyle w:val="24"/>
      </w:pPr>
      <w:r>
        <w:t>7.做好对五保户、低保户、贫困户、大病医疗救助、防灾、减灾、救灾款项的及时发放资金发放率</w:t>
      </w:r>
      <w:r>
        <w:rPr>
          <w:rFonts w:hint="eastAsia"/>
          <w:lang w:eastAsia="zh-Hans"/>
        </w:rPr>
        <w:t>小于等于</w:t>
      </w:r>
      <w:r>
        <w:rPr>
          <w:lang w:eastAsia="zh-Hans"/>
        </w:rPr>
        <w:t>10</w:t>
      </w:r>
      <w:r>
        <w:t>0%。</w:t>
      </w:r>
    </w:p>
    <w:p>
      <w:pPr>
        <w:pStyle w:val="24"/>
      </w:pPr>
      <w:r>
        <w:rPr>
          <w:rFonts w:hint="eastAsia"/>
          <w:lang w:eastAsia="zh-CN"/>
        </w:rPr>
        <w:t>四、</w:t>
      </w:r>
      <w:r>
        <w:t>自然资源和生态环境</w:t>
      </w:r>
    </w:p>
    <w:p>
      <w:pPr>
        <w:pStyle w:val="24"/>
      </w:pPr>
      <w:r>
        <w:t>绩效目标：贯彻落实城乡规划建设、自然资源等法律法规，本乡发展规划、村镇建设规划和专规详规的制定落实工作；辖区土地规划编制、调整协调工作；动员和组织社会力量参与土地调查工作；本辖区乡道、村道建设规划工作。住房和城乡建设工作。环境保护法律法规和相关政策的宣传教育；制定并落实环境保护年度计划；保护和改善环境有显著成绩的单位和个人表彰和奖励工作。农业环境的保护和管理工作。土壤污染防治和安全利用；水资源保护、水污染防治、水环境治理等工作；组织开展大气污染防治工作；负责“散乱污”企业综合整治工作；乡村环境保护工作。</w:t>
      </w:r>
    </w:p>
    <w:p>
      <w:pPr>
        <w:pStyle w:val="24"/>
      </w:pPr>
      <w:r>
        <w:t>绩效指标：</w:t>
      </w:r>
    </w:p>
    <w:p>
      <w:pPr>
        <w:pStyle w:val="24"/>
        <w:rPr>
          <w:lang w:eastAsia="zh-CN"/>
        </w:rPr>
      </w:pPr>
      <w:r>
        <w:t>1.重点对PM、VOC、二氧化硫等大气污染物进行综合防治，推动城镇环境空气质量改善。VOC排放消减率</w:t>
      </w:r>
      <w:r>
        <w:rPr>
          <w:rFonts w:hint="eastAsia"/>
          <w:lang w:eastAsia="zh-Hans"/>
        </w:rPr>
        <w:t>小于等于</w:t>
      </w:r>
      <w:r>
        <w:rPr>
          <w:lang w:eastAsia="zh-Hans"/>
        </w:rPr>
        <w:t>10</w:t>
      </w:r>
      <w:r>
        <w:t>0%。</w:t>
      </w:r>
    </w:p>
    <w:p>
      <w:pPr>
        <w:pStyle w:val="24"/>
        <w:rPr>
          <w:lang w:eastAsia="zh-CN"/>
        </w:rPr>
      </w:pPr>
      <w:r>
        <w:t>2.解决农村区域性突出环境问题 试点、示范区域村庄污水处理率达到95%以上。</w:t>
      </w:r>
    </w:p>
    <w:p>
      <w:pPr>
        <w:pStyle w:val="24"/>
      </w:pPr>
      <w:r>
        <w:t>3.改善环境重点、敏感区域的农村人居和生态环境质量。解决农村区域性突出环境问题试点、示范区域村庄污水处理率</w:t>
      </w:r>
      <w:r>
        <w:rPr>
          <w:rFonts w:hint="eastAsia"/>
          <w:lang w:eastAsia="zh-Hans"/>
        </w:rPr>
        <w:t>小于等于</w:t>
      </w:r>
      <w:r>
        <w:rPr>
          <w:lang w:eastAsia="zh-Hans"/>
        </w:rPr>
        <w:t>10</w:t>
      </w:r>
      <w:r>
        <w:t>0%。</w:t>
      </w:r>
    </w:p>
    <w:p>
      <w:pPr>
        <w:pStyle w:val="24"/>
      </w:pPr>
      <w:r>
        <w:t>4.发展规划、村镇建设规划和专规详规的制定落实率≥90%。</w:t>
      </w:r>
    </w:p>
    <w:p>
      <w:pPr>
        <w:pStyle w:val="24"/>
      </w:pPr>
      <w:r>
        <w:t>5.综合行政执法队（综合指挥和信息化网络中心、社会治安综合治理中心）</w:t>
      </w:r>
    </w:p>
    <w:p>
      <w:pPr>
        <w:pStyle w:val="24"/>
      </w:pPr>
      <w:r>
        <w:t>绩效目标：综合行政执法工作，承担乡本级、区直部门下放乡和区直部门委托乡的行政处罚工作；本区域内执法工作的日常巡查监管；负责协助区直部门在本行政区域内进行的其他行政执法工作。</w:t>
      </w:r>
    </w:p>
    <w:p>
      <w:pPr>
        <w:pStyle w:val="24"/>
      </w:pPr>
      <w:r>
        <w:t>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4"/>
      </w:pPr>
      <w:r>
        <w:t>绩效指标：</w:t>
      </w:r>
    </w:p>
    <w:p>
      <w:pPr>
        <w:pStyle w:val="24"/>
      </w:pPr>
      <w:r>
        <w:rPr>
          <w:rFonts w:hint="eastAsia"/>
          <w:lang w:eastAsia="zh-CN"/>
        </w:rPr>
        <w:t>（</w:t>
      </w:r>
      <w:r>
        <w:t>1</w:t>
      </w:r>
      <w:r>
        <w:rPr>
          <w:rFonts w:hint="eastAsia"/>
          <w:lang w:eastAsia="zh-CN"/>
        </w:rPr>
        <w:t>）</w:t>
      </w:r>
      <w:r>
        <w:t>日常巡查监率达到100%。</w:t>
      </w:r>
    </w:p>
    <w:p>
      <w:pPr>
        <w:pStyle w:val="24"/>
      </w:pPr>
      <w:r>
        <w:rPr>
          <w:rFonts w:hint="eastAsia"/>
          <w:lang w:eastAsia="zh-CN"/>
        </w:rPr>
        <w:t>（2）</w:t>
      </w:r>
      <w:r>
        <w:t>保障履行职责，工作完成率达到100%。</w:t>
      </w:r>
    </w:p>
    <w:p>
      <w:pPr>
        <w:pStyle w:val="24"/>
      </w:pPr>
      <w:r>
        <w:t>6.行政综合服务中心（综合文化服务站）</w:t>
      </w:r>
    </w:p>
    <w:p>
      <w:pPr>
        <w:pStyle w:val="24"/>
      </w:pPr>
      <w:r>
        <w:t>绩效目标：集中办理行政审批和民政、劳动就业、卫生健康等民生保障的公共服务事项；为办事企业和群众提供业务引导、政策咨询、帮办代办服务；建立和完善乡村政务服务体系，做好互联网+政务服务的技术保障工作。引领农村富余劳动力转移，组织开展就业培训，搞好劳务输出；下岗失业人员再就业指导和劳动用工服务工作；负责社会保障服务工作。对广大群众进行时政宣传和政策法制教育；组织开展丰富多彩的文体娱乐活动，组织电影、电视、录像放映活动；负责举办各类文化艺术培训班、科普讲座、农技知识讲座等，辅导和培养文艺骨干；负责开办图书室，组织群众开展读书活动；搜集、整理民族民间文化艺术遗产，促进乡村特色文化的发展；指导开展群众体育运动和全民健身活动；推动青少年校外活动的开展，建立健全校外活动场所。指导和辅导村文化机构开展各种业务活动；做好文物的宣传保护工作。</w:t>
      </w:r>
    </w:p>
    <w:p>
      <w:pPr>
        <w:pStyle w:val="24"/>
      </w:pPr>
      <w:r>
        <w:t>绩效指标：</w:t>
      </w:r>
    </w:p>
    <w:p>
      <w:pPr>
        <w:pStyle w:val="24"/>
      </w:pPr>
      <w:r>
        <w:rPr>
          <w:rFonts w:hint="eastAsia"/>
          <w:lang w:eastAsia="zh-CN"/>
        </w:rPr>
        <w:t>（1）</w:t>
      </w:r>
      <w:r>
        <w:t>公共服务工程推广 农家书屋建设、群众文化体育活动、全民阅读活动、老放映员生活补助以及应急广播体系建设等任务目标大于等于95%。</w:t>
      </w:r>
    </w:p>
    <w:p>
      <w:pPr>
        <w:pStyle w:val="24"/>
      </w:pPr>
      <w:r>
        <w:rPr>
          <w:rFonts w:hint="eastAsia"/>
          <w:lang w:eastAsia="zh-CN"/>
        </w:rPr>
        <w:t>（2）</w:t>
      </w:r>
      <w:r>
        <w:t>各项政策落实，各项服务到位</w:t>
      </w:r>
      <w:r>
        <w:rPr>
          <w:rFonts w:hint="eastAsia"/>
          <w:lang w:eastAsia="zh-CN"/>
        </w:rPr>
        <w:t>达到</w:t>
      </w:r>
      <w:r>
        <w:t>100%</w:t>
      </w:r>
    </w:p>
    <w:p>
      <w:pPr>
        <w:pStyle w:val="24"/>
      </w:pPr>
      <w:r>
        <w:t>7.农业综合服务中心（乡村经济发展服务中心）</w:t>
      </w:r>
    </w:p>
    <w:p>
      <w:pPr>
        <w:pStyle w:val="24"/>
      </w:pPr>
      <w:r>
        <w:t>绩效目标：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4"/>
      </w:pPr>
      <w:r>
        <w:t>绩效指标：</w:t>
      </w:r>
    </w:p>
    <w:p>
      <w:pPr>
        <w:pStyle w:val="24"/>
      </w:pPr>
      <w:r>
        <w:rPr>
          <w:rFonts w:hint="eastAsia"/>
          <w:lang w:eastAsia="zh-CN"/>
        </w:rPr>
        <w:t>（1）</w:t>
      </w:r>
      <w:r>
        <w:t>在全乡范围内通过实施农村饮水安全项目，解决农村居民饮水不安全问题</w:t>
      </w:r>
      <w:r>
        <w:rPr>
          <w:rFonts w:hint="eastAsia"/>
          <w:lang w:eastAsia="zh-CN"/>
        </w:rPr>
        <w:t>达到</w:t>
      </w:r>
      <w:r>
        <w:t>100%</w:t>
      </w:r>
      <w:r>
        <w:rPr>
          <w:rFonts w:hint="eastAsia"/>
          <w:lang w:eastAsia="zh-CN"/>
        </w:rPr>
        <w:t>。</w:t>
      </w:r>
      <w:r>
        <w:t>      </w:t>
      </w:r>
    </w:p>
    <w:p>
      <w:pPr>
        <w:pStyle w:val="24"/>
      </w:pPr>
      <w:r>
        <w:rPr>
          <w:rFonts w:hint="eastAsia"/>
          <w:lang w:eastAsia="zh-CN"/>
        </w:rPr>
        <w:t>（2）</w:t>
      </w:r>
      <w:r>
        <w:t>农田水利建设小型农田水利设施，实施节水灌溉、灌区续建配套与节水改造等，推广综合节水技术，农业水价综合改革，开展乡镇水利站建设。</w:t>
      </w:r>
    </w:p>
    <w:p>
      <w:pPr>
        <w:pStyle w:val="24"/>
        <w:rPr>
          <w:lang w:eastAsia="zh-CN"/>
        </w:rPr>
      </w:pPr>
      <w:r>
        <w:rPr>
          <w:rFonts w:hint="eastAsia"/>
          <w:lang w:eastAsia="zh-CN"/>
        </w:rPr>
        <w:t>（3）</w:t>
      </w:r>
      <w:r>
        <w:t>建设土地流转有形市场 指导全乡建立运转顺畅、便捷高效的农村土地承包经营权流转服务平台，带动土地流转依法、有序开展土地流转提高率≥1.1%</w:t>
      </w:r>
      <w:r>
        <w:rPr>
          <w:rFonts w:hint="eastAsia"/>
          <w:lang w:eastAsia="zh-CN"/>
        </w:rPr>
        <w:t>。</w:t>
      </w:r>
    </w:p>
    <w:p>
      <w:pPr>
        <w:pStyle w:val="24"/>
      </w:pPr>
      <w:r>
        <w:rPr>
          <w:rFonts w:hint="eastAsia"/>
          <w:lang w:eastAsia="zh-CN"/>
        </w:rPr>
        <w:t>（4）</w:t>
      </w:r>
      <w:r>
        <w:t>根据国家要求开展农村土地承包经营确权登记试点，并逐步向全乡全面推开。完成全乡耕地面积50%的确权登记颁证目标农村土地承包土地确权登记颁证率≥50%</w:t>
      </w:r>
      <w:r>
        <w:rPr>
          <w:rFonts w:hint="eastAsia"/>
          <w:lang w:eastAsia="zh-CN"/>
        </w:rPr>
        <w:t>。</w:t>
      </w:r>
    </w:p>
    <w:p>
      <w:pPr>
        <w:pStyle w:val="24"/>
      </w:pPr>
      <w:r>
        <w:rPr>
          <w:rFonts w:hint="eastAsia"/>
          <w:lang w:eastAsia="zh-CN"/>
        </w:rPr>
        <w:t>（5）</w:t>
      </w:r>
      <w:r>
        <w:t>支持农民专业合作组织规范、健康发展。建立健全农村集体“三资”管理制度，盘活集体存量资产资源，拓宽集体增收渠道，促进农村集体资产保值增值。健全农村集体“三资”管理制度，指导农村经济组织健康、规范发展。村集体经济业务规范率100%。</w:t>
      </w:r>
    </w:p>
    <w:p>
      <w:pPr>
        <w:pStyle w:val="24"/>
      </w:pPr>
      <w:r>
        <w:rPr>
          <w:rFonts w:hint="eastAsia"/>
          <w:lang w:eastAsia="zh-CN"/>
        </w:rPr>
        <w:t>（6）</w:t>
      </w:r>
      <w:r>
        <w:t>农村面貌改造提升围绕农村改造15件实事，突出重点，因地制宜，开展农村面貌改造提升。按照分期分批推进的要求，每年选定一批重点村实施改造提升。重点村改造提升完成率</w:t>
      </w:r>
      <w:r>
        <w:rPr>
          <w:rFonts w:hint="eastAsia"/>
          <w:lang w:eastAsia="zh-CN"/>
        </w:rPr>
        <w:t>小于等于</w:t>
      </w:r>
      <w:r>
        <w:t>100%</w:t>
      </w:r>
    </w:p>
    <w:p>
      <w:pPr>
        <w:pStyle w:val="24"/>
      </w:pPr>
      <w:r>
        <w:rPr>
          <w:rFonts w:hint="eastAsia"/>
          <w:lang w:eastAsia="zh-CN"/>
        </w:rPr>
        <w:t>（7）</w:t>
      </w:r>
      <w:r>
        <w:t>按照市、县统筹城乡发展的要求，以“环境美、产业美、精神美、生态美”为重点，大力推进美丽乡村建设。 突出重点，因地制宜，按照分期分批推进的要求，每年选定一批重点村实施改造提升。美丽乡村建设重点村任务完成率</w:t>
      </w:r>
      <w:r>
        <w:rPr>
          <w:rFonts w:hint="eastAsia"/>
          <w:lang w:eastAsia="zh-CN"/>
        </w:rPr>
        <w:t>小于等于</w:t>
      </w:r>
      <w:r>
        <w:t>100%</w:t>
      </w:r>
    </w:p>
    <w:p>
      <w:pPr>
        <w:pStyle w:val="24"/>
      </w:pPr>
      <w:r>
        <w:rPr>
          <w:rFonts w:hint="eastAsia"/>
          <w:lang w:eastAsia="zh-CN"/>
        </w:rPr>
        <w:t>（8）</w:t>
      </w:r>
      <w:r>
        <w:t>根据国家要求开展农村土地承包经营确权登记试点，并逐步向全乡全面推开。完成全乡耕地面积50%的确权登记颁证目标 农村土地承包土地确权登记颁证率≥50%</w:t>
      </w:r>
    </w:p>
    <w:p>
      <w:pPr>
        <w:pStyle w:val="24"/>
      </w:pPr>
      <w:r>
        <w:rPr>
          <w:rFonts w:hint="eastAsia"/>
          <w:lang w:eastAsia="zh-CN"/>
        </w:rPr>
        <w:t>（9）</w:t>
      </w:r>
      <w:r>
        <w:t>支持农民专业合作组织规范、健康发展。建立健全农村集体“三资”管理制度，盘活集体存量资产资源，拓宽集体增收渠道，促进农村集体资产保值增值。健全农村集体“三资”管理制度，指导农村经济组织健康、规范发展。村集体经济业务规范率</w:t>
      </w:r>
      <w:r>
        <w:rPr>
          <w:rFonts w:hint="eastAsia"/>
          <w:lang w:eastAsia="zh-CN"/>
        </w:rPr>
        <w:t>小于等于</w:t>
      </w:r>
      <w:r>
        <w:t>100%</w:t>
      </w:r>
    </w:p>
    <w:p>
      <w:pPr>
        <w:pStyle w:val="24"/>
      </w:pPr>
      <w:r>
        <w:rPr>
          <w:rFonts w:hint="eastAsia"/>
          <w:lang w:eastAsia="zh-CN"/>
        </w:rPr>
        <w:t>（10）</w:t>
      </w:r>
      <w:r>
        <w:t>按照国家、省部署，对全乡主要粮食作物和猪、牛、羊、鸡等畜产品生产实施良种补贴。小麦、玉米、水稻、棉花良种补贴全覆盖。畜牧、水产品种优良化率持续提高良种补贴覆盖率</w:t>
      </w:r>
      <w:r>
        <w:rPr>
          <w:rFonts w:hint="eastAsia"/>
          <w:lang w:eastAsia="zh-CN"/>
        </w:rPr>
        <w:t>达到</w:t>
      </w:r>
      <w:r>
        <w:t>100%。</w:t>
      </w:r>
    </w:p>
    <w:p>
      <w:pPr>
        <w:pStyle w:val="24"/>
        <w:rPr>
          <w:lang w:eastAsia="zh-CN"/>
        </w:rPr>
      </w:pPr>
      <w:r>
        <w:rPr>
          <w:rFonts w:hint="eastAsia"/>
          <w:lang w:eastAsia="zh-CN"/>
        </w:rPr>
        <w:t>（11）</w:t>
      </w:r>
      <w:r>
        <w:t>实施菜篮子工程 重点扶持一批有规模、生产技术基础好、区域优势突出、在增加产量和提高质量上有示范带动作用的农产品生产基地。通过改善生产条件，加强产品质量管理，强化品牌建设，大力推进标准化、集约化、现代化生产。促进“菜篮子”产品生产向规模化、园区化、设施化、标准化和产销一体化发展 按要求完成畜禽标准化健康养殖规模场改造计划≥</w:t>
      </w:r>
      <w:r>
        <w:rPr>
          <w:rFonts w:hint="eastAsia"/>
          <w:lang w:eastAsia="zh-CN"/>
        </w:rPr>
        <w:t>85</w:t>
      </w:r>
      <w:r>
        <w:t>%</w:t>
      </w:r>
      <w:r>
        <w:rPr>
          <w:rFonts w:hint="eastAsia"/>
          <w:lang w:eastAsia="zh-CN"/>
        </w:rPr>
        <w:t>，</w:t>
      </w:r>
      <w:r>
        <w:t>蔬菜标准园创建完成率</w:t>
      </w:r>
      <w:r>
        <w:rPr>
          <w:rFonts w:hint="eastAsia"/>
          <w:lang w:eastAsia="zh-CN"/>
        </w:rPr>
        <w:t>小于等于</w:t>
      </w:r>
      <w:r>
        <w:t>100%</w:t>
      </w:r>
    </w:p>
    <w:p>
      <w:pPr>
        <w:pStyle w:val="24"/>
      </w:pPr>
      <w:r>
        <w:t>8.退役军人服务。</w:t>
      </w:r>
    </w:p>
    <w:p>
      <w:pPr>
        <w:pStyle w:val="24"/>
      </w:pPr>
      <w:r>
        <w:t>绩效目标：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4"/>
      </w:pPr>
      <w:r>
        <w:t>绩效指标：</w:t>
      </w:r>
    </w:p>
    <w:p>
      <w:pPr>
        <w:pStyle w:val="24"/>
      </w:pPr>
      <w:r>
        <w:rPr>
          <w:rFonts w:hint="eastAsia"/>
          <w:lang w:eastAsia="zh-CN"/>
        </w:rPr>
        <w:t>（1）</w:t>
      </w:r>
      <w:r>
        <w:t>加强后备力量建设，培养“劳武”两用人才的人民武装建设的基地。 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     </w:t>
      </w:r>
    </w:p>
    <w:p>
      <w:pPr>
        <w:pStyle w:val="24"/>
      </w:pPr>
      <w:r>
        <w:rPr>
          <w:rFonts w:hint="eastAsia"/>
          <w:lang w:eastAsia="zh-CN"/>
        </w:rPr>
        <w:t>（2）</w:t>
      </w:r>
      <w:r>
        <w:t>民兵训练和专武干部培训 根据上级要求，认真制定基干民兵和专武干部培训计划和方案，严格组织人员按质按量完成训练任务。保证装备器材的良好状态，随时执行紧急拉动和应急任务。</w:t>
      </w:r>
    </w:p>
    <w:p>
      <w:pPr>
        <w:spacing w:line="500" w:lineRule="exact"/>
        <w:ind w:firstLine="560"/>
      </w:pPr>
      <w:r>
        <w:rPr>
          <w:rFonts w:eastAsia="方正仿宋_GBK"/>
          <w:color w:val="000000"/>
          <w:sz w:val="28"/>
        </w:rPr>
        <w:t>（三）工作保障措施</w:t>
      </w:r>
    </w:p>
    <w:p>
      <w:pPr>
        <w:pStyle w:val="25"/>
      </w:pPr>
      <w:r>
        <w:rPr>
          <w:rFonts w:hint="eastAsia"/>
          <w:lang w:eastAsia="zh-CN"/>
        </w:rPr>
        <w:t>1、</w:t>
      </w:r>
      <w:r>
        <w:t>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5"/>
      </w:pPr>
      <w:r>
        <w:rPr>
          <w:rFonts w:hint="eastAsia"/>
          <w:lang w:eastAsia="zh-CN"/>
        </w:rPr>
        <w:t>2、</w:t>
      </w:r>
      <w:r>
        <w:t>加强支出管理。通过优化支出结构、编细编实预算、尽快启动项目、及时支付资金、按规定及时下达资金等多种措施，确保支出进度达标。组织统筹各村现有的环境资源及地理位置，将功能定位放在开发产业化、现代化的便民服务业上，大力开拓以便民利民服务为宗旨的便民服务业。</w:t>
      </w:r>
    </w:p>
    <w:p>
      <w:pPr>
        <w:pStyle w:val="25"/>
      </w:pPr>
      <w:r>
        <w:rPr>
          <w:rFonts w:hint="eastAsia"/>
          <w:lang w:eastAsia="zh-CN"/>
        </w:rPr>
        <w:t>3、</w:t>
      </w:r>
      <w:r>
        <w:t>加强绩效运行监控。按要求开展绩效运行监控，发现问题及时采取措施，确保绩效目标如期保质实现。</w:t>
      </w:r>
    </w:p>
    <w:p>
      <w:pPr>
        <w:pStyle w:val="25"/>
      </w:pPr>
      <w:r>
        <w:rPr>
          <w:rFonts w:hint="eastAsia"/>
          <w:lang w:eastAsia="zh-CN"/>
        </w:rPr>
        <w:t>4、</w:t>
      </w:r>
      <w:r>
        <w:t>规范财务资产管理。完善财务管理制度，严格审批程序，加强固定资产登记、使用和报废处置管理，做到支出合理，物尽其用。</w:t>
      </w:r>
    </w:p>
    <w:p>
      <w:pPr>
        <w:pStyle w:val="25"/>
        <w:rPr>
          <w:lang w:eastAsia="zh-CN"/>
        </w:rPr>
      </w:pPr>
      <w:r>
        <w:rPr>
          <w:rFonts w:hint="eastAsia"/>
          <w:lang w:eastAsia="zh-CN"/>
        </w:rPr>
        <w:t>5、</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rPr>
          <w:lang w:eastAsia="zh-CN"/>
        </w:rPr>
      </w:pPr>
    </w:p>
    <w:p>
      <w:pPr>
        <w:ind w:firstLine="640"/>
        <w:jc w:val="center"/>
        <w:rPr>
          <w:rFonts w:ascii="方正楷体_GBK" w:hAnsi="方正楷体_GBK" w:eastAsia="方正楷体_GBK" w:cs="方正楷体_GBK"/>
          <w:b/>
          <w:color w:val="000000"/>
          <w:sz w:val="32"/>
        </w:rPr>
      </w:pPr>
    </w:p>
    <w:p>
      <w:pPr>
        <w:numPr>
          <w:ilvl w:val="0"/>
          <w:numId w:val="1"/>
        </w:numPr>
        <w:ind w:firstLine="640"/>
        <w:jc w:val="cente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2"/>
        </w:numPr>
        <w:jc w:val="both"/>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(预)专项业务费绩效目标表</w:t>
      </w:r>
    </w:p>
    <w:p>
      <w:pPr>
        <w:numPr>
          <w:numId w:val="0"/>
        </w:numPr>
        <w:jc w:val="both"/>
        <w:rPr>
          <w:rFonts w:ascii="方正仿宋_GBK" w:hAnsi="方正仿宋_GBK" w:eastAsia="方正仿宋_GBK" w:cs="方正仿宋_GBK"/>
          <w:b/>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1.2023年罚没收入任务奖励，保障基层组织运转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保障单位数量</w:t>
            </w:r>
          </w:p>
        </w:tc>
        <w:tc>
          <w:tcPr>
            <w:tcW w:w="2835" w:type="dxa"/>
            <w:vAlign w:val="center"/>
          </w:tcPr>
          <w:p>
            <w:pPr>
              <w:pStyle w:val="14"/>
            </w:pPr>
            <w:r>
              <w:t>专项业务费保障单位数量</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享受专项业务费全面保障率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按时发放率</w:t>
            </w:r>
          </w:p>
        </w:tc>
        <w:tc>
          <w:tcPr>
            <w:tcW w:w="2835" w:type="dxa"/>
            <w:vAlign w:val="center"/>
          </w:tcPr>
          <w:p>
            <w:pPr>
              <w:pStyle w:val="14"/>
            </w:pPr>
            <w:r>
              <w:t>专项业务费按时发放率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专项业务费的资金成本</w:t>
            </w:r>
          </w:p>
        </w:tc>
        <w:tc>
          <w:tcPr>
            <w:tcW w:w="2551" w:type="dxa"/>
            <w:vAlign w:val="center"/>
          </w:tcPr>
          <w:p>
            <w:pPr>
              <w:pStyle w:val="14"/>
            </w:pPr>
            <w:r>
              <w:t>10万元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保障基层组织运转</w:t>
            </w:r>
          </w:p>
        </w:tc>
        <w:tc>
          <w:tcPr>
            <w:tcW w:w="2835" w:type="dxa"/>
            <w:vAlign w:val="center"/>
          </w:tcPr>
          <w:p>
            <w:pPr>
              <w:pStyle w:val="14"/>
            </w:pPr>
            <w:r>
              <w:t>保障和提升基层组织运转</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群众对服务的满意程度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2、2019-2020年农村综合改革项目（一事一议）绩效目标表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1.安装太阳能路灯，道路硬化，污水处理，保障村民居住环境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一事一议数量</w:t>
            </w:r>
          </w:p>
        </w:tc>
        <w:tc>
          <w:tcPr>
            <w:tcW w:w="2835" w:type="dxa"/>
            <w:vAlign w:val="center"/>
          </w:tcPr>
          <w:p>
            <w:pPr>
              <w:pStyle w:val="14"/>
            </w:pPr>
            <w:r>
              <w:t>一事一议项目涉及村数量</w:t>
            </w:r>
          </w:p>
        </w:tc>
        <w:tc>
          <w:tcPr>
            <w:tcW w:w="2551" w:type="dxa"/>
            <w:vAlign w:val="center"/>
          </w:tcPr>
          <w:p>
            <w:pPr>
              <w:pStyle w:val="14"/>
            </w:pPr>
            <w:r>
              <w:t>3个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一事一议项目验收合格率（%）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一事一议项目完工及时率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投入资金成本</w:t>
            </w:r>
          </w:p>
        </w:tc>
        <w:tc>
          <w:tcPr>
            <w:tcW w:w="2835" w:type="dxa"/>
            <w:vAlign w:val="center"/>
          </w:tcPr>
          <w:p>
            <w:pPr>
              <w:pStyle w:val="14"/>
            </w:pPr>
            <w:r>
              <w:t>一事一议项目投入资金成本</w:t>
            </w:r>
          </w:p>
        </w:tc>
        <w:tc>
          <w:tcPr>
            <w:tcW w:w="2551" w:type="dxa"/>
            <w:vAlign w:val="center"/>
          </w:tcPr>
          <w:p>
            <w:pPr>
              <w:pStyle w:val="14"/>
            </w:pPr>
            <w:r>
              <w:t>35万元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改善村民居住状况</w:t>
            </w:r>
          </w:p>
        </w:tc>
        <w:tc>
          <w:tcPr>
            <w:tcW w:w="2835" w:type="dxa"/>
            <w:vAlign w:val="center"/>
          </w:tcPr>
          <w:p>
            <w:pPr>
              <w:pStyle w:val="14"/>
            </w:pPr>
            <w:r>
              <w:t>一事一议项目改善村民居住状况</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3、2019年农村综合改革项目（集体经济）绩效目标表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1.目标内容2019年农村综合改革项目（集体经济）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发展集体经济村数</w:t>
            </w:r>
          </w:p>
        </w:tc>
        <w:tc>
          <w:tcPr>
            <w:tcW w:w="2835" w:type="dxa"/>
            <w:vAlign w:val="center"/>
          </w:tcPr>
          <w:p>
            <w:pPr>
              <w:pStyle w:val="14"/>
            </w:pPr>
            <w:r>
              <w:t>本次发展集体经济村数</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发展集体经济村群众受益覆盖率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集体经济补助资金支付时间</w:t>
            </w:r>
          </w:p>
        </w:tc>
        <w:tc>
          <w:tcPr>
            <w:tcW w:w="2551" w:type="dxa"/>
            <w:vAlign w:val="center"/>
          </w:tcPr>
          <w:p>
            <w:pPr>
              <w:pStyle w:val="14"/>
            </w:pPr>
            <w:r>
              <w:t>资金下达立即拨付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集体经济补助资金成本</w:t>
            </w:r>
          </w:p>
        </w:tc>
        <w:tc>
          <w:tcPr>
            <w:tcW w:w="2551" w:type="dxa"/>
            <w:vAlign w:val="center"/>
          </w:tcPr>
          <w:p>
            <w:pPr>
              <w:pStyle w:val="14"/>
            </w:pPr>
            <w:r>
              <w:t>10万元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获得群众认可提升社会影响力</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发展集体经济村群众满意度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4、2021年农村综合改革项目(一事一议)绩效目标表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1.目标内容1修村内道路，安装太阳能路灯，保障村民出行方便、安全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一事一议数量</w:t>
            </w:r>
          </w:p>
        </w:tc>
        <w:tc>
          <w:tcPr>
            <w:tcW w:w="2835" w:type="dxa"/>
            <w:vAlign w:val="center"/>
          </w:tcPr>
          <w:p>
            <w:pPr>
              <w:pStyle w:val="14"/>
            </w:pPr>
            <w:r>
              <w:t>一事一议项目涉及村数量</w:t>
            </w:r>
          </w:p>
        </w:tc>
        <w:tc>
          <w:tcPr>
            <w:tcW w:w="2551" w:type="dxa"/>
            <w:vAlign w:val="center"/>
          </w:tcPr>
          <w:p>
            <w:pPr>
              <w:pStyle w:val="14"/>
            </w:pPr>
            <w:r>
              <w:t>2个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一事一议项目验收合格率（%）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一事一议项目完工及时率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投入资金成本</w:t>
            </w:r>
          </w:p>
        </w:tc>
        <w:tc>
          <w:tcPr>
            <w:tcW w:w="2835" w:type="dxa"/>
            <w:vAlign w:val="center"/>
          </w:tcPr>
          <w:p>
            <w:pPr>
              <w:pStyle w:val="14"/>
            </w:pPr>
            <w:r>
              <w:t>一事一议项目投入资金成本</w:t>
            </w:r>
          </w:p>
        </w:tc>
        <w:tc>
          <w:tcPr>
            <w:tcW w:w="2551" w:type="dxa"/>
            <w:vAlign w:val="center"/>
          </w:tcPr>
          <w:p>
            <w:pPr>
              <w:pStyle w:val="14"/>
            </w:pPr>
            <w:r>
              <w:t>30万元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一事一议项目改善出行环境舒适度</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5、2022年综改资金保财农【2021】103号绩效目标表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1.修建南水峪村、北水峪村路灯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一事一议数量</w:t>
            </w:r>
          </w:p>
        </w:tc>
        <w:tc>
          <w:tcPr>
            <w:tcW w:w="2835" w:type="dxa"/>
            <w:vAlign w:val="center"/>
          </w:tcPr>
          <w:p>
            <w:pPr>
              <w:pStyle w:val="14"/>
            </w:pPr>
            <w:r>
              <w:t>一事一议项目涉及村数量</w:t>
            </w:r>
          </w:p>
        </w:tc>
        <w:tc>
          <w:tcPr>
            <w:tcW w:w="2551" w:type="dxa"/>
            <w:vAlign w:val="center"/>
          </w:tcPr>
          <w:p>
            <w:pPr>
              <w:pStyle w:val="14"/>
            </w:pPr>
            <w:r>
              <w:t>5个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一事一议项目验收合格率（%）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一事一议项目完工及时率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每盏路灯成本</w:t>
            </w:r>
          </w:p>
        </w:tc>
        <w:tc>
          <w:tcPr>
            <w:tcW w:w="2835" w:type="dxa"/>
            <w:vAlign w:val="center"/>
          </w:tcPr>
          <w:p>
            <w:pPr>
              <w:pStyle w:val="14"/>
            </w:pPr>
            <w:r>
              <w:t>每盏路灯造价和人工成本</w:t>
            </w:r>
          </w:p>
        </w:tc>
        <w:tc>
          <w:tcPr>
            <w:tcW w:w="2551" w:type="dxa"/>
            <w:vAlign w:val="center"/>
          </w:tcPr>
          <w:p>
            <w:pPr>
              <w:pStyle w:val="14"/>
            </w:pPr>
            <w:r>
              <w:t>2000元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一事一议项目改善出行环境舒适度</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6、2022年综改资金保财农【2022】48号绩效目标表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1.保障村民正常出行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一事一议数量</w:t>
            </w:r>
          </w:p>
        </w:tc>
        <w:tc>
          <w:tcPr>
            <w:tcW w:w="2835" w:type="dxa"/>
            <w:vAlign w:val="center"/>
          </w:tcPr>
          <w:p>
            <w:pPr>
              <w:pStyle w:val="14"/>
            </w:pPr>
            <w:r>
              <w:t>一事一议项目涉及村数量</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一事一议项目验收合格率（%）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一事一议项目完工及时率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每平米道路成本</w:t>
            </w:r>
          </w:p>
        </w:tc>
        <w:tc>
          <w:tcPr>
            <w:tcW w:w="2835" w:type="dxa"/>
            <w:vAlign w:val="center"/>
          </w:tcPr>
          <w:p>
            <w:pPr>
              <w:pStyle w:val="14"/>
            </w:pPr>
            <w:r>
              <w:t>修建白堡村道路人工和用料</w:t>
            </w:r>
          </w:p>
        </w:tc>
        <w:tc>
          <w:tcPr>
            <w:tcW w:w="2551" w:type="dxa"/>
            <w:vAlign w:val="center"/>
          </w:tcPr>
          <w:p>
            <w:pPr>
              <w:pStyle w:val="14"/>
            </w:pPr>
            <w:r>
              <w:t>100元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出行环境舒适度</w:t>
            </w:r>
          </w:p>
        </w:tc>
        <w:tc>
          <w:tcPr>
            <w:tcW w:w="2835" w:type="dxa"/>
            <w:vAlign w:val="center"/>
          </w:tcPr>
          <w:p>
            <w:pPr>
              <w:pStyle w:val="14"/>
            </w:pPr>
            <w:r>
              <w:t>一事一议项目改善出行环境舒适度</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7、白龙乡西龙门村环境整治一期工程建设费用绩效目标表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1.2020年，我乡实施了西龙门村环境整治一期工程，工程建设费用为1180044.22元，目前该项目全部施工完成，前期已支付40%工程款，按照合同约定，工程款需支付至70%。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西龙门环境整治一期工程建设完成项目数量</w:t>
            </w:r>
          </w:p>
          <w:p>
            <w:pPr>
              <w:pStyle w:val="14"/>
            </w:pPr>
          </w:p>
        </w:tc>
        <w:tc>
          <w:tcPr>
            <w:tcW w:w="2551" w:type="dxa"/>
            <w:vAlign w:val="center"/>
          </w:tcPr>
          <w:p>
            <w:pPr>
              <w:pStyle w:val="14"/>
            </w:pPr>
            <w:r>
              <w:t>25t污水处理站1座</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项目（工程）验收合格率</w:t>
            </w:r>
          </w:p>
        </w:tc>
        <w:tc>
          <w:tcPr>
            <w:tcW w:w="2835" w:type="dxa"/>
            <w:vAlign w:val="center"/>
          </w:tcPr>
          <w:p>
            <w:pPr>
              <w:pStyle w:val="14"/>
            </w:pPr>
            <w:r>
              <w:t>西龙门环境整治一期工程项目（工程）验收合格率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西龙门环境整治一期工程项目完成时间</w:t>
            </w:r>
          </w:p>
        </w:tc>
        <w:tc>
          <w:tcPr>
            <w:tcW w:w="2551" w:type="dxa"/>
            <w:vAlign w:val="center"/>
          </w:tcPr>
          <w:p>
            <w:pPr>
              <w:pStyle w:val="14"/>
            </w:pPr>
            <w:r>
              <w:t>2020年12月31日</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西龙门环境整治一期工程项目实际成本</w:t>
            </w:r>
          </w:p>
        </w:tc>
        <w:tc>
          <w:tcPr>
            <w:tcW w:w="2551" w:type="dxa"/>
            <w:vAlign w:val="center"/>
          </w:tcPr>
          <w:p>
            <w:pPr>
              <w:pStyle w:val="14"/>
            </w:pPr>
            <w:r>
              <w:t>≤35.42万元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西龙门环境整治一期工程实施对环境的影响</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施工方满意率</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8、村干部保险绩效目标表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1.为村干部缴纳保险，保障村干部自身利益，调动村干部工作积极性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享受保险的人数</w:t>
            </w:r>
          </w:p>
        </w:tc>
        <w:tc>
          <w:tcPr>
            <w:tcW w:w="2835" w:type="dxa"/>
            <w:vAlign w:val="center"/>
          </w:tcPr>
          <w:p>
            <w:pPr>
              <w:pStyle w:val="14"/>
            </w:pPr>
            <w:r>
              <w:t>村干部享受养老保险政策的人数</w:t>
            </w:r>
          </w:p>
        </w:tc>
        <w:tc>
          <w:tcPr>
            <w:tcW w:w="2551" w:type="dxa"/>
            <w:vAlign w:val="center"/>
          </w:tcPr>
          <w:p>
            <w:pPr>
              <w:pStyle w:val="14"/>
            </w:pPr>
            <w:r>
              <w:t>12人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养老保险覆盖率</w:t>
            </w:r>
          </w:p>
        </w:tc>
        <w:tc>
          <w:tcPr>
            <w:tcW w:w="2835" w:type="dxa"/>
            <w:vAlign w:val="center"/>
          </w:tcPr>
          <w:p>
            <w:pPr>
              <w:pStyle w:val="14"/>
            </w:pPr>
            <w:r>
              <w:t>村干部享受养老保险政策覆盖率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保险缴纳率</w:t>
            </w:r>
          </w:p>
        </w:tc>
        <w:tc>
          <w:tcPr>
            <w:tcW w:w="2835" w:type="dxa"/>
            <w:vAlign w:val="center"/>
          </w:tcPr>
          <w:p>
            <w:pPr>
              <w:pStyle w:val="14"/>
            </w:pPr>
            <w:r>
              <w:t>村干部享受养老保险政策缴纳率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保险标准</w:t>
            </w:r>
          </w:p>
        </w:tc>
        <w:tc>
          <w:tcPr>
            <w:tcW w:w="2835" w:type="dxa"/>
            <w:vAlign w:val="center"/>
          </w:tcPr>
          <w:p>
            <w:pPr>
              <w:pStyle w:val="14"/>
            </w:pPr>
            <w:r>
              <w:t>平均每人每年保险金额</w:t>
            </w:r>
          </w:p>
        </w:tc>
        <w:tc>
          <w:tcPr>
            <w:tcW w:w="2551" w:type="dxa"/>
            <w:vAlign w:val="center"/>
          </w:tcPr>
          <w:p>
            <w:pPr>
              <w:pStyle w:val="14"/>
            </w:pPr>
            <w:r>
              <w:t>0.54万元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生活保障</w:t>
            </w:r>
          </w:p>
        </w:tc>
        <w:tc>
          <w:tcPr>
            <w:tcW w:w="2835" w:type="dxa"/>
            <w:vAlign w:val="center"/>
          </w:tcPr>
          <w:p>
            <w:pPr>
              <w:pStyle w:val="14"/>
            </w:pPr>
            <w:r>
              <w:t>村干部生活得到充分保障</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1.发放村干部基础职务补贴，保障村干部基本待遇，促进村两委工作有序开展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享受村干部工资人员发放人数</w:t>
            </w:r>
          </w:p>
          <w:p>
            <w:pPr>
              <w:pStyle w:val="14"/>
            </w:pPr>
          </w:p>
        </w:tc>
        <w:tc>
          <w:tcPr>
            <w:tcW w:w="2551" w:type="dxa"/>
            <w:vAlign w:val="center"/>
          </w:tcPr>
          <w:p>
            <w:pPr>
              <w:pStyle w:val="14"/>
            </w:pPr>
            <w:r>
              <w:t>72人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p>
            <w:pPr>
              <w:pStyle w:val="14"/>
            </w:pPr>
          </w:p>
        </w:tc>
        <w:tc>
          <w:tcPr>
            <w:tcW w:w="2835" w:type="dxa"/>
            <w:vAlign w:val="center"/>
          </w:tcPr>
          <w:p>
            <w:pPr>
              <w:pStyle w:val="14"/>
            </w:pPr>
            <w:r>
              <w:t>村干部基本工资和绩效工资发放率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p>
            <w:pPr>
              <w:pStyle w:val="14"/>
            </w:pPr>
          </w:p>
        </w:tc>
        <w:tc>
          <w:tcPr>
            <w:tcW w:w="2835" w:type="dxa"/>
            <w:vAlign w:val="center"/>
          </w:tcPr>
          <w:p>
            <w:pPr>
              <w:pStyle w:val="14"/>
            </w:pPr>
            <w:r>
              <w:t>村干部人员工资具体发放时间</w:t>
            </w:r>
          </w:p>
        </w:tc>
        <w:tc>
          <w:tcPr>
            <w:tcW w:w="2551" w:type="dxa"/>
            <w:vAlign w:val="center"/>
          </w:tcPr>
          <w:p>
            <w:pPr>
              <w:pStyle w:val="14"/>
            </w:pPr>
            <w:r>
              <w:t>每月月底</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p>
            <w:pPr>
              <w:pStyle w:val="14"/>
            </w:pPr>
          </w:p>
        </w:tc>
        <w:tc>
          <w:tcPr>
            <w:tcW w:w="2835" w:type="dxa"/>
            <w:vAlign w:val="center"/>
          </w:tcPr>
          <w:p>
            <w:pPr>
              <w:pStyle w:val="14"/>
            </w:pPr>
            <w:r>
              <w:t>平均每人每年补助金额</w:t>
            </w:r>
          </w:p>
        </w:tc>
        <w:tc>
          <w:tcPr>
            <w:tcW w:w="2551" w:type="dxa"/>
            <w:vAlign w:val="center"/>
          </w:tcPr>
          <w:p>
            <w:pPr>
              <w:pStyle w:val="14"/>
            </w:pPr>
            <w:r>
              <w:t>2.91万元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生活质量水平</w:t>
            </w:r>
          </w:p>
          <w:p>
            <w:pPr>
              <w:pStyle w:val="14"/>
            </w:pPr>
          </w:p>
        </w:tc>
        <w:tc>
          <w:tcPr>
            <w:tcW w:w="2835" w:type="dxa"/>
            <w:vAlign w:val="center"/>
          </w:tcPr>
          <w:p>
            <w:pPr>
              <w:pStyle w:val="14"/>
            </w:pPr>
            <w:r>
              <w:t>村干部人员生活质量水平是否提高</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1.实现经济收益和社会效益最大化，加强村级治理，为乡村振兴提供有力组织保障，推动乡村工作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村级数量</w:t>
            </w:r>
          </w:p>
        </w:tc>
        <w:tc>
          <w:tcPr>
            <w:tcW w:w="2835" w:type="dxa"/>
            <w:vAlign w:val="center"/>
          </w:tcPr>
          <w:p>
            <w:pPr>
              <w:pStyle w:val="14"/>
            </w:pPr>
            <w:r>
              <w:t>享受村级组织办公经费的村数</w:t>
            </w:r>
          </w:p>
        </w:tc>
        <w:tc>
          <w:tcPr>
            <w:tcW w:w="2551" w:type="dxa"/>
            <w:vAlign w:val="center"/>
          </w:tcPr>
          <w:p>
            <w:pPr>
              <w:pStyle w:val="14"/>
            </w:pPr>
            <w:r>
              <w:t>12个村</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享受村级组织办公经费资金全面覆盖率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按时发放率</w:t>
            </w:r>
          </w:p>
        </w:tc>
        <w:tc>
          <w:tcPr>
            <w:tcW w:w="2835" w:type="dxa"/>
            <w:vAlign w:val="center"/>
          </w:tcPr>
          <w:p>
            <w:pPr>
              <w:pStyle w:val="14"/>
            </w:pPr>
            <w:r>
              <w:t>享受村级组织办公经费按时发放率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每个村补贴标准</w:t>
            </w:r>
          </w:p>
        </w:tc>
        <w:tc>
          <w:tcPr>
            <w:tcW w:w="2551" w:type="dxa"/>
            <w:vAlign w:val="center"/>
          </w:tcPr>
          <w:p>
            <w:pPr>
              <w:pStyle w:val="14"/>
            </w:pPr>
            <w:r>
              <w:t>1万元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得到广大群众的充分认可</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11、大学生村干部提标绩效目标表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1.大学生村干部提标，保障大学生村干部待遇，更加积极投身村务正常运转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享受提标人数</w:t>
            </w:r>
          </w:p>
        </w:tc>
        <w:tc>
          <w:tcPr>
            <w:tcW w:w="2835" w:type="dxa"/>
            <w:vAlign w:val="center"/>
          </w:tcPr>
          <w:p>
            <w:pPr>
              <w:pStyle w:val="14"/>
            </w:pPr>
            <w:r>
              <w:t>享受大学生村干部提标人数</w:t>
            </w:r>
          </w:p>
        </w:tc>
        <w:tc>
          <w:tcPr>
            <w:tcW w:w="2551" w:type="dxa"/>
            <w:vAlign w:val="center"/>
          </w:tcPr>
          <w:p>
            <w:pPr>
              <w:pStyle w:val="14"/>
            </w:pPr>
            <w:r>
              <w:t>14人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提标覆盖率</w:t>
            </w:r>
          </w:p>
        </w:tc>
        <w:tc>
          <w:tcPr>
            <w:tcW w:w="2835" w:type="dxa"/>
            <w:vAlign w:val="center"/>
          </w:tcPr>
          <w:p>
            <w:pPr>
              <w:pStyle w:val="14"/>
            </w:pPr>
            <w:r>
              <w:t>大学生村干部享受提标覆盖率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发放完成率</w:t>
            </w:r>
          </w:p>
        </w:tc>
        <w:tc>
          <w:tcPr>
            <w:tcW w:w="2835" w:type="dxa"/>
            <w:vAlign w:val="center"/>
          </w:tcPr>
          <w:p>
            <w:pPr>
              <w:pStyle w:val="14"/>
            </w:pPr>
            <w:r>
              <w:t>大学生村干部享受提标政策发放完成率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提标标准</w:t>
            </w:r>
          </w:p>
        </w:tc>
        <w:tc>
          <w:tcPr>
            <w:tcW w:w="2835" w:type="dxa"/>
            <w:vAlign w:val="center"/>
          </w:tcPr>
          <w:p>
            <w:pPr>
              <w:pStyle w:val="14"/>
            </w:pPr>
            <w:r>
              <w:t>平均每人每年提标金额</w:t>
            </w:r>
          </w:p>
        </w:tc>
        <w:tc>
          <w:tcPr>
            <w:tcW w:w="2551" w:type="dxa"/>
            <w:vAlign w:val="center"/>
          </w:tcPr>
          <w:p>
            <w:pPr>
              <w:pStyle w:val="14"/>
            </w:pPr>
            <w:r>
              <w:t>≤0.57万元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社会影响率</w:t>
            </w:r>
          </w:p>
        </w:tc>
        <w:tc>
          <w:tcPr>
            <w:tcW w:w="2835" w:type="dxa"/>
            <w:vAlign w:val="center"/>
          </w:tcPr>
          <w:p>
            <w:pPr>
              <w:pStyle w:val="14"/>
            </w:pPr>
            <w:r>
              <w:t>及时发放，维护社会稳定</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1.用于防火所需费用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森林防火安全检查覆盖率</w:t>
            </w:r>
          </w:p>
        </w:tc>
        <w:tc>
          <w:tcPr>
            <w:tcW w:w="2835" w:type="dxa"/>
            <w:vAlign w:val="center"/>
          </w:tcPr>
          <w:p>
            <w:pPr>
              <w:pStyle w:val="14"/>
            </w:pPr>
            <w:r>
              <w:t>森林防火安全检查覆盖率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森林防火督导任务完成率</w:t>
            </w:r>
          </w:p>
        </w:tc>
        <w:tc>
          <w:tcPr>
            <w:tcW w:w="2835" w:type="dxa"/>
            <w:vAlign w:val="center"/>
          </w:tcPr>
          <w:p>
            <w:pPr>
              <w:pStyle w:val="14"/>
            </w:pPr>
            <w:r>
              <w:t>森林防火督导任务完成率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森林防火时间</w:t>
            </w:r>
          </w:p>
        </w:tc>
        <w:tc>
          <w:tcPr>
            <w:tcW w:w="2835" w:type="dxa"/>
            <w:vAlign w:val="center"/>
          </w:tcPr>
          <w:p>
            <w:pPr>
              <w:pStyle w:val="14"/>
            </w:pPr>
            <w:r>
              <w:t>森林防火具体时间</w:t>
            </w:r>
          </w:p>
        </w:tc>
        <w:tc>
          <w:tcPr>
            <w:tcW w:w="2551" w:type="dxa"/>
            <w:vAlign w:val="center"/>
          </w:tcPr>
          <w:p>
            <w:pPr>
              <w:pStyle w:val="14"/>
            </w:pPr>
            <w:r>
              <w:t>2023年1月1日至2023年12月31日</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森林防火经费成本</w:t>
            </w:r>
          </w:p>
        </w:tc>
        <w:tc>
          <w:tcPr>
            <w:tcW w:w="2835" w:type="dxa"/>
            <w:vAlign w:val="center"/>
          </w:tcPr>
          <w:p>
            <w:pPr>
              <w:pStyle w:val="14"/>
            </w:pPr>
            <w:r>
              <w:t>森林防火所需经费</w:t>
            </w:r>
          </w:p>
        </w:tc>
        <w:tc>
          <w:tcPr>
            <w:tcW w:w="2551" w:type="dxa"/>
            <w:vAlign w:val="center"/>
          </w:tcPr>
          <w:p>
            <w:pPr>
              <w:pStyle w:val="14"/>
            </w:pPr>
            <w:r>
              <w:t>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扩大防火安全宣传效应</w:t>
            </w:r>
          </w:p>
        </w:tc>
        <w:tc>
          <w:tcPr>
            <w:tcW w:w="2835" w:type="dxa"/>
            <w:vAlign w:val="center"/>
          </w:tcPr>
          <w:p>
            <w:pPr>
              <w:pStyle w:val="14"/>
            </w:pPr>
            <w:r>
              <w:t>扩大防火安全宣传效应</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有效保护生态环境</w:t>
            </w:r>
          </w:p>
        </w:tc>
        <w:tc>
          <w:tcPr>
            <w:tcW w:w="2835" w:type="dxa"/>
            <w:vAlign w:val="center"/>
          </w:tcPr>
          <w:p>
            <w:pPr>
              <w:pStyle w:val="14"/>
            </w:pPr>
            <w:r>
              <w:t>有效保护生态环境，保障居民生活环境</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13、文化活动经费绩效目标表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1.用于乡镇文化活动经费,丰富农民文化观念，丰富农民的精神文化生活。实现经济收益和社会效益最大化，为乡镇振兴提供有力组织保障，推动乡镇工作</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单位个数</w:t>
            </w:r>
          </w:p>
        </w:tc>
        <w:tc>
          <w:tcPr>
            <w:tcW w:w="2835" w:type="dxa"/>
            <w:vAlign w:val="center"/>
          </w:tcPr>
          <w:p>
            <w:pPr>
              <w:pStyle w:val="14"/>
            </w:pPr>
            <w:r>
              <w:t>享受文化站活动经费单位个数</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及时性</w:t>
            </w:r>
          </w:p>
        </w:tc>
        <w:tc>
          <w:tcPr>
            <w:tcW w:w="2835" w:type="dxa"/>
            <w:vAlign w:val="center"/>
          </w:tcPr>
          <w:p>
            <w:pPr>
              <w:pStyle w:val="14"/>
            </w:pPr>
            <w:r>
              <w:t>按时拨付的资金占总体资金的比率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享受乡镇综合文化站活动经费资金全面保障率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文化站活动经费补贴标准</w:t>
            </w:r>
          </w:p>
        </w:tc>
        <w:tc>
          <w:tcPr>
            <w:tcW w:w="2551" w:type="dxa"/>
            <w:vAlign w:val="center"/>
          </w:tcPr>
          <w:p>
            <w:pPr>
              <w:pStyle w:val="14"/>
            </w:pPr>
            <w:r>
              <w:t>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得到广大群众的充分认可</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群众对服务的满意程度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14、乡镇综合文化站经费绩效目标表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1.用于乡镇文化综合办公经费,丰富农民文化观念，丰富农民的精神文化生活。实现经济收益和社会效益最大化，为乡镇振兴提供有力组织保障，推动乡镇工作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单位个数</w:t>
            </w:r>
          </w:p>
        </w:tc>
        <w:tc>
          <w:tcPr>
            <w:tcW w:w="2835" w:type="dxa"/>
            <w:vAlign w:val="center"/>
          </w:tcPr>
          <w:p>
            <w:pPr>
              <w:pStyle w:val="14"/>
            </w:pPr>
            <w:r>
              <w:t>享受文化站经费单位个数</w:t>
            </w:r>
          </w:p>
        </w:tc>
        <w:tc>
          <w:tcPr>
            <w:tcW w:w="2551" w:type="dxa"/>
            <w:vAlign w:val="center"/>
          </w:tcPr>
          <w:p>
            <w:pPr>
              <w:pStyle w:val="14"/>
            </w:pPr>
            <w:r>
              <w:t>1个</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及时性</w:t>
            </w:r>
          </w:p>
        </w:tc>
        <w:tc>
          <w:tcPr>
            <w:tcW w:w="2835" w:type="dxa"/>
            <w:vAlign w:val="center"/>
          </w:tcPr>
          <w:p>
            <w:pPr>
              <w:pStyle w:val="14"/>
            </w:pPr>
            <w:r>
              <w:t>按时拨付的资金占总体资金的比率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覆盖率（%）</w:t>
            </w:r>
          </w:p>
        </w:tc>
        <w:tc>
          <w:tcPr>
            <w:tcW w:w="2835" w:type="dxa"/>
            <w:vAlign w:val="center"/>
          </w:tcPr>
          <w:p>
            <w:pPr>
              <w:pStyle w:val="14"/>
            </w:pPr>
            <w:r>
              <w:t>享受乡镇综合文化站经费资金全面保障率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文化站经费补贴标准</w:t>
            </w:r>
          </w:p>
        </w:tc>
        <w:tc>
          <w:tcPr>
            <w:tcW w:w="2551" w:type="dxa"/>
            <w:vAlign w:val="center"/>
          </w:tcPr>
          <w:p>
            <w:pPr>
              <w:pStyle w:val="14"/>
            </w:pPr>
            <w:r>
              <w:t>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得到广大群众的充分认可</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群众对服务的满意程度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15、信访维稳经费绩效目标表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1.保障我乡信访工作顺利开展，维护全区稳定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信访资金支付率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信访经费发放到位率（%）</w:t>
            </w:r>
          </w:p>
        </w:tc>
        <w:tc>
          <w:tcPr>
            <w:tcW w:w="2835" w:type="dxa"/>
            <w:vAlign w:val="center"/>
          </w:tcPr>
          <w:p>
            <w:pPr>
              <w:pStyle w:val="14"/>
            </w:pPr>
            <w:r>
              <w:t>信访经费发放到位率（%）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信访事项受理及时率</w:t>
            </w:r>
          </w:p>
        </w:tc>
        <w:tc>
          <w:tcPr>
            <w:tcW w:w="2835" w:type="dxa"/>
            <w:vAlign w:val="center"/>
          </w:tcPr>
          <w:p>
            <w:pPr>
              <w:pStyle w:val="14"/>
            </w:pPr>
            <w:r>
              <w:t>信访事项受理及时率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完成信访工作需要的资金</w:t>
            </w:r>
          </w:p>
        </w:tc>
        <w:tc>
          <w:tcPr>
            <w:tcW w:w="2551" w:type="dxa"/>
            <w:vAlign w:val="center"/>
          </w:tcPr>
          <w:p>
            <w:pPr>
              <w:pStyle w:val="14"/>
            </w:pPr>
            <w:r>
              <w:t>5万元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保持信访形势总体平稳可控</w:t>
            </w:r>
          </w:p>
        </w:tc>
        <w:tc>
          <w:tcPr>
            <w:tcW w:w="2835" w:type="dxa"/>
            <w:vAlign w:val="center"/>
          </w:tcPr>
          <w:p>
            <w:pPr>
              <w:pStyle w:val="14"/>
            </w:pPr>
            <w:r>
              <w:t>保持白龙乡信访形势总体平稳可控</w:t>
            </w:r>
          </w:p>
        </w:tc>
        <w:tc>
          <w:tcPr>
            <w:tcW w:w="2551" w:type="dxa"/>
            <w:vAlign w:val="center"/>
          </w:tcPr>
          <w:p>
            <w:pPr>
              <w:pStyle w:val="14"/>
            </w:pPr>
            <w:r>
              <w:t>显著提高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16、正常离任村干部生活补贴绩效目标表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1.为正常离任的村干部发放补贴,保障离任干部的正常生活,体现党对离任干部的关怀</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离任干部数量</w:t>
            </w:r>
          </w:p>
        </w:tc>
        <w:tc>
          <w:tcPr>
            <w:tcW w:w="2835" w:type="dxa"/>
            <w:vAlign w:val="center"/>
          </w:tcPr>
          <w:p>
            <w:pPr>
              <w:pStyle w:val="14"/>
            </w:pPr>
            <w:r>
              <w:t>享受正常离任干部生活补贴数量</w:t>
            </w:r>
          </w:p>
        </w:tc>
        <w:tc>
          <w:tcPr>
            <w:tcW w:w="2551" w:type="dxa"/>
            <w:vAlign w:val="center"/>
          </w:tcPr>
          <w:p>
            <w:pPr>
              <w:pStyle w:val="14"/>
            </w:pPr>
            <w:r>
              <w:t>14人</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享受正常离任干部生活补贴全面覆盖率</w:t>
            </w:r>
          </w:p>
        </w:tc>
        <w:tc>
          <w:tcPr>
            <w:tcW w:w="2551" w:type="dxa"/>
            <w:vAlign w:val="center"/>
          </w:tcPr>
          <w:p>
            <w:pPr>
              <w:pStyle w:val="14"/>
            </w:pPr>
            <w:r>
              <w:t>≤100%</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发放及时性</w:t>
            </w:r>
          </w:p>
        </w:tc>
        <w:tc>
          <w:tcPr>
            <w:tcW w:w="2835" w:type="dxa"/>
            <w:vAlign w:val="center"/>
          </w:tcPr>
          <w:p>
            <w:pPr>
              <w:pStyle w:val="14"/>
            </w:pPr>
            <w:r>
              <w:t>享受正常离任干部生活补贴具体发放时间</w:t>
            </w:r>
          </w:p>
        </w:tc>
        <w:tc>
          <w:tcPr>
            <w:tcW w:w="2551" w:type="dxa"/>
            <w:vAlign w:val="center"/>
          </w:tcPr>
          <w:p>
            <w:pPr>
              <w:pStyle w:val="14"/>
            </w:pPr>
            <w:r>
              <w:t>每半年发放</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平均每人每年补贴金额</w:t>
            </w:r>
          </w:p>
        </w:tc>
        <w:tc>
          <w:tcPr>
            <w:tcW w:w="2551" w:type="dxa"/>
            <w:vAlign w:val="center"/>
          </w:tcPr>
          <w:p>
            <w:pPr>
              <w:pStyle w:val="14"/>
            </w:pPr>
            <w:r>
              <w:t>≤0.29万元</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得到正常离任干部补贴充分认可</w:t>
            </w:r>
          </w:p>
        </w:tc>
        <w:tc>
          <w:tcPr>
            <w:tcW w:w="2551" w:type="dxa"/>
            <w:vAlign w:val="center"/>
          </w:tcPr>
          <w:p>
            <w:pPr>
              <w:pStyle w:val="14"/>
            </w:pPr>
            <w:r>
              <w:t>明显提高</w:t>
            </w:r>
          </w:p>
        </w:tc>
        <w:tc>
          <w:tcPr>
            <w:tcW w:w="2268"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2023年，保定市满城区白龙乡人民政府安排政府采购预算0.00万元。具体内容见下表。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881"/>
        <w:gridCol w:w="1036"/>
        <w:gridCol w:w="1036"/>
        <w:gridCol w:w="648"/>
        <w:gridCol w:w="776"/>
        <w:gridCol w:w="779"/>
        <w:gridCol w:w="881"/>
        <w:gridCol w:w="881"/>
        <w:gridCol w:w="881"/>
        <w:gridCol w:w="881"/>
        <w:gridCol w:w="881"/>
        <w:gridCol w:w="881"/>
        <w:gridCol w:w="881"/>
        <w:gridCol w:w="881"/>
        <w:gridCol w:w="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3" w:hRule="atLeast"/>
          <w:tblHeader/>
          <w:jc w:val="center"/>
        </w:trPr>
        <w:tc>
          <w:tcPr>
            <w:tcW w:w="6710" w:type="dxa"/>
            <w:gridSpan w:val="7"/>
            <w:tcBorders>
              <w:top w:val="single" w:color="FFFFFF" w:sz="6" w:space="0"/>
              <w:left w:val="single" w:color="FFFFFF" w:sz="6" w:space="0"/>
              <w:right w:val="single" w:color="FFFFFF" w:sz="6" w:space="0"/>
            </w:tcBorders>
            <w:vAlign w:val="center"/>
          </w:tcPr>
          <w:p>
            <w:pPr>
              <w:pStyle w:val="11"/>
              <w:rPr>
                <w:rFonts w:hint="eastAsia"/>
              </w:rPr>
            </w:pPr>
            <w:r>
              <w:t>918保定市满城区白龙乡人民政府</w:t>
            </w:r>
          </w:p>
        </w:tc>
        <w:tc>
          <w:tcPr>
            <w:tcW w:w="7929"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5" w:hRule="atLeast"/>
          <w:tblHeader/>
          <w:jc w:val="center"/>
        </w:trPr>
        <w:tc>
          <w:tcPr>
            <w:tcW w:w="2435" w:type="dxa"/>
            <w:gridSpan w:val="2"/>
            <w:vAlign w:val="center"/>
          </w:tcPr>
          <w:p>
            <w:pPr>
              <w:pStyle w:val="12"/>
            </w:pPr>
            <w:r>
              <w:t>政府采购项目来源</w:t>
            </w:r>
          </w:p>
        </w:tc>
        <w:tc>
          <w:tcPr>
            <w:tcW w:w="1036" w:type="dxa"/>
            <w:vMerge w:val="restart"/>
            <w:vAlign w:val="center"/>
          </w:tcPr>
          <w:p>
            <w:pPr>
              <w:pStyle w:val="12"/>
            </w:pPr>
            <w:r>
              <w:t>采购物品名称</w:t>
            </w:r>
          </w:p>
        </w:tc>
        <w:tc>
          <w:tcPr>
            <w:tcW w:w="1036" w:type="dxa"/>
            <w:vMerge w:val="restart"/>
            <w:vAlign w:val="center"/>
          </w:tcPr>
          <w:p>
            <w:pPr>
              <w:pStyle w:val="12"/>
            </w:pPr>
            <w:r>
              <w:t>政府采购目录序号</w:t>
            </w:r>
          </w:p>
        </w:tc>
        <w:tc>
          <w:tcPr>
            <w:tcW w:w="648" w:type="dxa"/>
            <w:vMerge w:val="restart"/>
            <w:vAlign w:val="center"/>
          </w:tcPr>
          <w:p>
            <w:pPr>
              <w:pStyle w:val="12"/>
            </w:pPr>
            <w:r>
              <w:t>计量  单位</w:t>
            </w:r>
          </w:p>
        </w:tc>
        <w:tc>
          <w:tcPr>
            <w:tcW w:w="776" w:type="dxa"/>
            <w:vMerge w:val="restart"/>
            <w:vAlign w:val="center"/>
          </w:tcPr>
          <w:p>
            <w:pPr>
              <w:pStyle w:val="12"/>
            </w:pPr>
            <w:r>
              <w:t>数量</w:t>
            </w:r>
          </w:p>
        </w:tc>
        <w:tc>
          <w:tcPr>
            <w:tcW w:w="779" w:type="dxa"/>
            <w:vMerge w:val="restart"/>
            <w:vAlign w:val="center"/>
          </w:tcPr>
          <w:p>
            <w:pPr>
              <w:pStyle w:val="12"/>
            </w:pPr>
            <w:r>
              <w:t>单价</w:t>
            </w:r>
          </w:p>
        </w:tc>
        <w:tc>
          <w:tcPr>
            <w:tcW w:w="7048" w:type="dxa"/>
            <w:gridSpan w:val="8"/>
            <w:vAlign w:val="center"/>
          </w:tcPr>
          <w:p>
            <w:pPr>
              <w:pStyle w:val="12"/>
            </w:pPr>
            <w:r>
              <w:t>政府采购金额（当年部门预算安排资金）</w:t>
            </w:r>
          </w:p>
        </w:tc>
        <w:tc>
          <w:tcPr>
            <w:tcW w:w="881"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8" w:hRule="atLeast"/>
          <w:tblHeader/>
          <w:jc w:val="center"/>
        </w:trPr>
        <w:tc>
          <w:tcPr>
            <w:tcW w:w="1554" w:type="dxa"/>
            <w:vAlign w:val="center"/>
          </w:tcPr>
          <w:p>
            <w:pPr>
              <w:pStyle w:val="12"/>
            </w:pPr>
            <w:r>
              <w:t>项目名称</w:t>
            </w:r>
          </w:p>
        </w:tc>
        <w:tc>
          <w:tcPr>
            <w:tcW w:w="881" w:type="dxa"/>
            <w:vAlign w:val="center"/>
          </w:tcPr>
          <w:p>
            <w:pPr>
              <w:pStyle w:val="12"/>
            </w:pPr>
            <w:r>
              <w:t>预算    资金</w:t>
            </w:r>
          </w:p>
        </w:tc>
        <w:tc>
          <w:tcPr>
            <w:tcW w:w="1036" w:type="dxa"/>
            <w:vMerge w:val="continue"/>
          </w:tcPr>
          <w:p/>
        </w:tc>
        <w:tc>
          <w:tcPr>
            <w:tcW w:w="1036" w:type="dxa"/>
            <w:vMerge w:val="continue"/>
          </w:tcPr>
          <w:p/>
        </w:tc>
        <w:tc>
          <w:tcPr>
            <w:tcW w:w="648" w:type="dxa"/>
            <w:vMerge w:val="continue"/>
          </w:tcPr>
          <w:p/>
        </w:tc>
        <w:tc>
          <w:tcPr>
            <w:tcW w:w="776" w:type="dxa"/>
            <w:vMerge w:val="continue"/>
          </w:tcPr>
          <w:p/>
        </w:tc>
        <w:tc>
          <w:tcPr>
            <w:tcW w:w="779" w:type="dxa"/>
            <w:vMerge w:val="continue"/>
          </w:tcPr>
          <w:p/>
        </w:tc>
        <w:tc>
          <w:tcPr>
            <w:tcW w:w="881" w:type="dxa"/>
            <w:vAlign w:val="center"/>
          </w:tcPr>
          <w:p>
            <w:pPr>
              <w:pStyle w:val="12"/>
            </w:pPr>
            <w:r>
              <w:t>合计</w:t>
            </w:r>
          </w:p>
        </w:tc>
        <w:tc>
          <w:tcPr>
            <w:tcW w:w="881" w:type="dxa"/>
            <w:vAlign w:val="center"/>
          </w:tcPr>
          <w:p>
            <w:pPr>
              <w:pStyle w:val="12"/>
            </w:pPr>
            <w:r>
              <w:t>一般公共预算拨款</w:t>
            </w:r>
          </w:p>
        </w:tc>
        <w:tc>
          <w:tcPr>
            <w:tcW w:w="881" w:type="dxa"/>
            <w:vAlign w:val="center"/>
          </w:tcPr>
          <w:p>
            <w:pPr>
              <w:pStyle w:val="12"/>
            </w:pPr>
            <w:r>
              <w:t>基金预算拨款</w:t>
            </w:r>
          </w:p>
        </w:tc>
        <w:tc>
          <w:tcPr>
            <w:tcW w:w="881" w:type="dxa"/>
            <w:vAlign w:val="center"/>
          </w:tcPr>
          <w:p>
            <w:pPr>
              <w:pStyle w:val="12"/>
            </w:pPr>
            <w:r>
              <w:t>国有资本经营预算拨款</w:t>
            </w:r>
          </w:p>
        </w:tc>
        <w:tc>
          <w:tcPr>
            <w:tcW w:w="881" w:type="dxa"/>
            <w:vAlign w:val="center"/>
          </w:tcPr>
          <w:p>
            <w:pPr>
              <w:pStyle w:val="12"/>
            </w:pPr>
            <w:r>
              <w:t>财政专户核拨</w:t>
            </w:r>
          </w:p>
        </w:tc>
        <w:tc>
          <w:tcPr>
            <w:tcW w:w="881" w:type="dxa"/>
            <w:vAlign w:val="center"/>
          </w:tcPr>
          <w:p>
            <w:pPr>
              <w:pStyle w:val="12"/>
            </w:pPr>
            <w:r>
              <w:t>单位    资金</w:t>
            </w:r>
          </w:p>
        </w:tc>
        <w:tc>
          <w:tcPr>
            <w:tcW w:w="881" w:type="dxa"/>
            <w:vAlign w:val="center"/>
          </w:tcPr>
          <w:p>
            <w:pPr>
              <w:pStyle w:val="12"/>
            </w:pPr>
            <w:r>
              <w:t>财政拨    款结转</w:t>
            </w:r>
          </w:p>
        </w:tc>
        <w:tc>
          <w:tcPr>
            <w:tcW w:w="881" w:type="dxa"/>
            <w:vAlign w:val="center"/>
          </w:tcPr>
          <w:p>
            <w:pPr>
              <w:pStyle w:val="12"/>
            </w:pPr>
            <w:r>
              <w:t>非财政    拨款结    转结余</w:t>
            </w:r>
          </w:p>
        </w:tc>
        <w:tc>
          <w:tcPr>
            <w:tcW w:w="88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554" w:type="dxa"/>
            <w:vAlign w:val="center"/>
          </w:tcPr>
          <w:p>
            <w:pPr>
              <w:pStyle w:val="14"/>
            </w:pPr>
          </w:p>
        </w:tc>
        <w:tc>
          <w:tcPr>
            <w:tcW w:w="881" w:type="dxa"/>
            <w:vAlign w:val="center"/>
          </w:tcPr>
          <w:p>
            <w:pPr>
              <w:pStyle w:val="13"/>
            </w:pPr>
          </w:p>
        </w:tc>
        <w:tc>
          <w:tcPr>
            <w:tcW w:w="1036" w:type="dxa"/>
            <w:vAlign w:val="center"/>
          </w:tcPr>
          <w:p>
            <w:pPr>
              <w:pStyle w:val="14"/>
            </w:pPr>
          </w:p>
        </w:tc>
        <w:tc>
          <w:tcPr>
            <w:tcW w:w="1036" w:type="dxa"/>
            <w:vAlign w:val="center"/>
          </w:tcPr>
          <w:p>
            <w:pPr>
              <w:pStyle w:val="14"/>
            </w:pPr>
          </w:p>
        </w:tc>
        <w:tc>
          <w:tcPr>
            <w:tcW w:w="648" w:type="dxa"/>
            <w:vAlign w:val="center"/>
          </w:tcPr>
          <w:p>
            <w:pPr>
              <w:pStyle w:val="15"/>
            </w:pPr>
          </w:p>
        </w:tc>
        <w:tc>
          <w:tcPr>
            <w:tcW w:w="776" w:type="dxa"/>
            <w:vAlign w:val="center"/>
          </w:tcPr>
          <w:p>
            <w:pPr>
              <w:pStyle w:val="13"/>
            </w:pPr>
          </w:p>
        </w:tc>
        <w:tc>
          <w:tcPr>
            <w:tcW w:w="779"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c>
          <w:tcPr>
            <w:tcW w:w="881"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olor w:val="000000"/>
          <w:sz w:val="32"/>
        </w:rPr>
      </w:pPr>
      <w:r>
        <w:rPr>
          <w:rFonts w:eastAsia="方正仿宋_GBK"/>
          <w:color w:val="000000"/>
          <w:sz w:val="32"/>
        </w:rPr>
        <w:t xml:space="preserve"> </w:t>
      </w:r>
    </w:p>
    <w:p>
      <w:pPr>
        <w:ind w:firstLine="640"/>
        <w:rPr>
          <w:rFonts w:eastAsia="方正仿宋_GBK"/>
          <w:color w:val="000000"/>
          <w:sz w:val="32"/>
        </w:rPr>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保定市满城区白龙乡人民政府（含所属单位）上年末固定资产金额为</w:t>
      </w:r>
      <w:r>
        <w:rPr>
          <w:rFonts w:hint="eastAsia" w:asciiTheme="majorEastAsia" w:hAnsiTheme="majorEastAsia" w:eastAsiaTheme="majorEastAsia"/>
          <w:sz w:val="21"/>
          <w:lang w:eastAsia="zh-CN"/>
        </w:rPr>
        <w:t>593.88</w:t>
      </w:r>
      <w:r>
        <w:rPr>
          <w:rFonts w:eastAsia="方正仿宋_GBK"/>
          <w:color w:val="000000"/>
          <w:sz w:val="28"/>
        </w:rPr>
        <w:t>万元（详见下表）。</w:t>
      </w:r>
      <w:r>
        <w:rPr>
          <w:rFonts w:hint="eastAsia"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年度无拟购置固定资产计划。</w:t>
      </w:r>
    </w:p>
    <w:p>
      <w:pPr>
        <w:spacing w:line="500" w:lineRule="exact"/>
        <w:ind w:firstLine="560"/>
        <w:jc w:val="center"/>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pPr>
        <w:wordWrap w:val="0"/>
        <w:ind w:firstLine="640"/>
        <w:jc w:val="right"/>
        <w:rPr>
          <w:rFonts w:ascii="方正书宋_GBK" w:hAnsi="方正书宋_GBK" w:eastAsia="方正书宋_GBK" w:cs="方正书宋_GBK"/>
          <w:color w:val="000000"/>
          <w:lang w:eastAsia="zh-CN"/>
        </w:rPr>
      </w:pPr>
      <w:r>
        <w:rPr>
          <w:rFonts w:ascii="方正小标宋_GBK" w:hAnsi="方正小标宋_GBK" w:eastAsia="方正小标宋_GBK" w:cs="方正小标宋_GBK"/>
        </w:rPr>
        <w:t>918保定市满城区白龙乡人民政府</w:t>
      </w:r>
      <w:r>
        <w:rPr>
          <w:rFonts w:hint="eastAsia" w:ascii="方正小标宋_GBK" w:hAnsi="方正小标宋_GBK" w:eastAsia="方正小标宋_GBK" w:cs="方正小标宋_GBK"/>
        </w:rPr>
        <w:t xml:space="preserve">     </w:t>
      </w:r>
      <w:r>
        <w:rPr>
          <w:rFonts w:hint="eastAsia" w:eastAsiaTheme="minorEastAsia"/>
          <w:lang w:eastAsia="zh-CN"/>
        </w:rPr>
        <w:t xml:space="preserve">                                                                                                            </w:t>
      </w:r>
      <w:r>
        <w:rPr>
          <w:rFonts w:hint="eastAsia" w:eastAsia="宋体"/>
          <w:w w:val="95"/>
          <w:lang w:eastAsia="zh-CN"/>
        </w:rPr>
        <w:t xml:space="preserve">  </w:t>
      </w:r>
      <w:r>
        <w:rPr>
          <w:rFonts w:eastAsia="方正仿宋_GBK"/>
          <w:color w:val="000000"/>
        </w:rPr>
        <w:t>截止时间：202</w:t>
      </w:r>
      <w:r>
        <w:rPr>
          <w:rFonts w:hint="eastAsia" w:eastAsia="方正仿宋_GBK"/>
          <w:color w:val="000000"/>
          <w:lang w:eastAsia="zh-CN"/>
        </w:rPr>
        <w:t>2</w:t>
      </w:r>
      <w:r>
        <w:rPr>
          <w:rFonts w:eastAsia="方正仿宋_GBK"/>
          <w:color w:val="000000"/>
        </w:rPr>
        <w:t>年12月31日</w:t>
      </w:r>
    </w:p>
    <w:tbl>
      <w:tblPr>
        <w:tblStyle w:val="6"/>
        <w:tblpPr w:leftFromText="180" w:rightFromText="180" w:vertAnchor="text" w:horzAnchor="page" w:tblpX="2145" w:tblpY="177"/>
        <w:tblW w:w="0" w:type="auto"/>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3685"/>
        <w:gridCol w:w="3687"/>
        <w:gridCol w:w="2836"/>
        <w:gridCol w:w="2836"/>
      </w:tblGrid>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3685" w:type="dxa"/>
            <w:tcBorders>
              <w:top w:val="single" w:color="000000" w:sz="6" w:space="0"/>
              <w:left w:val="single" w:color="000000" w:sz="6" w:space="0"/>
              <w:bottom w:val="single" w:color="000000" w:sz="6" w:space="0"/>
              <w:right w:val="nil"/>
            </w:tcBorders>
          </w:tcPr>
          <w:p>
            <w:pPr>
              <w:pStyle w:val="37"/>
              <w:spacing w:line="340" w:lineRule="exact"/>
              <w:ind w:right="149"/>
              <w:jc w:val="right"/>
              <w:rPr>
                <w:rFonts w:eastAsia="宋体"/>
                <w:b/>
                <w:sz w:val="21"/>
              </w:rPr>
            </w:pPr>
            <w:r>
              <w:rPr>
                <w:rFonts w:hint="eastAsia" w:ascii="宋体" w:hAnsi="宋体" w:eastAsia="宋体" w:cs="宋体"/>
                <w:b/>
                <w:w w:val="99"/>
                <w:sz w:val="21"/>
              </w:rPr>
              <w:t>项</w:t>
            </w:r>
          </w:p>
        </w:tc>
        <w:tc>
          <w:tcPr>
            <w:tcW w:w="3687" w:type="dxa"/>
            <w:tcBorders>
              <w:top w:val="single" w:color="000000" w:sz="6" w:space="0"/>
              <w:left w:val="nil"/>
              <w:bottom w:val="single" w:color="000000" w:sz="6" w:space="0"/>
              <w:right w:val="single" w:color="000000" w:sz="6" w:space="0"/>
            </w:tcBorders>
          </w:tcPr>
          <w:p>
            <w:pPr>
              <w:pStyle w:val="37"/>
              <w:spacing w:line="340" w:lineRule="exact"/>
              <w:ind w:left="163"/>
              <w:rPr>
                <w:rFonts w:eastAsia="宋体"/>
                <w:b/>
                <w:sz w:val="21"/>
              </w:rPr>
            </w:pPr>
            <w:r>
              <w:rPr>
                <w:rFonts w:hint="eastAsia" w:ascii="宋体" w:hAnsi="宋体" w:eastAsia="宋体" w:cs="宋体"/>
                <w:b/>
                <w:w w:val="99"/>
                <w:sz w:val="21"/>
              </w:rPr>
              <w:t>目</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left="237" w:right="233"/>
              <w:jc w:val="center"/>
              <w:rPr>
                <w:rFonts w:eastAsia="宋体"/>
                <w:b/>
                <w:sz w:val="21"/>
              </w:rPr>
            </w:pPr>
            <w:r>
              <w:rPr>
                <w:rFonts w:hint="eastAsia" w:ascii="宋体" w:hAnsi="宋体" w:eastAsia="宋体" w:cs="宋体"/>
                <w:b/>
                <w:sz w:val="21"/>
              </w:rPr>
              <w:t>数量</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left="258"/>
              <w:rPr>
                <w:rFonts w:eastAsia="宋体"/>
                <w:b/>
                <w:sz w:val="21"/>
              </w:rPr>
            </w:pPr>
            <w:r>
              <w:rPr>
                <w:rFonts w:hint="eastAsia" w:ascii="宋体" w:hAnsi="宋体" w:eastAsia="宋体" w:cs="宋体"/>
                <w:b/>
                <w:sz w:val="21"/>
              </w:rPr>
              <w:t>价值（金额单位：万元）</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资产总额</w:t>
            </w:r>
          </w:p>
        </w:tc>
        <w:tc>
          <w:tcPr>
            <w:tcW w:w="2836" w:type="dxa"/>
            <w:tcBorders>
              <w:top w:val="single" w:color="000000" w:sz="6" w:space="0"/>
              <w:left w:val="single" w:color="000000" w:sz="6" w:space="0"/>
              <w:bottom w:val="single" w:color="000000" w:sz="6" w:space="0"/>
              <w:right w:val="single" w:color="000000" w:sz="6" w:space="0"/>
            </w:tcBorders>
          </w:tcPr>
          <w:p>
            <w:pPr>
              <w:pStyle w:val="37"/>
              <w:rPr>
                <w:rFonts w:hint="eastAsia" w:asciiTheme="majorEastAsia" w:hAnsiTheme="majorEastAsia" w:eastAsiaTheme="majorEastAsia"/>
                <w:sz w:val="26"/>
              </w:rPr>
            </w:pP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593.88</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1、房屋（平方米）</w:t>
            </w:r>
          </w:p>
        </w:tc>
        <w:tc>
          <w:tcPr>
            <w:tcW w:w="2836" w:type="dxa"/>
            <w:tcBorders>
              <w:top w:val="single" w:color="000000" w:sz="6" w:space="0"/>
              <w:left w:val="single" w:color="000000" w:sz="6" w:space="0"/>
              <w:bottom w:val="single" w:color="000000" w:sz="6" w:space="0"/>
              <w:right w:val="single" w:color="000000" w:sz="6" w:space="0"/>
            </w:tcBorders>
          </w:tcPr>
          <w:p>
            <w:pPr>
              <w:pStyle w:val="37"/>
              <w:spacing w:before="42"/>
              <w:ind w:left="238" w:right="230"/>
              <w:jc w:val="center"/>
              <w:rPr>
                <w:rFonts w:hint="eastAsia" w:asciiTheme="majorEastAsia" w:hAnsiTheme="majorEastAsia" w:eastAsiaTheme="majorEastAsia"/>
                <w:lang w:eastAsia="zh-CN"/>
              </w:rPr>
            </w:pPr>
            <w:r>
              <w:rPr>
                <w:rFonts w:hint="eastAsia" w:asciiTheme="majorEastAsia" w:hAnsiTheme="majorEastAsia" w:eastAsiaTheme="majorEastAsia"/>
                <w:lang w:eastAsia="zh-CN"/>
              </w:rPr>
              <w:t>4651</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564.93</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1"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1" w:lineRule="exact"/>
              <w:ind w:left="528"/>
              <w:rPr>
                <w:rFonts w:hint="eastAsia" w:asciiTheme="majorEastAsia" w:hAnsiTheme="majorEastAsia" w:eastAsiaTheme="majorEastAsia"/>
                <w:sz w:val="21"/>
              </w:rPr>
            </w:pPr>
            <w:r>
              <w:rPr>
                <w:rFonts w:hint="eastAsia" w:asciiTheme="majorEastAsia" w:hAnsiTheme="majorEastAsia" w:eastAsiaTheme="majorEastAsia"/>
                <w:sz w:val="21"/>
              </w:rPr>
              <w:t>其中：办公用房（平方米）</w:t>
            </w:r>
          </w:p>
        </w:tc>
        <w:tc>
          <w:tcPr>
            <w:tcW w:w="2836" w:type="dxa"/>
            <w:tcBorders>
              <w:top w:val="single" w:color="000000" w:sz="6" w:space="0"/>
              <w:left w:val="single" w:color="000000" w:sz="6" w:space="0"/>
              <w:bottom w:val="single" w:color="000000" w:sz="6" w:space="0"/>
              <w:right w:val="single" w:color="000000" w:sz="6" w:space="0"/>
            </w:tcBorders>
          </w:tcPr>
          <w:p>
            <w:pPr>
              <w:pStyle w:val="37"/>
              <w:spacing w:before="41"/>
              <w:ind w:left="238" w:right="230"/>
              <w:jc w:val="center"/>
              <w:rPr>
                <w:rFonts w:hint="eastAsia" w:asciiTheme="majorEastAsia" w:hAnsiTheme="majorEastAsia" w:eastAsiaTheme="majorEastAsia"/>
                <w:lang w:eastAsia="zh-CN"/>
              </w:rPr>
            </w:pPr>
            <w:r>
              <w:rPr>
                <w:rFonts w:hint="eastAsia" w:asciiTheme="majorEastAsia" w:hAnsiTheme="majorEastAsia" w:eastAsiaTheme="majorEastAsia"/>
                <w:lang w:eastAsia="zh-CN"/>
              </w:rPr>
              <w:t>4651</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1" w:lineRule="exact"/>
              <w:ind w:right="95"/>
              <w:jc w:val="right"/>
              <w:rPr>
                <w:rFonts w:hint="eastAsia" w:asciiTheme="majorEastAsia" w:hAnsiTheme="majorEastAsia" w:eastAsiaTheme="majorEastAsia"/>
                <w:sz w:val="21"/>
              </w:rPr>
            </w:pPr>
            <w:r>
              <w:rPr>
                <w:rFonts w:hint="eastAsia" w:asciiTheme="majorEastAsia" w:hAnsiTheme="majorEastAsia" w:eastAsiaTheme="majorEastAsia"/>
                <w:sz w:val="21"/>
                <w:lang w:eastAsia="zh-CN"/>
              </w:rPr>
              <w:t>564.93</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2、车辆（台、辆）</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left="238" w:right="230"/>
              <w:jc w:val="center"/>
              <w:rPr>
                <w:rFonts w:hint="eastAsia" w:asciiTheme="majorEastAsia" w:hAnsiTheme="majorEastAsia" w:eastAsiaTheme="majorEastAsia"/>
                <w:sz w:val="21"/>
              </w:rPr>
            </w:pPr>
            <w:r>
              <w:rPr>
                <w:rFonts w:hint="eastAsia" w:asciiTheme="majorEastAsia" w:hAnsiTheme="majorEastAsia" w:eastAsiaTheme="majorEastAsia"/>
                <w:sz w:val="21"/>
              </w:rPr>
              <w:t>2</w:t>
            </w: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21.00</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3</w:t>
            </w:r>
            <w:r>
              <w:rPr>
                <w:rFonts w:hint="eastAsia" w:asciiTheme="majorEastAsia" w:hAnsiTheme="majorEastAsia" w:eastAsiaTheme="majorEastAsia"/>
                <w:spacing w:val="-3"/>
                <w:sz w:val="21"/>
              </w:rPr>
              <w:t>、通用</w:t>
            </w:r>
            <w:r>
              <w:rPr>
                <w:rFonts w:hint="eastAsia" w:asciiTheme="majorEastAsia" w:hAnsiTheme="majorEastAsia" w:eastAsiaTheme="majorEastAsia"/>
                <w:spacing w:val="-4"/>
                <w:sz w:val="21"/>
              </w:rPr>
              <w:t>设备</w:t>
            </w:r>
          </w:p>
        </w:tc>
        <w:tc>
          <w:tcPr>
            <w:tcW w:w="2836" w:type="dxa"/>
            <w:tcBorders>
              <w:top w:val="single" w:color="000000" w:sz="6" w:space="0"/>
              <w:left w:val="single" w:color="000000" w:sz="6" w:space="0"/>
              <w:bottom w:val="single" w:color="000000" w:sz="6" w:space="0"/>
              <w:right w:val="single" w:color="000000" w:sz="6" w:space="0"/>
            </w:tcBorders>
          </w:tcPr>
          <w:p>
            <w:pPr>
              <w:pStyle w:val="37"/>
              <w:rPr>
                <w:rFonts w:hint="eastAsia" w:asciiTheme="majorEastAsia" w:hAnsiTheme="majorEastAsia" w:eastAsiaTheme="majorEastAsia"/>
                <w:sz w:val="26"/>
              </w:rPr>
            </w:pP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6"/>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6.45</w:t>
            </w: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rPr>
            </w:pPr>
            <w:r>
              <w:rPr>
                <w:rFonts w:hint="eastAsia" w:asciiTheme="majorEastAsia" w:hAnsiTheme="majorEastAsia" w:eastAsiaTheme="majorEastAsia"/>
                <w:sz w:val="21"/>
              </w:rPr>
              <w:t>4、专用设备</w:t>
            </w:r>
          </w:p>
        </w:tc>
        <w:tc>
          <w:tcPr>
            <w:tcW w:w="2836" w:type="dxa"/>
            <w:tcBorders>
              <w:top w:val="single" w:color="000000" w:sz="6" w:space="0"/>
              <w:left w:val="single" w:color="000000" w:sz="6" w:space="0"/>
              <w:bottom w:val="single" w:color="000000" w:sz="6" w:space="0"/>
              <w:right w:val="single" w:color="000000" w:sz="6" w:space="0"/>
            </w:tcBorders>
          </w:tcPr>
          <w:p>
            <w:pPr>
              <w:pStyle w:val="37"/>
              <w:rPr>
                <w:rFonts w:hint="eastAsia" w:asciiTheme="majorEastAsia" w:hAnsiTheme="majorEastAsia" w:eastAsiaTheme="majorEastAsia"/>
                <w:sz w:val="26"/>
              </w:rPr>
            </w:pP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6"/>
              <w:jc w:val="right"/>
              <w:rPr>
                <w:rFonts w:hint="eastAsia" w:asciiTheme="majorEastAsia" w:hAnsiTheme="majorEastAsia" w:eastAsiaTheme="majorEastAsia"/>
                <w:w w:val="99"/>
                <w:sz w:val="21"/>
              </w:rPr>
            </w:pPr>
          </w:p>
        </w:tc>
      </w:tr>
      <w:tr>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60" w:hRule="atLeast"/>
        </w:trPr>
        <w:tc>
          <w:tcPr>
            <w:tcW w:w="7372" w:type="dxa"/>
            <w:gridSpan w:val="2"/>
            <w:tcBorders>
              <w:top w:val="single" w:color="000000" w:sz="6" w:space="0"/>
              <w:left w:val="single" w:color="000000" w:sz="6" w:space="0"/>
              <w:bottom w:val="single" w:color="000000" w:sz="6" w:space="0"/>
              <w:right w:val="single" w:color="000000" w:sz="6" w:space="0"/>
            </w:tcBorders>
          </w:tcPr>
          <w:p>
            <w:pPr>
              <w:pStyle w:val="37"/>
              <w:spacing w:line="340" w:lineRule="exact"/>
              <w:ind w:left="108"/>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5</w:t>
            </w:r>
            <w:r>
              <w:rPr>
                <w:rFonts w:hint="eastAsia" w:asciiTheme="majorEastAsia" w:hAnsiTheme="majorEastAsia" w:eastAsiaTheme="majorEastAsia"/>
                <w:sz w:val="21"/>
              </w:rPr>
              <w:t>、</w:t>
            </w:r>
            <w:r>
              <w:rPr>
                <w:rFonts w:hint="eastAsia" w:asciiTheme="majorEastAsia" w:hAnsiTheme="majorEastAsia" w:eastAsiaTheme="majorEastAsia"/>
                <w:sz w:val="21"/>
                <w:lang w:eastAsia="zh-CN"/>
              </w:rPr>
              <w:t>家具用具</w:t>
            </w:r>
          </w:p>
        </w:tc>
        <w:tc>
          <w:tcPr>
            <w:tcW w:w="2836" w:type="dxa"/>
            <w:tcBorders>
              <w:top w:val="single" w:color="000000" w:sz="6" w:space="0"/>
              <w:left w:val="single" w:color="000000" w:sz="6" w:space="0"/>
              <w:bottom w:val="single" w:color="000000" w:sz="6" w:space="0"/>
              <w:right w:val="single" w:color="000000" w:sz="6" w:space="0"/>
            </w:tcBorders>
          </w:tcPr>
          <w:p>
            <w:pPr>
              <w:pStyle w:val="37"/>
              <w:rPr>
                <w:rFonts w:hint="eastAsia" w:asciiTheme="majorEastAsia" w:hAnsiTheme="majorEastAsia" w:eastAsiaTheme="majorEastAsia"/>
                <w:sz w:val="26"/>
              </w:rPr>
            </w:pPr>
          </w:p>
        </w:tc>
        <w:tc>
          <w:tcPr>
            <w:tcW w:w="2836" w:type="dxa"/>
            <w:tcBorders>
              <w:top w:val="single" w:color="000000" w:sz="6" w:space="0"/>
              <w:left w:val="single" w:color="000000" w:sz="6" w:space="0"/>
              <w:bottom w:val="single" w:color="000000" w:sz="6" w:space="0"/>
              <w:right w:val="single" w:color="000000" w:sz="6" w:space="0"/>
            </w:tcBorders>
          </w:tcPr>
          <w:p>
            <w:pPr>
              <w:pStyle w:val="37"/>
              <w:spacing w:line="340" w:lineRule="exact"/>
              <w:ind w:right="95"/>
              <w:jc w:val="right"/>
              <w:rPr>
                <w:rFonts w:hint="eastAsia" w:asciiTheme="majorEastAsia" w:hAnsiTheme="majorEastAsia" w:eastAsiaTheme="majorEastAsia"/>
                <w:sz w:val="21"/>
                <w:lang w:eastAsia="zh-CN"/>
              </w:rPr>
            </w:pPr>
            <w:r>
              <w:rPr>
                <w:rFonts w:hint="eastAsia" w:asciiTheme="majorEastAsia" w:hAnsiTheme="majorEastAsia" w:eastAsiaTheme="majorEastAsia"/>
                <w:sz w:val="21"/>
                <w:lang w:eastAsia="zh-CN"/>
              </w:rPr>
              <w:t>1.50</w:t>
            </w:r>
          </w:p>
        </w:tc>
      </w:tr>
    </w:tbl>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420"/>
        <w:rPr>
          <w:rFonts w:ascii="方正书宋_GBK" w:hAnsi="方正书宋_GBK" w:eastAsia="方正书宋_GBK" w:cs="方正书宋_GBK"/>
          <w:color w:val="000000"/>
          <w:sz w:val="21"/>
          <w:lang w:eastAsia="zh-CN"/>
        </w:rPr>
      </w:pPr>
    </w:p>
    <w:p>
      <w:pPr>
        <w:ind w:firstLine="640"/>
      </w:pPr>
    </w:p>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pPr>
      <w:bookmarkStart w:id="18" w:name="_GoBack"/>
      <w:bookmarkEnd w:id="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95D5F"/>
    <w:multiLevelType w:val="singleLevel"/>
    <w:tmpl w:val="95895D5F"/>
    <w:lvl w:ilvl="0" w:tentative="0">
      <w:start w:val="1"/>
      <w:numFmt w:val="decimal"/>
      <w:suff w:val="nothing"/>
      <w:lvlText w:val="%1、"/>
      <w:lvlJc w:val="left"/>
    </w:lvl>
  </w:abstractNum>
  <w:abstractNum w:abstractNumId="1">
    <w:nsid w:val="B7B92BC3"/>
    <w:multiLevelType w:val="singleLevel"/>
    <w:tmpl w:val="B7B92BC3"/>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ZTQ4ZWM3ZGVjYWE5MzYxMGU1NWNlNjRjZTQzM2MifQ=="/>
  </w:docVars>
  <w:rsids>
    <w:rsidRoot w:val="00A24AE3"/>
    <w:rsid w:val="00044D6C"/>
    <w:rsid w:val="000521DD"/>
    <w:rsid w:val="0017211C"/>
    <w:rsid w:val="00180EF2"/>
    <w:rsid w:val="00223F20"/>
    <w:rsid w:val="0026131E"/>
    <w:rsid w:val="002C2BF2"/>
    <w:rsid w:val="003F5D2D"/>
    <w:rsid w:val="004140E4"/>
    <w:rsid w:val="00480EC0"/>
    <w:rsid w:val="005326B8"/>
    <w:rsid w:val="005B79AB"/>
    <w:rsid w:val="006266AB"/>
    <w:rsid w:val="00644912"/>
    <w:rsid w:val="0073573C"/>
    <w:rsid w:val="007506C8"/>
    <w:rsid w:val="007607EA"/>
    <w:rsid w:val="007D3E73"/>
    <w:rsid w:val="007E0819"/>
    <w:rsid w:val="0080027B"/>
    <w:rsid w:val="00842D17"/>
    <w:rsid w:val="008B700B"/>
    <w:rsid w:val="008D72D2"/>
    <w:rsid w:val="008F7297"/>
    <w:rsid w:val="009404DA"/>
    <w:rsid w:val="00953A53"/>
    <w:rsid w:val="00962113"/>
    <w:rsid w:val="00A06A4C"/>
    <w:rsid w:val="00A2463C"/>
    <w:rsid w:val="00A24AE3"/>
    <w:rsid w:val="00A515D1"/>
    <w:rsid w:val="00A62C86"/>
    <w:rsid w:val="00AB60BB"/>
    <w:rsid w:val="00AB7566"/>
    <w:rsid w:val="00AC77AD"/>
    <w:rsid w:val="00AF5246"/>
    <w:rsid w:val="00B0345B"/>
    <w:rsid w:val="00B0376B"/>
    <w:rsid w:val="00BC5445"/>
    <w:rsid w:val="00C66A16"/>
    <w:rsid w:val="00CB4ED9"/>
    <w:rsid w:val="00D9560B"/>
    <w:rsid w:val="00DB023F"/>
    <w:rsid w:val="00DF65C7"/>
    <w:rsid w:val="00E31507"/>
    <w:rsid w:val="00F11C70"/>
    <w:rsid w:val="00F555C6"/>
    <w:rsid w:val="00F91999"/>
    <w:rsid w:val="0F99704E"/>
    <w:rsid w:val="12BA6790"/>
    <w:rsid w:val="15A915EA"/>
    <w:rsid w:val="1F3B4E42"/>
    <w:rsid w:val="20737F5A"/>
    <w:rsid w:val="22213D0E"/>
    <w:rsid w:val="228B1EC6"/>
    <w:rsid w:val="30307EA0"/>
    <w:rsid w:val="46B5050A"/>
    <w:rsid w:val="5C07535D"/>
    <w:rsid w:val="61760ADB"/>
    <w:rsid w:val="7157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unhideWhenUsed/>
    <w:qFormat/>
    <w:uiPriority w:val="99"/>
    <w:rPr>
      <w:rFonts w:ascii="宋体" w:hAnsi="宋体" w:eastAsia="宋体" w:cs="宋体"/>
      <w:sz w:val="32"/>
      <w:szCs w:val="32"/>
    </w:rPr>
  </w:style>
  <w:style w:type="paragraph" w:styleId="3">
    <w:name w:val="Balloon Text"/>
    <w:basedOn w:val="1"/>
    <w:link w:val="39"/>
    <w:semiHidden/>
    <w:unhideWhenUsed/>
    <w:qFormat/>
    <w:uiPriority w:val="99"/>
    <w:rPr>
      <w:sz w:val="18"/>
      <w:szCs w:val="18"/>
    </w:rPr>
  </w:style>
  <w:style w:type="paragraph" w:styleId="4">
    <w:name w:val="footer"/>
    <w:basedOn w:val="1"/>
    <w:link w:val="36"/>
    <w:unhideWhenUsed/>
    <w:qFormat/>
    <w:uiPriority w:val="99"/>
    <w:pPr>
      <w:tabs>
        <w:tab w:val="center" w:pos="4153"/>
        <w:tab w:val="right" w:pos="8306"/>
      </w:tabs>
      <w:snapToGrid w:val="0"/>
    </w:pPr>
    <w:rPr>
      <w:sz w:val="18"/>
      <w:szCs w:val="18"/>
    </w:rPr>
  </w:style>
  <w:style w:type="paragraph" w:styleId="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目录 21"/>
    <w:basedOn w:val="1"/>
    <w:qFormat/>
    <w:uiPriority w:val="0"/>
    <w:pPr>
      <w:ind w:left="240"/>
    </w:pPr>
  </w:style>
  <w:style w:type="paragraph" w:customStyle="1" w:styleId="32">
    <w:name w:val="目录 31"/>
    <w:basedOn w:val="1"/>
    <w:qFormat/>
    <w:uiPriority w:val="0"/>
    <w:pPr>
      <w:ind w:left="480"/>
    </w:pPr>
  </w:style>
  <w:style w:type="paragraph" w:customStyle="1" w:styleId="33">
    <w:name w:val="目录 41"/>
    <w:basedOn w:val="1"/>
    <w:qFormat/>
    <w:uiPriority w:val="0"/>
    <w:pPr>
      <w:ind w:left="720"/>
    </w:pPr>
  </w:style>
  <w:style w:type="paragraph" w:customStyle="1" w:styleId="34">
    <w:name w:val="目录 11"/>
    <w:basedOn w:val="1"/>
    <w:qFormat/>
    <w:uiPriority w:val="0"/>
    <w:pPr>
      <w:spacing w:before="120"/>
      <w:ind w:firstLine="560"/>
    </w:pPr>
    <w:rPr>
      <w:rFonts w:eastAsia="方正仿宋_GBK"/>
      <w:color w:val="000000"/>
      <w:sz w:val="28"/>
    </w:rPr>
  </w:style>
  <w:style w:type="character" w:customStyle="1" w:styleId="35">
    <w:name w:val="页眉 字符"/>
    <w:basedOn w:val="8"/>
    <w:link w:val="5"/>
    <w:qFormat/>
    <w:uiPriority w:val="99"/>
    <w:rPr>
      <w:rFonts w:eastAsia="Times New Roman"/>
      <w:sz w:val="18"/>
      <w:szCs w:val="18"/>
      <w:lang w:eastAsia="uk-UA"/>
    </w:rPr>
  </w:style>
  <w:style w:type="character" w:customStyle="1" w:styleId="36">
    <w:name w:val="页脚 字符"/>
    <w:basedOn w:val="8"/>
    <w:link w:val="4"/>
    <w:qFormat/>
    <w:uiPriority w:val="99"/>
    <w:rPr>
      <w:rFonts w:eastAsia="Times New Roman"/>
      <w:sz w:val="18"/>
      <w:szCs w:val="18"/>
      <w:lang w:eastAsia="uk-UA"/>
    </w:rPr>
  </w:style>
  <w:style w:type="paragraph" w:customStyle="1" w:styleId="37">
    <w:name w:val="Table Paragraph"/>
    <w:basedOn w:val="1"/>
    <w:qFormat/>
    <w:uiPriority w:val="1"/>
  </w:style>
  <w:style w:type="character" w:customStyle="1" w:styleId="38">
    <w:name w:val="正文文本 字符"/>
    <w:basedOn w:val="8"/>
    <w:link w:val="2"/>
    <w:qFormat/>
    <w:uiPriority w:val="99"/>
    <w:rPr>
      <w:rFonts w:ascii="宋体" w:hAnsi="宋体" w:eastAsia="宋体" w:cs="宋体"/>
      <w:sz w:val="32"/>
      <w:szCs w:val="32"/>
      <w:lang w:eastAsia="uk-UA"/>
    </w:rPr>
  </w:style>
  <w:style w:type="character" w:customStyle="1" w:styleId="39">
    <w:name w:val="批注框文本 字符"/>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19184</Words>
  <Characters>21704</Characters>
  <Lines>186</Lines>
  <Paragraphs>52</Paragraphs>
  <TotalTime>3</TotalTime>
  <ScaleCrop>false</ScaleCrop>
  <LinksUpToDate>false</LinksUpToDate>
  <CharactersWithSpaces>22018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2023-03-09T02:23:00Z</dcterms:created>
  <dc:creator>Administrator</dc:creator>
  <cp:lastModifiedBy>Administrator</cp:lastModifiedBy>
  <cp:lastPrinted>2023-03-15T01:31:00Z</cp:lastPrinted>
  <dcterms:modified xsi:type="dcterms:W3CDTF">2024-08-16T08:28:53Z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9CE1F9B5FC2D4072B97E9095CC482BD0_13</vt:lpwstr>
  </property>
</Properties>
</file>