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rPr>
          <w:rFonts w:hint="eastAsia"/>
          <w:lang w:eastAsia="zh-CN"/>
        </w:rPr>
      </w:pPr>
    </w:p>
    <w:p>
      <w:r>
        <w:rPr>
          <w:rFonts w:ascii="方正楷体_GBK" w:hAnsi="方正楷体_GBK" w:eastAsia="方正楷体_GBK" w:cs="方正楷体_GBK"/>
          <w:b/>
          <w:color w:val="000000"/>
          <w:sz w:val="28"/>
        </w:rPr>
        <w:t>部门预算公开表</w:t>
      </w:r>
    </w:p>
    <w:p>
      <w:pPr>
        <w:pStyle w:val="3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pPr>
        <w:pStyle w:val="3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pPr>
        <w:pStyle w:val="3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6</w:t>
      </w:r>
      <w:r>
        <w:fldChar w:fldCharType="end"/>
      </w:r>
    </w:p>
    <w:p>
      <w:pPr>
        <w:pStyle w:val="3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7</w:t>
      </w:r>
      <w:r>
        <w:fldChar w:fldCharType="end"/>
      </w:r>
    </w:p>
    <w:p>
      <w:pPr>
        <w:pStyle w:val="3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0</w:t>
      </w:r>
    </w:p>
    <w:p>
      <w:pPr>
        <w:pStyle w:val="3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1</w:t>
      </w:r>
    </w:p>
    <w:p>
      <w:pPr>
        <w:pStyle w:val="3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1</w:t>
      </w:r>
      <w:r>
        <w:fldChar w:fldCharType="end"/>
      </w:r>
      <w:r>
        <w:rPr>
          <w:rFonts w:hint="eastAsia"/>
          <w:lang w:val="en-US" w:eastAsia="zh-CN"/>
        </w:rPr>
        <w:t>3</w:t>
      </w:r>
    </w:p>
    <w:p>
      <w:pPr>
        <w:pStyle w:val="3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4</w:t>
      </w:r>
    </w:p>
    <w:p>
      <w:pPr>
        <w:pStyle w:val="3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5</w:t>
      </w:r>
    </w:p>
    <w:p>
      <w:r>
        <w:fldChar w:fldCharType="end"/>
      </w:r>
    </w:p>
    <w:p>
      <w:r>
        <w:rPr>
          <w:rFonts w:ascii="方正楷体_GBK" w:hAnsi="方正楷体_GBK" w:eastAsia="方正楷体_GBK" w:cs="方正楷体_GBK"/>
          <w:b/>
          <w:color w:val="000000"/>
          <w:sz w:val="28"/>
        </w:rPr>
        <w:t>部门预算信息公开情况说明</w:t>
      </w:r>
    </w:p>
    <w:p>
      <w:pPr>
        <w:pStyle w:val="3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6</w:t>
      </w:r>
    </w:p>
    <w:p>
      <w:pPr>
        <w:pStyle w:val="3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8</w:t>
      </w:r>
    </w:p>
    <w:p>
      <w:pPr>
        <w:pStyle w:val="3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9</w:t>
      </w:r>
    </w:p>
    <w:p>
      <w:pPr>
        <w:pStyle w:val="3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9</w:t>
      </w:r>
    </w:p>
    <w:p>
      <w:pPr>
        <w:pStyle w:val="3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9</w:t>
      </w:r>
    </w:p>
    <w:p>
      <w:pPr>
        <w:pStyle w:val="3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23</w:t>
      </w:r>
      <w:r>
        <w:fldChar w:fldCharType="end"/>
      </w:r>
      <w:r>
        <w:fldChar w:fldCharType="end"/>
      </w:r>
    </w:p>
    <w:p>
      <w:pPr>
        <w:pStyle w:val="3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4</w:t>
      </w:r>
    </w:p>
    <w:p>
      <w:pPr>
        <w:pStyle w:val="33"/>
        <w:tabs>
          <w:tab w:val="right" w:leader="dot" w:pos="14562"/>
        </w:tabs>
      </w:pPr>
      <w:r>
        <w:fldChar w:fldCharType="begin"/>
      </w:r>
      <w:r>
        <w:instrText xml:space="preserve"> HYPERLINK \l "_Toc_3_3_0000000017" </w:instrText>
      </w:r>
      <w:r>
        <w:fldChar w:fldCharType="separate"/>
      </w:r>
      <w:r>
        <w:t>八、名词解释</w:t>
      </w:r>
      <w:r>
        <w:tab/>
      </w:r>
      <w:r>
        <w:rPr>
          <w:rFonts w:hint="eastAsia" w:eastAsiaTheme="minorEastAsia"/>
          <w:lang w:eastAsia="zh-CN"/>
        </w:rPr>
        <w:t>25</w:t>
      </w:r>
      <w:r>
        <w:rPr>
          <w:rFonts w:hint="eastAsia" w:eastAsiaTheme="minorEastAsia"/>
          <w:lang w:eastAsia="zh-CN"/>
        </w:rPr>
        <w:fldChar w:fldCharType="end"/>
      </w:r>
    </w:p>
    <w:p>
      <w:pPr>
        <w:pStyle w:val="33"/>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eastAsiaTheme="minorEastAsia"/>
          <w:lang w:eastAsia="zh-CN"/>
        </w:rPr>
        <w:t>25</w:t>
      </w:r>
      <w:r>
        <w:rPr>
          <w:rFonts w:hint="eastAsia" w:eastAsiaTheme="minorEastAsia"/>
          <w:lang w:eastAsia="zh-CN"/>
        </w:rPr>
        <w:fldChar w:fldCharType="end"/>
      </w:r>
    </w:p>
    <w:p>
      <w:r>
        <w:fldChar w:fldCharType="end"/>
      </w:r>
    </w:p>
    <w:p>
      <w:pPr>
        <w:jc w:val="center"/>
        <w:outlineLvl w:val="1"/>
        <w:rPr>
          <w:rFonts w:hint="eastAsia" w:ascii="方正小标宋_GBK" w:hAnsi="方正小标宋_GBK" w:cs="方正小标宋_GBK" w:eastAsiaTheme="minorEastAsia"/>
          <w:color w:val="000000"/>
          <w:sz w:val="36"/>
          <w:lang w:eastAsia="zh-CN"/>
        </w:rPr>
      </w:pPr>
      <w:bookmarkStart w:id="0" w:name="_Toc_2_2_0000000001"/>
    </w:p>
    <w:p>
      <w:pPr>
        <w:jc w:val="center"/>
        <w:outlineLvl w:val="1"/>
        <w:rPr>
          <w:rFonts w:hint="eastAsia" w:ascii="方正小标宋_GBK" w:hAnsi="方正小标宋_GBK" w:cs="方正小标宋_GBK" w:eastAsiaTheme="minorEastAsia"/>
          <w:color w:val="000000"/>
          <w:sz w:val="36"/>
          <w:lang w:eastAsia="zh-CN"/>
        </w:rPr>
      </w:pPr>
    </w:p>
    <w:p>
      <w:pPr>
        <w:jc w:val="center"/>
        <w:outlineLvl w:val="1"/>
        <w:rPr>
          <w:rFonts w:hint="eastAsia" w:ascii="方正小标宋_GBK" w:hAnsi="方正小标宋_GBK" w:cs="方正小标宋_GBK" w:eastAsiaTheme="minorEastAsia"/>
          <w:color w:val="000000"/>
          <w:sz w:val="36"/>
          <w:lang w:eastAsia="zh-CN"/>
        </w:rPr>
      </w:pPr>
    </w:p>
    <w:p>
      <w:pPr>
        <w:jc w:val="center"/>
        <w:outlineLvl w:val="1"/>
        <w:rPr>
          <w:rFonts w:hint="eastAsia" w:ascii="方正小标宋_GBK" w:hAnsi="方正小标宋_GBK" w:cs="方正小标宋_GBK" w:eastAsiaTheme="minorEastAsia"/>
          <w:color w:val="000000"/>
          <w:sz w:val="36"/>
          <w:lang w:eastAsia="zh-CN"/>
        </w:rPr>
      </w:pPr>
    </w:p>
    <w:p>
      <w:pPr>
        <w:jc w:val="center"/>
        <w:outlineLvl w:val="1"/>
        <w:rPr>
          <w:rFonts w:hint="eastAsia" w:ascii="方正小标宋_GBK" w:hAnsi="方正小标宋_GBK" w:cs="方正小标宋_GBK" w:eastAsiaTheme="minorEastAsia"/>
          <w:color w:val="000000"/>
          <w:sz w:val="36"/>
          <w:lang w:eastAsia="zh-CN"/>
        </w:rPr>
      </w:pPr>
    </w:p>
    <w:p>
      <w:pPr>
        <w:jc w:val="center"/>
        <w:outlineLvl w:val="1"/>
        <w:rPr>
          <w:rFonts w:hint="eastAsia" w:ascii="方正小标宋_GBK" w:hAnsi="方正小标宋_GBK" w:cs="方正小标宋_GBK" w:eastAsiaTheme="minorEastAsia"/>
          <w:color w:val="000000"/>
          <w:sz w:val="36"/>
          <w:lang w:eastAsia="zh-CN"/>
        </w:rPr>
      </w:pPr>
    </w:p>
    <w:p>
      <w:pPr>
        <w:jc w:val="center"/>
        <w:outlineLvl w:val="1"/>
        <w:rPr>
          <w:rFonts w:hint="eastAsia" w:ascii="方正小标宋_GBK" w:hAnsi="方正小标宋_GBK" w:cs="方正小标宋_GBK" w:eastAsiaTheme="minorEastAsia"/>
          <w:color w:val="000000"/>
          <w:sz w:val="36"/>
          <w:lang w:eastAsia="zh-CN"/>
        </w:rPr>
      </w:pPr>
    </w:p>
    <w:p>
      <w:pPr>
        <w:jc w:val="center"/>
        <w:outlineLvl w:val="1"/>
        <w:rPr>
          <w:rFonts w:hint="eastAsia" w:ascii="方正小标宋_GBK" w:hAnsi="方正小标宋_GBK" w:cs="方正小标宋_GBK" w:eastAsiaTheme="minorEastAsia"/>
          <w:color w:val="000000"/>
          <w:sz w:val="36"/>
          <w:lang w:eastAsia="zh-CN"/>
        </w:rPr>
      </w:pPr>
    </w:p>
    <w:p>
      <w:pPr>
        <w:jc w:val="center"/>
        <w:outlineLvl w:val="1"/>
        <w:rPr>
          <w:rFonts w:hint="eastAsia" w:ascii="方正小标宋_GBK" w:hAnsi="方正小标宋_GBK" w:cs="方正小标宋_GBK" w:eastAsiaTheme="minorEastAsia"/>
          <w:color w:val="000000"/>
          <w:sz w:val="36"/>
          <w:lang w:eastAsia="zh-CN"/>
        </w:rPr>
      </w:pPr>
    </w:p>
    <w:p>
      <w:pPr>
        <w:jc w:val="center"/>
        <w:outlineLvl w:val="1"/>
        <w:rPr>
          <w:rFonts w:hint="eastAsia" w:ascii="方正小标宋_GBK" w:hAnsi="方正小标宋_GBK" w:cs="方正小标宋_GBK" w:eastAsiaTheme="minorEastAsia"/>
          <w:color w:val="000000"/>
          <w:sz w:val="36"/>
          <w:lang w:eastAsia="zh-CN"/>
        </w:rPr>
      </w:pPr>
    </w:p>
    <w:p>
      <w:pPr>
        <w:jc w:val="center"/>
        <w:outlineLvl w:val="1"/>
        <w:rPr>
          <w:rFonts w:hint="eastAsia" w:ascii="方正小标宋_GBK" w:hAnsi="方正小标宋_GBK" w:cs="方正小标宋_GBK" w:eastAsiaTheme="minorEastAsia"/>
          <w:color w:val="000000"/>
          <w:sz w:val="36"/>
          <w:lang w:eastAsia="zh-CN"/>
        </w:rPr>
      </w:pPr>
    </w:p>
    <w:p>
      <w:pPr>
        <w:jc w:val="center"/>
        <w:outlineLvl w:val="1"/>
        <w:rPr>
          <w:rFonts w:hint="eastAsia" w:ascii="方正小标宋_GBK" w:hAnsi="方正小标宋_GBK" w:cs="方正小标宋_GBK" w:eastAsiaTheme="minorEastAsia"/>
          <w:color w:val="000000"/>
          <w:sz w:val="36"/>
          <w:lang w:eastAsia="zh-CN"/>
        </w:rPr>
      </w:pPr>
    </w:p>
    <w:p>
      <w:pPr>
        <w:jc w:val="center"/>
        <w:outlineLvl w:val="1"/>
        <w:rPr>
          <w:rFonts w:hint="eastAsia" w:ascii="方正小标宋_GBK" w:hAnsi="方正小标宋_GBK" w:cs="方正小标宋_GBK" w:eastAsiaTheme="minorEastAsia"/>
          <w:color w:val="000000"/>
          <w:sz w:val="36"/>
          <w:lang w:eastAsia="zh-CN"/>
        </w:rPr>
      </w:pPr>
    </w:p>
    <w:p>
      <w:pPr>
        <w:jc w:val="center"/>
        <w:outlineLvl w:val="1"/>
        <w:rPr>
          <w:rFonts w:hint="eastAsia" w:ascii="方正小标宋_GBK" w:hAnsi="方正小标宋_GBK" w:cs="方正小标宋_GBK" w:eastAsiaTheme="minorEastAsia"/>
          <w:color w:val="000000"/>
          <w:sz w:val="36"/>
          <w:lang w:eastAsia="zh-CN"/>
        </w:rPr>
      </w:pPr>
    </w:p>
    <w:p>
      <w:pPr>
        <w:jc w:val="center"/>
        <w:outlineLvl w:val="1"/>
        <w:rPr>
          <w:rFonts w:hint="eastAsia" w:ascii="方正小标宋_GBK" w:hAnsi="方正小标宋_GBK" w:cs="方正小标宋_GBK" w:eastAsiaTheme="minorEastAsia"/>
          <w:color w:val="000000"/>
          <w:sz w:val="36"/>
          <w:lang w:eastAsia="zh-CN"/>
        </w:rPr>
      </w:pPr>
    </w:p>
    <w:p>
      <w:pPr>
        <w:jc w:val="center"/>
        <w:outlineLvl w:val="1"/>
        <w:rPr>
          <w:rFonts w:hint="eastAsia" w:ascii="方正小标宋_GBK" w:hAnsi="方正小标宋_GBK" w:cs="方正小标宋_GBK" w:eastAsiaTheme="minorEastAsia"/>
          <w:color w:val="000000"/>
          <w:sz w:val="36"/>
          <w:lang w:eastAsia="zh-CN"/>
        </w:rPr>
      </w:pPr>
    </w:p>
    <w:p>
      <w:pPr>
        <w:jc w:val="center"/>
        <w:outlineLvl w:val="1"/>
      </w:pPr>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224中共保定市满城区委网络安全和信息化委员会办公室</w:t>
            </w:r>
          </w:p>
        </w:tc>
        <w:tc>
          <w:tcPr>
            <w:tcW w:w="2126" w:type="dxa"/>
            <w:tcBorders>
              <w:top w:val="single" w:color="FFFFFF" w:sz="6" w:space="0"/>
              <w:left w:val="single" w:color="FFFFFF" w:sz="6" w:space="0"/>
              <w:right w:val="single" w:color="FFFFFF" w:sz="6" w:space="0"/>
            </w:tcBorders>
            <w:vAlign w:val="center"/>
          </w:tcPr>
          <w:p>
            <w:pPr>
              <w:pStyle w:val="9"/>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105.72</w:t>
            </w:r>
          </w:p>
        </w:tc>
        <w:tc>
          <w:tcPr>
            <w:tcW w:w="4535" w:type="dxa"/>
            <w:vAlign w:val="center"/>
          </w:tcPr>
          <w:p>
            <w:pPr>
              <w:pStyle w:val="13"/>
            </w:pPr>
            <w:r>
              <w:t>一、一般公共服务支出</w:t>
            </w:r>
          </w:p>
        </w:tc>
        <w:tc>
          <w:tcPr>
            <w:tcW w:w="2126" w:type="dxa"/>
            <w:vAlign w:val="center"/>
          </w:tcPr>
          <w:p>
            <w:pPr>
              <w:pStyle w:val="12"/>
            </w:pPr>
            <w:r>
              <w:t>85.42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三十一、往来性支出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105.72</w:t>
            </w:r>
          </w:p>
        </w:tc>
        <w:tc>
          <w:tcPr>
            <w:tcW w:w="4535" w:type="dxa"/>
            <w:vAlign w:val="center"/>
          </w:tcPr>
          <w:p>
            <w:pPr>
              <w:pStyle w:val="15"/>
            </w:pPr>
            <w:r>
              <w:t>本年支出合计</w:t>
            </w:r>
          </w:p>
        </w:tc>
        <w:tc>
          <w:tcPr>
            <w:tcW w:w="2126" w:type="dxa"/>
            <w:vAlign w:val="center"/>
          </w:tcPr>
          <w:p>
            <w:pPr>
              <w:pStyle w:val="16"/>
            </w:pPr>
            <w:r>
              <w:t>105.72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105.72</w:t>
            </w:r>
          </w:p>
        </w:tc>
        <w:tc>
          <w:tcPr>
            <w:tcW w:w="4535" w:type="dxa"/>
            <w:vAlign w:val="center"/>
          </w:tcPr>
          <w:p>
            <w:pPr>
              <w:pStyle w:val="15"/>
            </w:pPr>
            <w:r>
              <w:t>支出总计</w:t>
            </w:r>
          </w:p>
        </w:tc>
        <w:tc>
          <w:tcPr>
            <w:tcW w:w="2126" w:type="dxa"/>
            <w:vAlign w:val="center"/>
          </w:tcPr>
          <w:p>
            <w:pPr>
              <w:pStyle w:val="16"/>
            </w:pPr>
            <w:r>
              <w:t>105.72</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224中共保定市满城区委网络安全和信息化委员会办公室</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105.72</w:t>
            </w:r>
          </w:p>
        </w:tc>
        <w:tc>
          <w:tcPr>
            <w:tcW w:w="1134" w:type="dxa"/>
            <w:vAlign w:val="center"/>
          </w:tcPr>
          <w:p>
            <w:pPr>
              <w:pStyle w:val="16"/>
            </w:pPr>
            <w:r>
              <w:t>105.72</w:t>
            </w:r>
          </w:p>
        </w:tc>
        <w:tc>
          <w:tcPr>
            <w:tcW w:w="1134" w:type="dxa"/>
            <w:vAlign w:val="center"/>
          </w:tcPr>
          <w:p>
            <w:pPr>
              <w:pStyle w:val="16"/>
            </w:pPr>
            <w:r>
              <w:t>105.72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85.42</w:t>
            </w:r>
          </w:p>
        </w:tc>
        <w:tc>
          <w:tcPr>
            <w:tcW w:w="1134" w:type="dxa"/>
            <w:vAlign w:val="center"/>
          </w:tcPr>
          <w:p>
            <w:pPr>
              <w:pStyle w:val="12"/>
            </w:pPr>
            <w:r>
              <w:t>85.42</w:t>
            </w:r>
          </w:p>
        </w:tc>
        <w:tc>
          <w:tcPr>
            <w:tcW w:w="1134" w:type="dxa"/>
            <w:vAlign w:val="center"/>
          </w:tcPr>
          <w:p>
            <w:pPr>
              <w:pStyle w:val="12"/>
            </w:pPr>
            <w:r>
              <w:t>85.42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20137</w:t>
            </w:r>
          </w:p>
        </w:tc>
        <w:tc>
          <w:tcPr>
            <w:tcW w:w="1559" w:type="dxa"/>
            <w:vAlign w:val="center"/>
          </w:tcPr>
          <w:p>
            <w:pPr>
              <w:pStyle w:val="13"/>
            </w:pPr>
            <w:r>
              <w:t>网信事务</w:t>
            </w:r>
          </w:p>
        </w:tc>
        <w:tc>
          <w:tcPr>
            <w:tcW w:w="1134" w:type="dxa"/>
            <w:vAlign w:val="center"/>
          </w:tcPr>
          <w:p>
            <w:pPr>
              <w:pStyle w:val="12"/>
            </w:pPr>
            <w:r>
              <w:t>85.42</w:t>
            </w:r>
          </w:p>
        </w:tc>
        <w:tc>
          <w:tcPr>
            <w:tcW w:w="1134" w:type="dxa"/>
            <w:vAlign w:val="center"/>
          </w:tcPr>
          <w:p>
            <w:pPr>
              <w:pStyle w:val="12"/>
            </w:pPr>
            <w:r>
              <w:t>85.42</w:t>
            </w:r>
          </w:p>
        </w:tc>
        <w:tc>
          <w:tcPr>
            <w:tcW w:w="1134" w:type="dxa"/>
            <w:vAlign w:val="center"/>
          </w:tcPr>
          <w:p>
            <w:pPr>
              <w:pStyle w:val="12"/>
            </w:pPr>
            <w:r>
              <w:t>85.42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2013701</w:t>
            </w:r>
          </w:p>
        </w:tc>
        <w:tc>
          <w:tcPr>
            <w:tcW w:w="1559" w:type="dxa"/>
            <w:vAlign w:val="center"/>
          </w:tcPr>
          <w:p>
            <w:pPr>
              <w:pStyle w:val="13"/>
            </w:pPr>
            <w:r>
              <w:t>行政运行</w:t>
            </w:r>
          </w:p>
        </w:tc>
        <w:tc>
          <w:tcPr>
            <w:tcW w:w="1134" w:type="dxa"/>
            <w:vAlign w:val="center"/>
          </w:tcPr>
          <w:p>
            <w:pPr>
              <w:pStyle w:val="12"/>
            </w:pPr>
            <w:r>
              <w:t>77.42</w:t>
            </w:r>
          </w:p>
        </w:tc>
        <w:tc>
          <w:tcPr>
            <w:tcW w:w="1134" w:type="dxa"/>
            <w:vAlign w:val="center"/>
          </w:tcPr>
          <w:p>
            <w:pPr>
              <w:pStyle w:val="12"/>
            </w:pPr>
            <w:r>
              <w:t>77.42</w:t>
            </w:r>
          </w:p>
        </w:tc>
        <w:tc>
          <w:tcPr>
            <w:tcW w:w="1134" w:type="dxa"/>
            <w:vAlign w:val="center"/>
          </w:tcPr>
          <w:p>
            <w:pPr>
              <w:pStyle w:val="12"/>
            </w:pPr>
            <w:r>
              <w:t>77.42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2013704</w:t>
            </w:r>
          </w:p>
        </w:tc>
        <w:tc>
          <w:tcPr>
            <w:tcW w:w="1559" w:type="dxa"/>
            <w:vAlign w:val="center"/>
          </w:tcPr>
          <w:p>
            <w:pPr>
              <w:pStyle w:val="13"/>
            </w:pPr>
            <w:r>
              <w:t>信息安全事务</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10.15</w:t>
            </w:r>
          </w:p>
        </w:tc>
        <w:tc>
          <w:tcPr>
            <w:tcW w:w="1134" w:type="dxa"/>
            <w:vAlign w:val="center"/>
          </w:tcPr>
          <w:p>
            <w:pPr>
              <w:pStyle w:val="12"/>
            </w:pPr>
            <w:r>
              <w:t>10.15</w:t>
            </w:r>
          </w:p>
        </w:tc>
        <w:tc>
          <w:tcPr>
            <w:tcW w:w="1134" w:type="dxa"/>
            <w:vAlign w:val="center"/>
          </w:tcPr>
          <w:p>
            <w:pPr>
              <w:pStyle w:val="12"/>
            </w:pPr>
            <w:r>
              <w:t>10.15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10.15</w:t>
            </w:r>
          </w:p>
        </w:tc>
        <w:tc>
          <w:tcPr>
            <w:tcW w:w="1134" w:type="dxa"/>
            <w:vAlign w:val="center"/>
          </w:tcPr>
          <w:p>
            <w:pPr>
              <w:pStyle w:val="12"/>
            </w:pPr>
            <w:r>
              <w:t>10.15</w:t>
            </w:r>
          </w:p>
        </w:tc>
        <w:tc>
          <w:tcPr>
            <w:tcW w:w="1134" w:type="dxa"/>
            <w:vAlign w:val="center"/>
          </w:tcPr>
          <w:p>
            <w:pPr>
              <w:pStyle w:val="12"/>
            </w:pPr>
            <w:r>
              <w:t>10.15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10.15</w:t>
            </w:r>
          </w:p>
        </w:tc>
        <w:tc>
          <w:tcPr>
            <w:tcW w:w="1134" w:type="dxa"/>
            <w:vAlign w:val="center"/>
          </w:tcPr>
          <w:p>
            <w:pPr>
              <w:pStyle w:val="12"/>
            </w:pPr>
            <w:r>
              <w:t>10.15</w:t>
            </w:r>
          </w:p>
        </w:tc>
        <w:tc>
          <w:tcPr>
            <w:tcW w:w="1134" w:type="dxa"/>
            <w:vAlign w:val="center"/>
          </w:tcPr>
          <w:p>
            <w:pPr>
              <w:pStyle w:val="12"/>
            </w:pPr>
            <w:r>
              <w:t>10.15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3.99</w:t>
            </w:r>
          </w:p>
        </w:tc>
        <w:tc>
          <w:tcPr>
            <w:tcW w:w="1134" w:type="dxa"/>
            <w:vAlign w:val="center"/>
          </w:tcPr>
          <w:p>
            <w:pPr>
              <w:pStyle w:val="12"/>
            </w:pPr>
            <w:r>
              <w:t>3.99</w:t>
            </w:r>
          </w:p>
        </w:tc>
        <w:tc>
          <w:tcPr>
            <w:tcW w:w="1134" w:type="dxa"/>
            <w:vAlign w:val="center"/>
          </w:tcPr>
          <w:p>
            <w:pPr>
              <w:pStyle w:val="12"/>
            </w:pPr>
            <w:r>
              <w:t>3.99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3.99</w:t>
            </w:r>
          </w:p>
        </w:tc>
        <w:tc>
          <w:tcPr>
            <w:tcW w:w="1134" w:type="dxa"/>
            <w:vAlign w:val="center"/>
          </w:tcPr>
          <w:p>
            <w:pPr>
              <w:pStyle w:val="12"/>
            </w:pPr>
            <w:r>
              <w:t>3.99</w:t>
            </w:r>
          </w:p>
        </w:tc>
        <w:tc>
          <w:tcPr>
            <w:tcW w:w="1134" w:type="dxa"/>
            <w:vAlign w:val="center"/>
          </w:tcPr>
          <w:p>
            <w:pPr>
              <w:pStyle w:val="12"/>
            </w:pPr>
            <w:r>
              <w:t>3.99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3.99</w:t>
            </w:r>
          </w:p>
        </w:tc>
        <w:tc>
          <w:tcPr>
            <w:tcW w:w="1134" w:type="dxa"/>
            <w:vAlign w:val="center"/>
          </w:tcPr>
          <w:p>
            <w:pPr>
              <w:pStyle w:val="12"/>
            </w:pPr>
            <w:r>
              <w:t>3.99</w:t>
            </w:r>
          </w:p>
        </w:tc>
        <w:tc>
          <w:tcPr>
            <w:tcW w:w="1134" w:type="dxa"/>
            <w:vAlign w:val="center"/>
          </w:tcPr>
          <w:p>
            <w:pPr>
              <w:pStyle w:val="12"/>
            </w:pPr>
            <w:r>
              <w:t>3.99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6.15</w:t>
            </w:r>
          </w:p>
        </w:tc>
        <w:tc>
          <w:tcPr>
            <w:tcW w:w="1134" w:type="dxa"/>
            <w:vAlign w:val="center"/>
          </w:tcPr>
          <w:p>
            <w:pPr>
              <w:pStyle w:val="12"/>
            </w:pPr>
            <w:r>
              <w:t>6.15</w:t>
            </w:r>
          </w:p>
        </w:tc>
        <w:tc>
          <w:tcPr>
            <w:tcW w:w="1134" w:type="dxa"/>
            <w:vAlign w:val="center"/>
          </w:tcPr>
          <w:p>
            <w:pPr>
              <w:pStyle w:val="12"/>
            </w:pPr>
            <w:r>
              <w:t>6.15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6.15</w:t>
            </w:r>
          </w:p>
        </w:tc>
        <w:tc>
          <w:tcPr>
            <w:tcW w:w="1134" w:type="dxa"/>
            <w:vAlign w:val="center"/>
          </w:tcPr>
          <w:p>
            <w:pPr>
              <w:pStyle w:val="12"/>
            </w:pPr>
            <w:r>
              <w:t>6.15</w:t>
            </w:r>
          </w:p>
        </w:tc>
        <w:tc>
          <w:tcPr>
            <w:tcW w:w="1134" w:type="dxa"/>
            <w:vAlign w:val="center"/>
          </w:tcPr>
          <w:p>
            <w:pPr>
              <w:pStyle w:val="12"/>
            </w:pPr>
            <w:r>
              <w:t>6.15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6.15</w:t>
            </w:r>
          </w:p>
        </w:tc>
        <w:tc>
          <w:tcPr>
            <w:tcW w:w="1134" w:type="dxa"/>
            <w:vAlign w:val="center"/>
          </w:tcPr>
          <w:p>
            <w:pPr>
              <w:pStyle w:val="12"/>
            </w:pPr>
            <w:r>
              <w:t>6.15</w:t>
            </w:r>
          </w:p>
        </w:tc>
        <w:tc>
          <w:tcPr>
            <w:tcW w:w="1134" w:type="dxa"/>
            <w:vAlign w:val="center"/>
          </w:tcPr>
          <w:p>
            <w:pPr>
              <w:pStyle w:val="12"/>
            </w:pPr>
            <w:r>
              <w:t>6.15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224中共保定市满城区委网络安全和信息化委员会办公室</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105.72</w:t>
            </w:r>
          </w:p>
        </w:tc>
        <w:tc>
          <w:tcPr>
            <w:tcW w:w="1361" w:type="dxa"/>
            <w:vAlign w:val="center"/>
          </w:tcPr>
          <w:p>
            <w:pPr>
              <w:pStyle w:val="16"/>
            </w:pPr>
            <w:r>
              <w:t>97.72</w:t>
            </w:r>
          </w:p>
        </w:tc>
        <w:tc>
          <w:tcPr>
            <w:tcW w:w="1361" w:type="dxa"/>
            <w:vAlign w:val="center"/>
          </w:tcPr>
          <w:p>
            <w:pPr>
              <w:pStyle w:val="16"/>
            </w:pPr>
            <w:r>
              <w:t>8.00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85.42</w:t>
            </w:r>
          </w:p>
        </w:tc>
        <w:tc>
          <w:tcPr>
            <w:tcW w:w="1361" w:type="dxa"/>
            <w:vAlign w:val="center"/>
          </w:tcPr>
          <w:p>
            <w:pPr>
              <w:pStyle w:val="12"/>
            </w:pPr>
            <w:r>
              <w:t>77.42</w:t>
            </w: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20137</w:t>
            </w:r>
          </w:p>
        </w:tc>
        <w:tc>
          <w:tcPr>
            <w:tcW w:w="4535" w:type="dxa"/>
            <w:vAlign w:val="center"/>
          </w:tcPr>
          <w:p>
            <w:pPr>
              <w:pStyle w:val="13"/>
            </w:pPr>
            <w:r>
              <w:t>网信事务</w:t>
            </w:r>
          </w:p>
        </w:tc>
        <w:tc>
          <w:tcPr>
            <w:tcW w:w="1361" w:type="dxa"/>
            <w:vAlign w:val="center"/>
          </w:tcPr>
          <w:p>
            <w:pPr>
              <w:pStyle w:val="12"/>
            </w:pPr>
            <w:r>
              <w:t>85.42</w:t>
            </w:r>
          </w:p>
        </w:tc>
        <w:tc>
          <w:tcPr>
            <w:tcW w:w="1361" w:type="dxa"/>
            <w:vAlign w:val="center"/>
          </w:tcPr>
          <w:p>
            <w:pPr>
              <w:pStyle w:val="12"/>
            </w:pPr>
            <w:r>
              <w:t>77.42</w:t>
            </w: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2013701</w:t>
            </w:r>
          </w:p>
        </w:tc>
        <w:tc>
          <w:tcPr>
            <w:tcW w:w="4535" w:type="dxa"/>
            <w:vAlign w:val="center"/>
          </w:tcPr>
          <w:p>
            <w:pPr>
              <w:pStyle w:val="13"/>
            </w:pPr>
            <w:r>
              <w:t>行政运行</w:t>
            </w:r>
          </w:p>
        </w:tc>
        <w:tc>
          <w:tcPr>
            <w:tcW w:w="1361" w:type="dxa"/>
            <w:vAlign w:val="center"/>
          </w:tcPr>
          <w:p>
            <w:pPr>
              <w:pStyle w:val="12"/>
            </w:pPr>
            <w:r>
              <w:t>77.42</w:t>
            </w:r>
          </w:p>
        </w:tc>
        <w:tc>
          <w:tcPr>
            <w:tcW w:w="1361" w:type="dxa"/>
            <w:vAlign w:val="center"/>
          </w:tcPr>
          <w:p>
            <w:pPr>
              <w:pStyle w:val="12"/>
            </w:pPr>
            <w:r>
              <w:t>77.42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2013704</w:t>
            </w:r>
          </w:p>
        </w:tc>
        <w:tc>
          <w:tcPr>
            <w:tcW w:w="4535" w:type="dxa"/>
            <w:vAlign w:val="center"/>
          </w:tcPr>
          <w:p>
            <w:pPr>
              <w:pStyle w:val="13"/>
            </w:pPr>
            <w:r>
              <w:t>信息安全事务</w:t>
            </w: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10.15</w:t>
            </w:r>
          </w:p>
        </w:tc>
        <w:tc>
          <w:tcPr>
            <w:tcW w:w="1361" w:type="dxa"/>
            <w:vAlign w:val="center"/>
          </w:tcPr>
          <w:p>
            <w:pPr>
              <w:pStyle w:val="12"/>
            </w:pPr>
            <w:r>
              <w:t>10.15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10.15</w:t>
            </w:r>
          </w:p>
        </w:tc>
        <w:tc>
          <w:tcPr>
            <w:tcW w:w="1361" w:type="dxa"/>
            <w:vAlign w:val="center"/>
          </w:tcPr>
          <w:p>
            <w:pPr>
              <w:pStyle w:val="12"/>
            </w:pPr>
            <w:r>
              <w:t>10.15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10.15</w:t>
            </w:r>
          </w:p>
        </w:tc>
        <w:tc>
          <w:tcPr>
            <w:tcW w:w="1361" w:type="dxa"/>
            <w:vAlign w:val="center"/>
          </w:tcPr>
          <w:p>
            <w:pPr>
              <w:pStyle w:val="12"/>
            </w:pPr>
            <w:r>
              <w:t>10.15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3.99</w:t>
            </w:r>
          </w:p>
        </w:tc>
        <w:tc>
          <w:tcPr>
            <w:tcW w:w="1361" w:type="dxa"/>
            <w:vAlign w:val="center"/>
          </w:tcPr>
          <w:p>
            <w:pPr>
              <w:pStyle w:val="12"/>
            </w:pPr>
            <w:r>
              <w:t>3.99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3.99</w:t>
            </w:r>
          </w:p>
        </w:tc>
        <w:tc>
          <w:tcPr>
            <w:tcW w:w="1361" w:type="dxa"/>
            <w:vAlign w:val="center"/>
          </w:tcPr>
          <w:p>
            <w:pPr>
              <w:pStyle w:val="12"/>
            </w:pPr>
            <w:r>
              <w:t>3.99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3.99</w:t>
            </w:r>
          </w:p>
        </w:tc>
        <w:tc>
          <w:tcPr>
            <w:tcW w:w="1361" w:type="dxa"/>
            <w:vAlign w:val="center"/>
          </w:tcPr>
          <w:p>
            <w:pPr>
              <w:pStyle w:val="12"/>
            </w:pPr>
            <w:r>
              <w:t>3.99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6.15</w:t>
            </w:r>
          </w:p>
        </w:tc>
        <w:tc>
          <w:tcPr>
            <w:tcW w:w="1361" w:type="dxa"/>
            <w:vAlign w:val="center"/>
          </w:tcPr>
          <w:p>
            <w:pPr>
              <w:pStyle w:val="12"/>
            </w:pPr>
            <w:r>
              <w:t>6.15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6.15</w:t>
            </w:r>
          </w:p>
        </w:tc>
        <w:tc>
          <w:tcPr>
            <w:tcW w:w="1361" w:type="dxa"/>
            <w:vAlign w:val="center"/>
          </w:tcPr>
          <w:p>
            <w:pPr>
              <w:pStyle w:val="12"/>
            </w:pPr>
            <w:r>
              <w:t>6.15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6.15</w:t>
            </w:r>
          </w:p>
        </w:tc>
        <w:tc>
          <w:tcPr>
            <w:tcW w:w="1361" w:type="dxa"/>
            <w:vAlign w:val="center"/>
          </w:tcPr>
          <w:p>
            <w:pPr>
              <w:pStyle w:val="12"/>
            </w:pPr>
            <w:r>
              <w:t>6.15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224中共保定市满城区委网络安全和信息化委员会办公室</w:t>
            </w:r>
          </w:p>
        </w:tc>
        <w:tc>
          <w:tcPr>
            <w:tcW w:w="3402" w:type="dxa"/>
            <w:tcBorders>
              <w:top w:val="single" w:color="FFFFFF" w:sz="6" w:space="0"/>
              <w:left w:val="single" w:color="FFFFFF" w:sz="6" w:space="0"/>
              <w:right w:val="single" w:color="FFFFFF" w:sz="6" w:space="0"/>
            </w:tcBorders>
            <w:vAlign w:val="center"/>
          </w:tcPr>
          <w:p>
            <w:pPr>
              <w:pStyle w:val="9"/>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105.72</w:t>
            </w:r>
          </w:p>
        </w:tc>
        <w:tc>
          <w:tcPr>
            <w:tcW w:w="3402" w:type="dxa"/>
            <w:vAlign w:val="center"/>
          </w:tcPr>
          <w:p>
            <w:pPr>
              <w:pStyle w:val="13"/>
            </w:pPr>
            <w:r>
              <w:t>一、一般公共服务支出</w:t>
            </w:r>
          </w:p>
        </w:tc>
        <w:tc>
          <w:tcPr>
            <w:tcW w:w="1474" w:type="dxa"/>
            <w:vAlign w:val="center"/>
          </w:tcPr>
          <w:p>
            <w:pPr>
              <w:pStyle w:val="12"/>
            </w:pPr>
            <w:r>
              <w:t>85.42</w:t>
            </w:r>
          </w:p>
        </w:tc>
        <w:tc>
          <w:tcPr>
            <w:tcW w:w="1474" w:type="dxa"/>
            <w:vAlign w:val="center"/>
          </w:tcPr>
          <w:p>
            <w:pPr>
              <w:pStyle w:val="12"/>
            </w:pPr>
            <w:r>
              <w:t>85.42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10.15</w:t>
            </w:r>
          </w:p>
        </w:tc>
        <w:tc>
          <w:tcPr>
            <w:tcW w:w="1474" w:type="dxa"/>
            <w:vAlign w:val="center"/>
          </w:tcPr>
          <w:p>
            <w:pPr>
              <w:pStyle w:val="12"/>
            </w:pPr>
            <w:r>
              <w:t>10.15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3.99</w:t>
            </w:r>
          </w:p>
        </w:tc>
        <w:tc>
          <w:tcPr>
            <w:tcW w:w="1474" w:type="dxa"/>
            <w:vAlign w:val="center"/>
          </w:tcPr>
          <w:p>
            <w:pPr>
              <w:pStyle w:val="12"/>
            </w:pPr>
            <w:r>
              <w:t>3.99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6.15</w:t>
            </w:r>
          </w:p>
        </w:tc>
        <w:tc>
          <w:tcPr>
            <w:tcW w:w="1474" w:type="dxa"/>
            <w:vAlign w:val="center"/>
          </w:tcPr>
          <w:p>
            <w:pPr>
              <w:pStyle w:val="12"/>
            </w:pPr>
            <w:r>
              <w:t>6.15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三十一、往来性支出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105.72</w:t>
            </w:r>
          </w:p>
        </w:tc>
        <w:tc>
          <w:tcPr>
            <w:tcW w:w="3402" w:type="dxa"/>
            <w:vAlign w:val="center"/>
          </w:tcPr>
          <w:p>
            <w:pPr>
              <w:pStyle w:val="15"/>
            </w:pPr>
            <w:r>
              <w:t>本年支出合计</w:t>
            </w:r>
          </w:p>
        </w:tc>
        <w:tc>
          <w:tcPr>
            <w:tcW w:w="1474" w:type="dxa"/>
            <w:vAlign w:val="center"/>
          </w:tcPr>
          <w:p>
            <w:pPr>
              <w:pStyle w:val="16"/>
            </w:pPr>
            <w:r>
              <w:t>105.72</w:t>
            </w:r>
          </w:p>
        </w:tc>
        <w:tc>
          <w:tcPr>
            <w:tcW w:w="1474" w:type="dxa"/>
            <w:vAlign w:val="center"/>
          </w:tcPr>
          <w:p>
            <w:pPr>
              <w:pStyle w:val="16"/>
            </w:pPr>
            <w:r>
              <w:t>105.72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105.72</w:t>
            </w:r>
          </w:p>
        </w:tc>
        <w:tc>
          <w:tcPr>
            <w:tcW w:w="3402" w:type="dxa"/>
            <w:vAlign w:val="center"/>
          </w:tcPr>
          <w:p>
            <w:pPr>
              <w:pStyle w:val="15"/>
            </w:pPr>
            <w:r>
              <w:t>支出总计</w:t>
            </w:r>
          </w:p>
        </w:tc>
        <w:tc>
          <w:tcPr>
            <w:tcW w:w="1474" w:type="dxa"/>
            <w:vAlign w:val="center"/>
          </w:tcPr>
          <w:p>
            <w:pPr>
              <w:pStyle w:val="16"/>
            </w:pPr>
            <w:r>
              <w:t>105.72</w:t>
            </w:r>
          </w:p>
        </w:tc>
        <w:tc>
          <w:tcPr>
            <w:tcW w:w="1474" w:type="dxa"/>
            <w:vAlign w:val="center"/>
          </w:tcPr>
          <w:p>
            <w:pPr>
              <w:pStyle w:val="16"/>
            </w:pPr>
            <w:r>
              <w:t>105.72</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224中共保定市满城区委网络安全和信息化委员会办公室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105.72</w:t>
            </w:r>
          </w:p>
        </w:tc>
        <w:tc>
          <w:tcPr>
            <w:tcW w:w="2551" w:type="dxa"/>
            <w:vAlign w:val="center"/>
          </w:tcPr>
          <w:p>
            <w:pPr>
              <w:pStyle w:val="16"/>
            </w:pPr>
            <w:r>
              <w:t>97.72</w:t>
            </w:r>
          </w:p>
        </w:tc>
        <w:tc>
          <w:tcPr>
            <w:tcW w:w="2551" w:type="dxa"/>
            <w:vAlign w:val="center"/>
          </w:tcPr>
          <w:p>
            <w:pPr>
              <w:pStyle w:val="16"/>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85.42</w:t>
            </w:r>
          </w:p>
        </w:tc>
        <w:tc>
          <w:tcPr>
            <w:tcW w:w="2551" w:type="dxa"/>
            <w:vAlign w:val="center"/>
          </w:tcPr>
          <w:p>
            <w:pPr>
              <w:pStyle w:val="12"/>
            </w:pPr>
            <w:r>
              <w:t>77.42</w:t>
            </w:r>
          </w:p>
        </w:tc>
        <w:tc>
          <w:tcPr>
            <w:tcW w:w="2551"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20137</w:t>
            </w:r>
          </w:p>
        </w:tc>
        <w:tc>
          <w:tcPr>
            <w:tcW w:w="4535" w:type="dxa"/>
            <w:vAlign w:val="center"/>
          </w:tcPr>
          <w:p>
            <w:pPr>
              <w:pStyle w:val="13"/>
            </w:pPr>
            <w:r>
              <w:t>网信事务</w:t>
            </w:r>
          </w:p>
        </w:tc>
        <w:tc>
          <w:tcPr>
            <w:tcW w:w="2551" w:type="dxa"/>
            <w:vAlign w:val="center"/>
          </w:tcPr>
          <w:p>
            <w:pPr>
              <w:pStyle w:val="12"/>
            </w:pPr>
            <w:r>
              <w:t>85.42</w:t>
            </w:r>
          </w:p>
        </w:tc>
        <w:tc>
          <w:tcPr>
            <w:tcW w:w="2551" w:type="dxa"/>
            <w:vAlign w:val="center"/>
          </w:tcPr>
          <w:p>
            <w:pPr>
              <w:pStyle w:val="12"/>
            </w:pPr>
            <w:r>
              <w:t>77.42</w:t>
            </w:r>
          </w:p>
        </w:tc>
        <w:tc>
          <w:tcPr>
            <w:tcW w:w="2551"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2013701</w:t>
            </w:r>
          </w:p>
        </w:tc>
        <w:tc>
          <w:tcPr>
            <w:tcW w:w="4535" w:type="dxa"/>
            <w:vAlign w:val="center"/>
          </w:tcPr>
          <w:p>
            <w:pPr>
              <w:pStyle w:val="13"/>
            </w:pPr>
            <w:r>
              <w:t>行政运行</w:t>
            </w:r>
          </w:p>
        </w:tc>
        <w:tc>
          <w:tcPr>
            <w:tcW w:w="2551" w:type="dxa"/>
            <w:vAlign w:val="center"/>
          </w:tcPr>
          <w:p>
            <w:pPr>
              <w:pStyle w:val="12"/>
            </w:pPr>
            <w:r>
              <w:t>77.42</w:t>
            </w:r>
          </w:p>
        </w:tc>
        <w:tc>
          <w:tcPr>
            <w:tcW w:w="2551" w:type="dxa"/>
            <w:vAlign w:val="center"/>
          </w:tcPr>
          <w:p>
            <w:pPr>
              <w:pStyle w:val="12"/>
            </w:pPr>
            <w:r>
              <w:t>77.42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2013704</w:t>
            </w:r>
          </w:p>
        </w:tc>
        <w:tc>
          <w:tcPr>
            <w:tcW w:w="4535" w:type="dxa"/>
            <w:vAlign w:val="center"/>
          </w:tcPr>
          <w:p>
            <w:pPr>
              <w:pStyle w:val="13"/>
            </w:pPr>
            <w:r>
              <w:t>信息安全事务</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10.15</w:t>
            </w:r>
          </w:p>
        </w:tc>
        <w:tc>
          <w:tcPr>
            <w:tcW w:w="2551" w:type="dxa"/>
            <w:vAlign w:val="center"/>
          </w:tcPr>
          <w:p>
            <w:pPr>
              <w:pStyle w:val="12"/>
            </w:pPr>
            <w:r>
              <w:t>10.15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10.15</w:t>
            </w:r>
          </w:p>
        </w:tc>
        <w:tc>
          <w:tcPr>
            <w:tcW w:w="2551" w:type="dxa"/>
            <w:vAlign w:val="center"/>
          </w:tcPr>
          <w:p>
            <w:pPr>
              <w:pStyle w:val="12"/>
            </w:pPr>
            <w:r>
              <w:t>10.15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10.15</w:t>
            </w:r>
          </w:p>
        </w:tc>
        <w:tc>
          <w:tcPr>
            <w:tcW w:w="2551" w:type="dxa"/>
            <w:vAlign w:val="center"/>
          </w:tcPr>
          <w:p>
            <w:pPr>
              <w:pStyle w:val="12"/>
            </w:pPr>
            <w:r>
              <w:t>10.15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3.99</w:t>
            </w:r>
          </w:p>
        </w:tc>
        <w:tc>
          <w:tcPr>
            <w:tcW w:w="2551" w:type="dxa"/>
            <w:vAlign w:val="center"/>
          </w:tcPr>
          <w:p>
            <w:pPr>
              <w:pStyle w:val="12"/>
            </w:pPr>
            <w:r>
              <w:t>3.99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3.99</w:t>
            </w:r>
          </w:p>
        </w:tc>
        <w:tc>
          <w:tcPr>
            <w:tcW w:w="2551" w:type="dxa"/>
            <w:vAlign w:val="center"/>
          </w:tcPr>
          <w:p>
            <w:pPr>
              <w:pStyle w:val="12"/>
            </w:pPr>
            <w:r>
              <w:t>3.99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3.99</w:t>
            </w:r>
          </w:p>
        </w:tc>
        <w:tc>
          <w:tcPr>
            <w:tcW w:w="2551" w:type="dxa"/>
            <w:vAlign w:val="center"/>
          </w:tcPr>
          <w:p>
            <w:pPr>
              <w:pStyle w:val="12"/>
            </w:pPr>
            <w:r>
              <w:t>3.99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6.15</w:t>
            </w:r>
          </w:p>
        </w:tc>
        <w:tc>
          <w:tcPr>
            <w:tcW w:w="2551" w:type="dxa"/>
            <w:vAlign w:val="center"/>
          </w:tcPr>
          <w:p>
            <w:pPr>
              <w:pStyle w:val="12"/>
            </w:pPr>
            <w:r>
              <w:t>6.15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6.15</w:t>
            </w:r>
          </w:p>
        </w:tc>
        <w:tc>
          <w:tcPr>
            <w:tcW w:w="2551" w:type="dxa"/>
            <w:vAlign w:val="center"/>
          </w:tcPr>
          <w:p>
            <w:pPr>
              <w:pStyle w:val="12"/>
            </w:pPr>
            <w:r>
              <w:t>6.15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6.15</w:t>
            </w:r>
          </w:p>
        </w:tc>
        <w:tc>
          <w:tcPr>
            <w:tcW w:w="2551" w:type="dxa"/>
            <w:vAlign w:val="center"/>
          </w:tcPr>
          <w:p>
            <w:pPr>
              <w:pStyle w:val="12"/>
            </w:pPr>
            <w:r>
              <w:t>6.15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224中共保定市满城区委网络安全和信息化委员会办公室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97.72</w:t>
            </w:r>
          </w:p>
        </w:tc>
        <w:tc>
          <w:tcPr>
            <w:tcW w:w="2551" w:type="dxa"/>
            <w:vAlign w:val="center"/>
          </w:tcPr>
          <w:p>
            <w:pPr>
              <w:pStyle w:val="16"/>
            </w:pPr>
            <w:r>
              <w:t>86.91</w:t>
            </w:r>
          </w:p>
        </w:tc>
        <w:tc>
          <w:tcPr>
            <w:tcW w:w="2551" w:type="dxa"/>
            <w:vAlign w:val="center"/>
          </w:tcPr>
          <w:p>
            <w:pPr>
              <w:pStyle w:val="16"/>
            </w:pPr>
            <w:r>
              <w:t>10.81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84.55</w:t>
            </w:r>
          </w:p>
        </w:tc>
        <w:tc>
          <w:tcPr>
            <w:tcW w:w="2551" w:type="dxa"/>
            <w:vAlign w:val="center"/>
          </w:tcPr>
          <w:p>
            <w:pPr>
              <w:pStyle w:val="12"/>
            </w:pPr>
            <w:r>
              <w:t>84.55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26.43</w:t>
            </w:r>
          </w:p>
        </w:tc>
        <w:tc>
          <w:tcPr>
            <w:tcW w:w="2551" w:type="dxa"/>
            <w:vAlign w:val="center"/>
          </w:tcPr>
          <w:p>
            <w:pPr>
              <w:pStyle w:val="12"/>
            </w:pPr>
            <w:r>
              <w:t>26.43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25.89</w:t>
            </w:r>
          </w:p>
        </w:tc>
        <w:tc>
          <w:tcPr>
            <w:tcW w:w="2551" w:type="dxa"/>
            <w:vAlign w:val="center"/>
          </w:tcPr>
          <w:p>
            <w:pPr>
              <w:pStyle w:val="12"/>
            </w:pPr>
            <w:r>
              <w:t>25.89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11.93</w:t>
            </w:r>
          </w:p>
        </w:tc>
        <w:tc>
          <w:tcPr>
            <w:tcW w:w="2551" w:type="dxa"/>
            <w:vAlign w:val="center"/>
          </w:tcPr>
          <w:p>
            <w:pPr>
              <w:pStyle w:val="12"/>
            </w:pPr>
            <w:r>
              <w:t>11.93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9.85</w:t>
            </w:r>
          </w:p>
        </w:tc>
        <w:tc>
          <w:tcPr>
            <w:tcW w:w="2551" w:type="dxa"/>
            <w:vAlign w:val="center"/>
          </w:tcPr>
          <w:p>
            <w:pPr>
              <w:pStyle w:val="12"/>
            </w:pPr>
            <w:r>
              <w:t>9.85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3.94</w:t>
            </w:r>
          </w:p>
        </w:tc>
        <w:tc>
          <w:tcPr>
            <w:tcW w:w="2551" w:type="dxa"/>
            <w:vAlign w:val="center"/>
          </w:tcPr>
          <w:p>
            <w:pPr>
              <w:pStyle w:val="12"/>
            </w:pPr>
            <w:r>
              <w:t>3.94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0.36</w:t>
            </w:r>
          </w:p>
        </w:tc>
        <w:tc>
          <w:tcPr>
            <w:tcW w:w="2551" w:type="dxa"/>
            <w:vAlign w:val="center"/>
          </w:tcPr>
          <w:p>
            <w:pPr>
              <w:pStyle w:val="12"/>
            </w:pPr>
            <w:r>
              <w:t>0.36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6.15</w:t>
            </w:r>
          </w:p>
        </w:tc>
        <w:tc>
          <w:tcPr>
            <w:tcW w:w="2551" w:type="dxa"/>
            <w:vAlign w:val="center"/>
          </w:tcPr>
          <w:p>
            <w:pPr>
              <w:pStyle w:val="12"/>
            </w:pPr>
            <w:r>
              <w:t>6.15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10.81</w:t>
            </w:r>
          </w:p>
        </w:tc>
        <w:tc>
          <w:tcPr>
            <w:tcW w:w="2551" w:type="dxa"/>
            <w:vAlign w:val="center"/>
          </w:tcPr>
          <w:p>
            <w:pPr>
              <w:pStyle w:val="12"/>
            </w:pPr>
          </w:p>
        </w:tc>
        <w:tc>
          <w:tcPr>
            <w:tcW w:w="2551" w:type="dxa"/>
            <w:vAlign w:val="center"/>
          </w:tcPr>
          <w:p>
            <w:pPr>
              <w:pStyle w:val="12"/>
            </w:pPr>
            <w:r>
              <w:t>10.81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0.56</w:t>
            </w:r>
          </w:p>
        </w:tc>
        <w:tc>
          <w:tcPr>
            <w:tcW w:w="2551" w:type="dxa"/>
            <w:vAlign w:val="center"/>
          </w:tcPr>
          <w:p>
            <w:pPr>
              <w:pStyle w:val="12"/>
            </w:pPr>
          </w:p>
        </w:tc>
        <w:tc>
          <w:tcPr>
            <w:tcW w:w="2551" w:type="dxa"/>
            <w:vAlign w:val="center"/>
          </w:tcPr>
          <w:p>
            <w:pPr>
              <w:pStyle w:val="12"/>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3.56</w:t>
            </w:r>
          </w:p>
        </w:tc>
        <w:tc>
          <w:tcPr>
            <w:tcW w:w="2551" w:type="dxa"/>
            <w:vAlign w:val="center"/>
          </w:tcPr>
          <w:p>
            <w:pPr>
              <w:pStyle w:val="12"/>
            </w:pPr>
          </w:p>
        </w:tc>
        <w:tc>
          <w:tcPr>
            <w:tcW w:w="2551" w:type="dxa"/>
            <w:vAlign w:val="center"/>
          </w:tcPr>
          <w:p>
            <w:pPr>
              <w:pStyle w:val="12"/>
            </w:pPr>
            <w:r>
              <w:t>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0.08</w:t>
            </w:r>
          </w:p>
        </w:tc>
        <w:tc>
          <w:tcPr>
            <w:tcW w:w="2551" w:type="dxa"/>
            <w:vAlign w:val="center"/>
          </w:tcPr>
          <w:p>
            <w:pPr>
              <w:pStyle w:val="12"/>
            </w:pPr>
          </w:p>
        </w:tc>
        <w:tc>
          <w:tcPr>
            <w:tcW w:w="2551" w:type="dxa"/>
            <w:vAlign w:val="center"/>
          </w:tcPr>
          <w:p>
            <w:pPr>
              <w:pStyle w:val="12"/>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0.04</w:t>
            </w:r>
          </w:p>
        </w:tc>
        <w:tc>
          <w:tcPr>
            <w:tcW w:w="2551" w:type="dxa"/>
            <w:vAlign w:val="center"/>
          </w:tcPr>
          <w:p>
            <w:pPr>
              <w:pStyle w:val="12"/>
            </w:pPr>
          </w:p>
        </w:tc>
        <w:tc>
          <w:tcPr>
            <w:tcW w:w="2551" w:type="dxa"/>
            <w:vAlign w:val="center"/>
          </w:tcPr>
          <w:p>
            <w:pPr>
              <w:pStyle w:val="12"/>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0.23</w:t>
            </w:r>
          </w:p>
        </w:tc>
        <w:tc>
          <w:tcPr>
            <w:tcW w:w="2551" w:type="dxa"/>
            <w:vAlign w:val="center"/>
          </w:tcPr>
          <w:p>
            <w:pPr>
              <w:pStyle w:val="12"/>
            </w:pPr>
          </w:p>
        </w:tc>
        <w:tc>
          <w:tcPr>
            <w:tcW w:w="2551" w:type="dxa"/>
            <w:vAlign w:val="center"/>
          </w:tcPr>
          <w:p>
            <w:pPr>
              <w:pStyle w:val="12"/>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0.32</w:t>
            </w:r>
          </w:p>
        </w:tc>
        <w:tc>
          <w:tcPr>
            <w:tcW w:w="2551" w:type="dxa"/>
            <w:vAlign w:val="center"/>
          </w:tcPr>
          <w:p>
            <w:pPr>
              <w:pStyle w:val="12"/>
            </w:pPr>
          </w:p>
        </w:tc>
        <w:tc>
          <w:tcPr>
            <w:tcW w:w="2551" w:type="dxa"/>
            <w:vAlign w:val="center"/>
          </w:tcPr>
          <w:p>
            <w:pPr>
              <w:pStyle w:val="12"/>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0.26</w:t>
            </w:r>
          </w:p>
        </w:tc>
        <w:tc>
          <w:tcPr>
            <w:tcW w:w="2551" w:type="dxa"/>
            <w:vAlign w:val="center"/>
          </w:tcPr>
          <w:p>
            <w:pPr>
              <w:pStyle w:val="12"/>
            </w:pPr>
          </w:p>
        </w:tc>
        <w:tc>
          <w:tcPr>
            <w:tcW w:w="2551" w:type="dxa"/>
            <w:vAlign w:val="center"/>
          </w:tcPr>
          <w:p>
            <w:pPr>
              <w:pStyle w:val="12"/>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4.26</w:t>
            </w:r>
          </w:p>
        </w:tc>
        <w:tc>
          <w:tcPr>
            <w:tcW w:w="2551" w:type="dxa"/>
            <w:vAlign w:val="center"/>
          </w:tcPr>
          <w:p>
            <w:pPr>
              <w:pStyle w:val="12"/>
            </w:pPr>
          </w:p>
        </w:tc>
        <w:tc>
          <w:tcPr>
            <w:tcW w:w="2551" w:type="dxa"/>
            <w:vAlign w:val="center"/>
          </w:tcPr>
          <w:p>
            <w:pPr>
              <w:pStyle w:val="12"/>
            </w:pPr>
            <w:r>
              <w:t>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2.36</w:t>
            </w:r>
          </w:p>
        </w:tc>
        <w:tc>
          <w:tcPr>
            <w:tcW w:w="2551" w:type="dxa"/>
            <w:vAlign w:val="center"/>
          </w:tcPr>
          <w:p>
            <w:pPr>
              <w:pStyle w:val="12"/>
            </w:pPr>
            <w:r>
              <w:t>2.36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2.36</w:t>
            </w:r>
          </w:p>
        </w:tc>
        <w:tc>
          <w:tcPr>
            <w:tcW w:w="2551" w:type="dxa"/>
            <w:vAlign w:val="center"/>
          </w:tcPr>
          <w:p>
            <w:pPr>
              <w:pStyle w:val="12"/>
            </w:pPr>
            <w:r>
              <w:t>2.36</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224中共保定市满城区委网络安全和信息化委员会办公室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224中共保定市满城区委网络安全和信息化委员会办公室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224中共保定市满城区委网络安全和信息化委员会办公室</w:t>
            </w:r>
          </w:p>
        </w:tc>
        <w:tc>
          <w:tcPr>
            <w:tcW w:w="2381" w:type="dxa"/>
            <w:tcBorders>
              <w:top w:val="single" w:color="FFFFFF" w:sz="6" w:space="0"/>
              <w:left w:val="single" w:color="FFFFFF" w:sz="6" w:space="0"/>
              <w:right w:val="single" w:color="FFFFFF" w:sz="6" w:space="0"/>
            </w:tcBorders>
            <w:vAlign w:val="center"/>
          </w:tcPr>
          <w:p>
            <w:pPr>
              <w:pStyle w:val="9"/>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lang w:eastAsia="zh-CN"/>
              </w:rPr>
            </w:pPr>
            <w:r>
              <w:rPr>
                <w:rFonts w:hint="eastAsia"/>
                <w:lang w:eastAsia="zh-CN"/>
              </w:rPr>
              <w:t>1</w:t>
            </w:r>
          </w:p>
        </w:tc>
        <w:tc>
          <w:tcPr>
            <w:tcW w:w="3798" w:type="dxa"/>
            <w:vAlign w:val="center"/>
          </w:tcPr>
          <w:p>
            <w:pPr>
              <w:pStyle w:val="13"/>
              <w:jc w:val="center"/>
              <w:rPr>
                <w:lang w:eastAsia="zh-CN"/>
              </w:rPr>
            </w:pPr>
            <w:r>
              <w:rPr>
                <w:rFonts w:hint="eastAsia"/>
                <w:b/>
                <w:bCs/>
                <w:lang w:eastAsia="zh-CN"/>
              </w:rPr>
              <w:t>合计</w:t>
            </w:r>
          </w:p>
        </w:tc>
        <w:tc>
          <w:tcPr>
            <w:tcW w:w="2381" w:type="dxa"/>
            <w:vAlign w:val="center"/>
          </w:tcPr>
          <w:p>
            <w:pPr>
              <w:pStyle w:val="12"/>
              <w:rPr>
                <w:lang w:eastAsia="zh-CN"/>
              </w:rPr>
            </w:pPr>
            <w:r>
              <w:rPr>
                <w:rFonts w:hint="eastAsia"/>
                <w:lang w:eastAsia="zh-CN"/>
              </w:rPr>
              <w:t>1.73</w:t>
            </w:r>
          </w:p>
        </w:tc>
        <w:tc>
          <w:tcPr>
            <w:tcW w:w="2381" w:type="dxa"/>
            <w:vAlign w:val="center"/>
          </w:tcPr>
          <w:p>
            <w:pPr>
              <w:pStyle w:val="12"/>
              <w:rPr>
                <w:lang w:eastAsia="zh-CN"/>
              </w:rPr>
            </w:pPr>
            <w:r>
              <w:rPr>
                <w:rFonts w:hint="eastAsia"/>
                <w:lang w:eastAsia="zh-CN"/>
              </w:rPr>
              <w:t>1.73</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lang w:eastAsia="zh-CN"/>
              </w:rPr>
            </w:pPr>
            <w:r>
              <w:rPr>
                <w:rFonts w:hint="eastAsia"/>
                <w:lang w:eastAsia="zh-CN"/>
              </w:rPr>
              <w:t>2</w:t>
            </w:r>
          </w:p>
        </w:tc>
        <w:tc>
          <w:tcPr>
            <w:tcW w:w="3798" w:type="dxa"/>
            <w:vAlign w:val="center"/>
          </w:tcPr>
          <w:p>
            <w:pPr>
              <w:pStyle w:val="13"/>
              <w:rPr>
                <w:lang w:eastAsia="zh-CN"/>
              </w:rPr>
            </w:pPr>
            <w:r>
              <w:rPr>
                <w:rFonts w:hint="eastAsia"/>
                <w:lang w:eastAsia="zh-CN"/>
              </w:rP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lang w:eastAsia="zh-CN"/>
              </w:rPr>
            </w:pPr>
            <w:r>
              <w:rPr>
                <w:rFonts w:hint="eastAsia"/>
                <w:lang w:eastAsia="zh-CN"/>
              </w:rPr>
              <w:t>3</w:t>
            </w:r>
          </w:p>
        </w:tc>
        <w:tc>
          <w:tcPr>
            <w:tcW w:w="3798" w:type="dxa"/>
            <w:vAlign w:val="center"/>
          </w:tcPr>
          <w:p>
            <w:pPr>
              <w:pStyle w:val="13"/>
              <w:rPr>
                <w:lang w:eastAsia="zh-CN"/>
              </w:rPr>
            </w:pPr>
            <w:r>
              <w:rPr>
                <w:rFonts w:hint="eastAsia"/>
                <w:lang w:eastAsia="zh-CN"/>
              </w:rPr>
              <w:t>二、公务用车购置及运维费</w:t>
            </w:r>
          </w:p>
        </w:tc>
        <w:tc>
          <w:tcPr>
            <w:tcW w:w="2381" w:type="dxa"/>
            <w:vAlign w:val="center"/>
          </w:tcPr>
          <w:p>
            <w:pPr>
              <w:pStyle w:val="12"/>
              <w:rPr>
                <w:lang w:eastAsia="zh-CN"/>
              </w:rPr>
            </w:pPr>
            <w:r>
              <w:rPr>
                <w:rFonts w:hint="eastAsia"/>
                <w:lang w:eastAsia="zh-CN"/>
              </w:rPr>
              <w:t>1.50</w:t>
            </w:r>
          </w:p>
        </w:tc>
        <w:tc>
          <w:tcPr>
            <w:tcW w:w="2381" w:type="dxa"/>
            <w:vAlign w:val="center"/>
          </w:tcPr>
          <w:p>
            <w:pPr>
              <w:pStyle w:val="12"/>
              <w:rPr>
                <w:lang w:eastAsia="zh-CN"/>
              </w:rPr>
            </w:pPr>
            <w:r>
              <w:rPr>
                <w:rFonts w:hint="eastAsia"/>
                <w:lang w:eastAsia="zh-CN"/>
              </w:rPr>
              <w:t>1.50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lang w:eastAsia="zh-CN"/>
              </w:rPr>
            </w:pPr>
            <w:r>
              <w:rPr>
                <w:rFonts w:hint="eastAsia"/>
                <w:lang w:eastAsia="zh-CN"/>
              </w:rPr>
              <w:t>4</w:t>
            </w:r>
          </w:p>
        </w:tc>
        <w:tc>
          <w:tcPr>
            <w:tcW w:w="3798" w:type="dxa"/>
            <w:vAlign w:val="center"/>
          </w:tcPr>
          <w:p>
            <w:pPr>
              <w:pStyle w:val="13"/>
              <w:ind w:firstLine="420" w:firstLineChars="200"/>
              <w:rPr>
                <w:lang w:eastAsia="zh-CN"/>
              </w:rPr>
            </w:pPr>
            <w:r>
              <w:rPr>
                <w:rFonts w:hint="eastAsia"/>
                <w:lang w:eastAsia="zh-CN"/>
              </w:rPr>
              <w:t>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lang w:eastAsia="zh-CN"/>
              </w:rPr>
            </w:pPr>
            <w:r>
              <w:rPr>
                <w:rFonts w:hint="eastAsia"/>
                <w:lang w:eastAsia="zh-CN"/>
              </w:rPr>
              <w:t>5</w:t>
            </w:r>
          </w:p>
        </w:tc>
        <w:tc>
          <w:tcPr>
            <w:tcW w:w="3798" w:type="dxa"/>
            <w:vAlign w:val="center"/>
          </w:tcPr>
          <w:p>
            <w:pPr>
              <w:pStyle w:val="13"/>
              <w:ind w:firstLine="1050" w:firstLineChars="500"/>
              <w:rPr>
                <w:lang w:eastAsia="zh-CN"/>
              </w:rPr>
            </w:pPr>
            <w:r>
              <w:rPr>
                <w:rFonts w:hint="eastAsia"/>
                <w:lang w:eastAsia="zh-CN"/>
              </w:rPr>
              <w:t>公务用车运行维护费</w:t>
            </w:r>
          </w:p>
        </w:tc>
        <w:tc>
          <w:tcPr>
            <w:tcW w:w="2381" w:type="dxa"/>
            <w:vAlign w:val="center"/>
          </w:tcPr>
          <w:p>
            <w:pPr>
              <w:pStyle w:val="12"/>
              <w:rPr>
                <w:lang w:eastAsia="zh-CN"/>
              </w:rPr>
            </w:pPr>
            <w:r>
              <w:rPr>
                <w:rFonts w:hint="eastAsia"/>
                <w:lang w:eastAsia="zh-CN"/>
              </w:rPr>
              <w:t>1.50</w:t>
            </w:r>
          </w:p>
        </w:tc>
        <w:tc>
          <w:tcPr>
            <w:tcW w:w="2381" w:type="dxa"/>
            <w:vAlign w:val="center"/>
          </w:tcPr>
          <w:p>
            <w:pPr>
              <w:pStyle w:val="12"/>
              <w:rPr>
                <w:lang w:eastAsia="zh-CN"/>
              </w:rPr>
            </w:pPr>
            <w:r>
              <w:rPr>
                <w:rFonts w:hint="eastAsia"/>
                <w:lang w:eastAsia="zh-CN"/>
              </w:rPr>
              <w:t>1.50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lang w:eastAsia="zh-CN"/>
              </w:rPr>
            </w:pPr>
            <w:r>
              <w:rPr>
                <w:rFonts w:hint="eastAsia"/>
                <w:lang w:eastAsia="zh-CN"/>
              </w:rPr>
              <w:t>6</w:t>
            </w:r>
          </w:p>
        </w:tc>
        <w:tc>
          <w:tcPr>
            <w:tcW w:w="3798" w:type="dxa"/>
            <w:vAlign w:val="center"/>
          </w:tcPr>
          <w:p>
            <w:pPr>
              <w:pStyle w:val="13"/>
              <w:rPr>
                <w:lang w:eastAsia="zh-CN"/>
              </w:rPr>
            </w:pPr>
            <w:r>
              <w:rPr>
                <w:rFonts w:hint="eastAsia"/>
                <w:lang w:eastAsia="zh-CN"/>
              </w:rPr>
              <w:t>三、公务接待费</w:t>
            </w:r>
          </w:p>
        </w:tc>
        <w:tc>
          <w:tcPr>
            <w:tcW w:w="2381" w:type="dxa"/>
            <w:vAlign w:val="center"/>
          </w:tcPr>
          <w:p>
            <w:pPr>
              <w:pStyle w:val="12"/>
              <w:rPr>
                <w:lang w:eastAsia="zh-CN"/>
              </w:rPr>
            </w:pPr>
            <w:r>
              <w:rPr>
                <w:rFonts w:hint="eastAsia"/>
                <w:lang w:eastAsia="zh-CN"/>
              </w:rPr>
              <w:t>0.23</w:t>
            </w:r>
          </w:p>
        </w:tc>
        <w:tc>
          <w:tcPr>
            <w:tcW w:w="2381" w:type="dxa"/>
            <w:vAlign w:val="center"/>
          </w:tcPr>
          <w:p>
            <w:pPr>
              <w:pStyle w:val="12"/>
              <w:rPr>
                <w:lang w:eastAsia="zh-CN"/>
              </w:rPr>
            </w:pPr>
            <w:r>
              <w:rPr>
                <w:rFonts w:hint="eastAsia"/>
                <w:lang w:eastAsia="zh-CN"/>
              </w:rPr>
              <w:t>0.23</w:t>
            </w:r>
          </w:p>
        </w:tc>
        <w:tc>
          <w:tcPr>
            <w:tcW w:w="2381" w:type="dxa"/>
            <w:vAlign w:val="center"/>
          </w:tcPr>
          <w:p>
            <w:pPr>
              <w:pStyle w:val="12"/>
            </w:pPr>
          </w:p>
        </w:tc>
        <w:tc>
          <w:tcPr>
            <w:tcW w:w="2381" w:type="dxa"/>
            <w:vAlign w:val="center"/>
          </w:tcPr>
          <w:p>
            <w:pPr>
              <w:pStyle w:val="12"/>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中共保定市满城区委网络安全和信息化委员会办公室2023年部门预算信息公开情况说明</w:t>
      </w:r>
    </w:p>
    <w:p>
      <w:pPr>
        <w:jc w:val="center"/>
        <w:rPr>
          <w:rFonts w:ascii="方正小标宋_GBK" w:hAnsi="方正小标宋_GBK" w:eastAsia="方正小标宋_GBK" w:cs="方正小标宋_GBK"/>
          <w:color w:val="000000"/>
          <w:sz w:val="44"/>
          <w:lang w:eastAsia="zh-CN"/>
        </w:rPr>
      </w:pPr>
      <w:r>
        <w:rPr>
          <w:rFonts w:ascii="方正小标宋_GBK" w:hAnsi="方正小标宋_GBK" w:eastAsia="方正小标宋_GBK" w:cs="方正小标宋_GBK"/>
          <w:color w:val="000000"/>
          <w:sz w:val="44"/>
        </w:rPr>
        <w:t>中共保定市满城区委网络安全和信息化委员会办公室</w:t>
      </w:r>
    </w:p>
    <w:p>
      <w:pPr>
        <w:jc w:val="center"/>
      </w:pPr>
      <w:r>
        <w:rPr>
          <w:rFonts w:ascii="方正小标宋_GBK" w:hAnsi="方正小标宋_GBK" w:eastAsia="方正小标宋_GBK" w:cs="方正小标宋_GBK"/>
          <w:color w:val="000000"/>
          <w:sz w:val="44"/>
        </w:rPr>
        <w:t>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按照《预算法》、《地方预决算公开操作规程》和《关于进一步推进预算公开工作的实施意见》规定，现将中共保定市满城区委网络安全和信息化委员会办公室2023年部门预算公开如下：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8"/>
      </w:pPr>
      <w:r>
        <w:t>（一）负责处理区委网络安全和信息化委员会日常事务工作，协调督促有关方面落实委员会的有关决定和要求，督促落实涉及全区各个领域网络安全和信息化重要事项。</w:t>
      </w:r>
    </w:p>
    <w:p>
      <w:pPr>
        <w:pStyle w:val="18"/>
      </w:pPr>
      <w:r>
        <w:t>（二）贯彻执行互联网信息传播方针政策和法规；组织开展全区各个领域的网络安全和信息化重大问题研究；协调研究起草全区网络安全和信息化发展规划和重大政策，统筹推进全区网络安全和信息化法治、标准建设。</w:t>
      </w:r>
    </w:p>
    <w:p>
      <w:pPr>
        <w:pStyle w:val="18"/>
      </w:pPr>
      <w:r>
        <w:t>（三）统筹协调全区网络安全保障体系和可信体系建设，牵头协调有关部门制定相关行业网络安全规划及保障评价指标体系，协调信息安全保护工作；指导协调全区党政部门、重点行业网络安全保障和信息化工作，协调推动网络安全和信息化核心技术、关键设备等重大科技攻关，统筹指导全区网络安全和信息化推进工作；协调推动全区公共服务和社会治理信息化；统筹协调各行业主管部门加强全区网络安全信息共享和通报工作、做好网络安全和信息化重大突发事件与有关应急工作。</w:t>
      </w:r>
    </w:p>
    <w:p>
      <w:pPr>
        <w:pStyle w:val="18"/>
      </w:pPr>
      <w:r>
        <w:t>（四）负责全区互联网信息内容管理，统筹组织协调互联网宣传管理和舆论引导工作，组织开展网上评论，指导推动网络评论队伍建设，维护互联网意识形态安全；研究拟订互联网信息传播相关政策；负责互联网信息内容监督管理执法、组织开展网络舆论生态治理，依法指导和管理本区属地网站，会同有关部门处置和封堵网上有害信息，依照相关法律和规定查处违法违规行为和网站。负责指导协调全区网络舆情信息工作，收集、分析、研判、报送和处置网络舆情信息，依法规范舆情服务市场。组织开展互联网违法和不良信息举报工作。</w:t>
      </w:r>
    </w:p>
    <w:p>
      <w:pPr>
        <w:pStyle w:val="18"/>
      </w:pPr>
      <w:r>
        <w:t>（五）推动全区网络阵地建设和重点新闻网站规划建设，指导协调网络游戏、网络视听、网络出版等相关业务，推动移动互联网发展，会同有关部门推动传统媒体与新兴媒体融合发展；负责全区网站转载新闻稿源的管理。</w:t>
      </w:r>
    </w:p>
    <w:p>
      <w:pPr>
        <w:pStyle w:val="18"/>
      </w:pPr>
      <w:r>
        <w:t>（六）推动全区网络社会工作和网络文化、网络文明建设；发展、联系、服务网络社会组织，指导互联网行业自律，推进网站党建工作；组织开展相关领域国内国际交流与合作。</w:t>
      </w:r>
    </w:p>
    <w:p>
      <w:pPr>
        <w:pStyle w:val="18"/>
      </w:pPr>
      <w:r>
        <w:t>（七）落实国家互联网信息服务资本准入和信息网络行业安全审查的有关政策;依法负责全区网络新闻业务和论坛、博客、搜索引擎等具有新闻舆论及社会动员功能业务的日常监管；指导协调有关部门推进新技术新应用安全评估，统筹协调全区移动互联网管理。</w:t>
      </w:r>
    </w:p>
    <w:p>
      <w:pPr>
        <w:pStyle w:val="18"/>
      </w:pPr>
      <w:r>
        <w:t>（八）负责指导推进全区信息化工作，协调信息化建设中的重大问题，协助推进重大信息化工程；拟订全区信息化和电子政务发展规划，负责全区电子政务统筹建设和管理工作，协调推动跨行业、跨部门的互联互通；组织协调规划党政机关网规划建设；会同有关部门推进智慧城市建设；负责协调推动跨行业、跨部门的互联互通，推动重要信息资源的开发利用、共享。</w:t>
      </w:r>
    </w:p>
    <w:p>
      <w:pPr>
        <w:pStyle w:val="18"/>
      </w:pPr>
      <w:r>
        <w:t>（九）组织开展网信系统干部教育培训和人才队伍建设，规划指导全区互联网信息服务从业人员教育培训和考评工作，组织开展网络媒介素养教育；指导、检查各乡镇和有关部门网络安全和信息化工作，协调推动建立统一高效的网络安全风险报告机制、情报共享机制、研判处置机制。</w:t>
      </w:r>
    </w:p>
    <w:p>
      <w:pPr>
        <w:pStyle w:val="18"/>
      </w:pPr>
      <w:r>
        <w:t>（十）完成市委网络安全和信息化委员会办公室（市互联网信息办公室）和区委、区政府及区委网络安全和信息化委员会、区委宣传部交办的其他任务。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部门名称</w:t>
            </w:r>
          </w:p>
        </w:tc>
        <w:tc>
          <w:tcPr>
            <w:tcW w:w="1843" w:type="dxa"/>
            <w:vAlign w:val="center"/>
          </w:tcPr>
          <w:p>
            <w:pPr>
              <w:pStyle w:val="11"/>
            </w:pPr>
            <w:r>
              <w:t>部门性质</w:t>
            </w:r>
          </w:p>
        </w:tc>
        <w:tc>
          <w:tcPr>
            <w:tcW w:w="2126" w:type="dxa"/>
            <w:vAlign w:val="center"/>
          </w:tcPr>
          <w:p>
            <w:pPr>
              <w:pStyle w:val="11"/>
            </w:pPr>
            <w:r>
              <w:t>部门规格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rPr>
                <w:rFonts w:hint="eastAsia"/>
                <w:lang w:eastAsia="zh-CN"/>
              </w:rPr>
            </w:pPr>
            <w:r>
              <w:t>中共保定市满城区委网络安全和信息化委员会办公室</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中共保定市满城区委网络安全和信息化委员会办公室本级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outlineLvl w:val="2"/>
        <w:rPr>
          <w:rFonts w:ascii="黑体" w:hAnsi="黑体" w:eastAsia="黑体" w:cs="黑体"/>
          <w:color w:val="000000"/>
          <w:sz w:val="32"/>
        </w:rPr>
      </w:pPr>
      <w:bookmarkStart w:id="10" w:name="_Toc_3_3_0000000011"/>
    </w:p>
    <w:p>
      <w:pPr>
        <w:spacing w:before="10" w:after="10" w:line="360" w:lineRule="auto"/>
        <w:ind w:firstLine="640"/>
        <w:outlineLvl w:val="2"/>
      </w:pPr>
      <w:r>
        <w:rPr>
          <w:rFonts w:ascii="黑体" w:hAnsi="黑体" w:eastAsia="黑体" w:cs="黑体"/>
          <w:color w:val="000000"/>
          <w:sz w:val="32"/>
        </w:rPr>
        <w:t>二、部门预算安排的总体情况</w:t>
      </w:r>
      <w:bookmarkEnd w:id="10"/>
    </w:p>
    <w:p>
      <w:pPr>
        <w:spacing w:line="500" w:lineRule="exact"/>
        <w:ind w:firstLine="560"/>
        <w:rPr>
          <w:rFonts w:eastAsia="方正仿宋_GBK"/>
          <w:color w:val="000000"/>
          <w:sz w:val="28"/>
        </w:rPr>
      </w:pPr>
      <w:r>
        <w:rPr>
          <w:rFonts w:eastAsia="方正仿宋_GBK"/>
          <w:color w:val="000000"/>
          <w:sz w:val="28"/>
        </w:rPr>
        <w:t>按照预算管理有关规定，目前我</w:t>
      </w:r>
      <w:r>
        <w:rPr>
          <w:rFonts w:hint="eastAsia" w:eastAsiaTheme="minorEastAsia"/>
          <w:color w:val="000000"/>
          <w:sz w:val="28"/>
          <w:lang w:eastAsia="zh-CN"/>
        </w:rPr>
        <w:t>区</w:t>
      </w:r>
      <w:r>
        <w:rPr>
          <w:rFonts w:eastAsia="方正仿宋_GBK"/>
          <w:color w:val="000000"/>
          <w:sz w:val="28"/>
        </w:rPr>
        <w:t>部门预算的编制实行综合预算管理，即全部收入和支出都反映在预算中。中共保定市满城区委网络安全和信息化委员会办公室收支包含在部门预算中。</w:t>
      </w:r>
    </w:p>
    <w:p>
      <w:pPr>
        <w:spacing w:line="480" w:lineRule="exact"/>
        <w:ind w:firstLine="640" w:firstLineChars="200"/>
        <w:jc w:val="both"/>
        <w:rPr>
          <w:rFonts w:ascii="楷体" w:hAnsi="楷体" w:eastAsia="楷体" w:cs="楷体"/>
          <w:sz w:val="32"/>
          <w:szCs w:val="32"/>
        </w:rPr>
      </w:pPr>
      <w:r>
        <w:rPr>
          <w:rFonts w:hint="eastAsia" w:ascii="楷体" w:hAnsi="楷体" w:eastAsia="楷体" w:cs="楷体"/>
          <w:sz w:val="32"/>
          <w:szCs w:val="32"/>
          <w:lang w:eastAsia="zh-CN"/>
        </w:rPr>
        <w:t>1.</w:t>
      </w:r>
      <w:r>
        <w:rPr>
          <w:rFonts w:hint="eastAsia" w:ascii="楷体" w:hAnsi="楷体" w:eastAsia="楷体" w:cs="楷体"/>
          <w:sz w:val="32"/>
          <w:szCs w:val="32"/>
        </w:rPr>
        <w:t>收入说明</w:t>
      </w:r>
    </w:p>
    <w:p>
      <w:pPr>
        <w:spacing w:line="480" w:lineRule="exact"/>
        <w:ind w:firstLine="560" w:firstLineChars="200"/>
        <w:jc w:val="both"/>
        <w:rPr>
          <w:rFonts w:ascii="仿宋" w:hAnsi="仿宋" w:eastAsia="仿宋" w:cs="仿宋"/>
          <w:color w:val="000000"/>
          <w:sz w:val="28"/>
        </w:rPr>
      </w:pPr>
      <w:r>
        <w:rPr>
          <w:rFonts w:hint="eastAsia" w:ascii="仿宋" w:hAnsi="仿宋" w:eastAsia="仿宋" w:cs="仿宋"/>
          <w:color w:val="000000"/>
          <w:sz w:val="28"/>
          <w:lang w:eastAsia="zh-CN"/>
        </w:rPr>
        <w:t>反映本部门当年全部收入。</w:t>
      </w:r>
      <w:r>
        <w:rPr>
          <w:rFonts w:hint="eastAsia" w:ascii="仿宋" w:hAnsi="仿宋" w:eastAsia="仿宋" w:cs="仿宋"/>
          <w:color w:val="000000"/>
          <w:sz w:val="28"/>
        </w:rPr>
        <w:t>202</w:t>
      </w:r>
      <w:r>
        <w:rPr>
          <w:rFonts w:hint="eastAsia" w:ascii="仿宋" w:hAnsi="仿宋" w:eastAsia="仿宋" w:cs="仿宋"/>
          <w:color w:val="000000"/>
          <w:sz w:val="28"/>
          <w:lang w:eastAsia="zh-CN"/>
        </w:rPr>
        <w:t>3</w:t>
      </w:r>
      <w:r>
        <w:rPr>
          <w:rFonts w:hint="eastAsia" w:ascii="仿宋" w:hAnsi="仿宋" w:eastAsia="仿宋" w:cs="仿宋"/>
          <w:color w:val="000000"/>
          <w:sz w:val="28"/>
        </w:rPr>
        <w:t>年预算收入</w:t>
      </w:r>
      <w:r>
        <w:rPr>
          <w:rFonts w:hint="eastAsia" w:ascii="仿宋" w:hAnsi="仿宋" w:eastAsia="仿宋" w:cs="仿宋"/>
          <w:color w:val="000000"/>
          <w:sz w:val="28"/>
          <w:lang w:eastAsia="zh-CN"/>
        </w:rPr>
        <w:t>105.72</w:t>
      </w:r>
      <w:r>
        <w:rPr>
          <w:rFonts w:hint="eastAsia" w:ascii="仿宋" w:hAnsi="仿宋" w:eastAsia="仿宋" w:cs="仿宋"/>
          <w:color w:val="000000"/>
          <w:sz w:val="28"/>
        </w:rPr>
        <w:t>万元</w:t>
      </w:r>
      <w:r>
        <w:rPr>
          <w:rFonts w:hint="eastAsia" w:ascii="仿宋" w:hAnsi="仿宋" w:eastAsia="仿宋" w:cs="仿宋"/>
          <w:color w:val="000000"/>
          <w:sz w:val="28"/>
          <w:lang w:eastAsia="zh-CN"/>
        </w:rPr>
        <w:t>，</w:t>
      </w:r>
      <w:r>
        <w:rPr>
          <w:rFonts w:hint="eastAsia" w:ascii="仿宋" w:hAnsi="仿宋" w:eastAsia="仿宋" w:cs="仿宋"/>
          <w:color w:val="000000"/>
          <w:sz w:val="28"/>
        </w:rPr>
        <w:t>其中：一般公共预算收入</w:t>
      </w:r>
      <w:r>
        <w:rPr>
          <w:rFonts w:hint="eastAsia" w:ascii="仿宋" w:hAnsi="仿宋" w:eastAsia="仿宋" w:cs="仿宋"/>
          <w:color w:val="000000"/>
          <w:sz w:val="28"/>
          <w:lang w:eastAsia="zh-CN"/>
        </w:rPr>
        <w:t>105.72</w:t>
      </w:r>
      <w:r>
        <w:rPr>
          <w:rFonts w:hint="eastAsia" w:ascii="仿宋" w:hAnsi="仿宋" w:eastAsia="仿宋" w:cs="仿宋"/>
          <w:color w:val="000000"/>
          <w:sz w:val="28"/>
        </w:rPr>
        <w:t>万元，政府基金预算收入</w:t>
      </w:r>
      <w:r>
        <w:rPr>
          <w:rFonts w:hint="eastAsia" w:ascii="仿宋" w:hAnsi="仿宋" w:eastAsia="仿宋" w:cs="仿宋"/>
          <w:color w:val="000000"/>
          <w:sz w:val="28"/>
          <w:lang w:eastAsia="zh-CN"/>
        </w:rPr>
        <w:t>0</w:t>
      </w:r>
      <w:r>
        <w:rPr>
          <w:rFonts w:hint="eastAsia" w:ascii="仿宋" w:hAnsi="仿宋" w:eastAsia="仿宋" w:cs="仿宋"/>
          <w:color w:val="000000"/>
          <w:sz w:val="28"/>
        </w:rPr>
        <w:t>万元</w:t>
      </w:r>
      <w:r>
        <w:rPr>
          <w:rFonts w:hint="eastAsia" w:ascii="仿宋" w:hAnsi="仿宋" w:eastAsia="仿宋" w:cs="仿宋"/>
          <w:color w:val="000000"/>
          <w:sz w:val="28"/>
          <w:lang w:eastAsia="zh-CN"/>
        </w:rPr>
        <w:t>，</w:t>
      </w:r>
      <w:r>
        <w:rPr>
          <w:rFonts w:hint="eastAsia" w:ascii="仿宋" w:hAnsi="仿宋" w:eastAsia="仿宋" w:cs="仿宋"/>
          <w:color w:val="000000"/>
          <w:sz w:val="28"/>
        </w:rPr>
        <w:t>国有资本经营预算收入0万元，财政专户核拨收入0万元，部门资金收入0万元，上年结转结余</w:t>
      </w:r>
      <w:r>
        <w:rPr>
          <w:rFonts w:hint="eastAsia" w:ascii="仿宋" w:hAnsi="仿宋" w:eastAsia="仿宋" w:cs="仿宋"/>
          <w:color w:val="000000"/>
          <w:sz w:val="28"/>
          <w:lang w:eastAsia="zh-CN"/>
        </w:rPr>
        <w:t>0万</w:t>
      </w:r>
      <w:r>
        <w:rPr>
          <w:rFonts w:hint="eastAsia" w:ascii="仿宋" w:hAnsi="仿宋" w:eastAsia="仿宋" w:cs="仿宋"/>
          <w:color w:val="000000"/>
          <w:sz w:val="28"/>
        </w:rPr>
        <w:t>元。</w:t>
      </w:r>
    </w:p>
    <w:p>
      <w:pPr>
        <w:spacing w:line="480" w:lineRule="exact"/>
        <w:ind w:firstLine="640" w:firstLineChars="200"/>
        <w:jc w:val="both"/>
        <w:rPr>
          <w:rFonts w:ascii="宋体" w:hAnsi="宋体"/>
          <w:b/>
          <w:sz w:val="32"/>
          <w:szCs w:val="32"/>
        </w:rPr>
      </w:pPr>
      <w:r>
        <w:rPr>
          <w:rFonts w:hint="eastAsia" w:ascii="楷体" w:hAnsi="楷体" w:eastAsia="楷体" w:cs="楷体"/>
          <w:sz w:val="32"/>
          <w:szCs w:val="32"/>
          <w:lang w:eastAsia="zh-CN"/>
        </w:rPr>
        <w:t>2.支出说明</w:t>
      </w:r>
    </w:p>
    <w:p>
      <w:pPr>
        <w:spacing w:line="480" w:lineRule="exact"/>
        <w:ind w:firstLine="560" w:firstLineChars="200"/>
        <w:jc w:val="both"/>
        <w:rPr>
          <w:rFonts w:ascii="仿宋_GB2312" w:hAnsi="宋体" w:eastAsia="仿宋_GB2312"/>
          <w:sz w:val="32"/>
          <w:szCs w:val="32"/>
        </w:rPr>
      </w:pPr>
      <w:r>
        <w:rPr>
          <w:rFonts w:hint="eastAsia" w:ascii="仿宋" w:hAnsi="仿宋" w:eastAsia="仿宋" w:cs="仿宋"/>
          <w:color w:val="000000"/>
          <w:sz w:val="28"/>
        </w:rPr>
        <w:t>收支预算总表支出栏、基本支出表、项目支出表按经济分类和支出功能分类科目编制，反映</w:t>
      </w:r>
      <w:r>
        <w:rPr>
          <w:rFonts w:hint="eastAsia" w:ascii="仿宋" w:hAnsi="仿宋" w:eastAsia="仿宋" w:cs="仿宋"/>
          <w:color w:val="000000"/>
          <w:sz w:val="28"/>
          <w:lang w:eastAsia="zh-CN"/>
        </w:rPr>
        <w:t>中共</w:t>
      </w:r>
      <w:r>
        <w:rPr>
          <w:rFonts w:hint="eastAsia" w:ascii="仿宋" w:hAnsi="仿宋" w:eastAsia="仿宋" w:cs="仿宋"/>
          <w:color w:val="000000"/>
          <w:sz w:val="28"/>
        </w:rPr>
        <w:t>保定市满城区</w:t>
      </w:r>
      <w:r>
        <w:rPr>
          <w:rFonts w:hint="eastAsia" w:ascii="仿宋" w:hAnsi="仿宋" w:eastAsia="仿宋" w:cs="仿宋"/>
          <w:color w:val="000000"/>
          <w:sz w:val="28"/>
          <w:lang w:eastAsia="zh-CN"/>
        </w:rPr>
        <w:t>委</w:t>
      </w:r>
      <w:r>
        <w:rPr>
          <w:rFonts w:hint="eastAsia" w:ascii="仿宋" w:hAnsi="仿宋" w:eastAsia="仿宋" w:cs="仿宋"/>
          <w:color w:val="000000"/>
          <w:sz w:val="28"/>
        </w:rPr>
        <w:t>网络安全和信息化委员会办公室年度部门预算中支出预算的总体情况。202</w:t>
      </w:r>
      <w:r>
        <w:rPr>
          <w:rFonts w:hint="eastAsia" w:ascii="仿宋" w:hAnsi="仿宋" w:eastAsia="仿宋" w:cs="仿宋"/>
          <w:color w:val="000000"/>
          <w:sz w:val="28"/>
          <w:lang w:eastAsia="zh-CN"/>
        </w:rPr>
        <w:t>3</w:t>
      </w:r>
      <w:r>
        <w:rPr>
          <w:rFonts w:hint="eastAsia" w:ascii="仿宋" w:hAnsi="仿宋" w:eastAsia="仿宋" w:cs="仿宋"/>
          <w:color w:val="000000"/>
          <w:sz w:val="28"/>
        </w:rPr>
        <w:t>年支出预算</w:t>
      </w:r>
      <w:r>
        <w:rPr>
          <w:rFonts w:hint="eastAsia" w:ascii="仿宋" w:hAnsi="仿宋" w:eastAsia="仿宋" w:cs="仿宋"/>
          <w:color w:val="000000"/>
          <w:sz w:val="28"/>
          <w:lang w:eastAsia="zh-CN"/>
        </w:rPr>
        <w:t>105.72</w:t>
      </w:r>
      <w:r>
        <w:rPr>
          <w:rFonts w:hint="eastAsia" w:ascii="仿宋" w:hAnsi="仿宋" w:eastAsia="仿宋" w:cs="仿宋"/>
          <w:color w:val="000000"/>
          <w:sz w:val="28"/>
        </w:rPr>
        <w:t>万元，其中基本支出</w:t>
      </w:r>
      <w:r>
        <w:rPr>
          <w:rFonts w:hint="eastAsia" w:ascii="仿宋" w:hAnsi="仿宋" w:eastAsia="仿宋" w:cs="仿宋"/>
          <w:color w:val="000000"/>
          <w:sz w:val="28"/>
          <w:lang w:eastAsia="zh-CN"/>
        </w:rPr>
        <w:t>97.72</w:t>
      </w:r>
      <w:r>
        <w:rPr>
          <w:rFonts w:hint="eastAsia" w:ascii="仿宋" w:hAnsi="仿宋" w:eastAsia="仿宋" w:cs="仿宋"/>
          <w:color w:val="000000"/>
          <w:sz w:val="28"/>
        </w:rPr>
        <w:t>万元，</w:t>
      </w:r>
      <w:r>
        <w:rPr>
          <w:rFonts w:hint="eastAsia" w:ascii="仿宋" w:hAnsi="仿宋" w:eastAsia="仿宋" w:cs="仿宋"/>
          <w:color w:val="000000"/>
          <w:sz w:val="28"/>
          <w:lang w:eastAsia="zh-CN"/>
        </w:rPr>
        <w:t>包括</w:t>
      </w:r>
      <w:r>
        <w:rPr>
          <w:rFonts w:hint="eastAsia" w:ascii="仿宋" w:hAnsi="仿宋" w:eastAsia="仿宋" w:cs="仿宋"/>
          <w:color w:val="000000"/>
          <w:sz w:val="28"/>
        </w:rPr>
        <w:t>人员经费</w:t>
      </w:r>
      <w:r>
        <w:rPr>
          <w:rFonts w:hint="eastAsia" w:ascii="仿宋" w:hAnsi="仿宋" w:eastAsia="仿宋" w:cs="仿宋"/>
          <w:color w:val="000000"/>
          <w:sz w:val="28"/>
          <w:lang w:eastAsia="zh-CN"/>
        </w:rPr>
        <w:t>86.91</w:t>
      </w:r>
      <w:r>
        <w:rPr>
          <w:rFonts w:hint="eastAsia" w:ascii="仿宋" w:hAnsi="仿宋" w:eastAsia="仿宋" w:cs="仿宋"/>
          <w:color w:val="000000"/>
          <w:sz w:val="28"/>
        </w:rPr>
        <w:t>万元</w:t>
      </w:r>
      <w:r>
        <w:rPr>
          <w:rFonts w:hint="eastAsia" w:ascii="仿宋" w:hAnsi="仿宋" w:eastAsia="仿宋" w:cs="仿宋"/>
          <w:color w:val="000000"/>
          <w:sz w:val="28"/>
          <w:lang w:eastAsia="zh-CN"/>
        </w:rPr>
        <w:t>和</w:t>
      </w:r>
      <w:r>
        <w:rPr>
          <w:rFonts w:hint="eastAsia" w:ascii="仿宋" w:hAnsi="仿宋" w:eastAsia="仿宋" w:cs="仿宋"/>
          <w:color w:val="000000"/>
          <w:sz w:val="28"/>
        </w:rPr>
        <w:t>公用经费</w:t>
      </w:r>
      <w:r>
        <w:rPr>
          <w:rFonts w:hint="eastAsia" w:ascii="仿宋" w:hAnsi="仿宋" w:eastAsia="仿宋" w:cs="仿宋"/>
          <w:color w:val="000000"/>
          <w:sz w:val="28"/>
          <w:lang w:eastAsia="zh-CN"/>
        </w:rPr>
        <w:t>10.81</w:t>
      </w:r>
      <w:r>
        <w:rPr>
          <w:rFonts w:hint="eastAsia" w:ascii="仿宋" w:hAnsi="仿宋" w:eastAsia="仿宋" w:cs="仿宋"/>
          <w:color w:val="000000"/>
          <w:sz w:val="28"/>
        </w:rPr>
        <w:t>万元</w:t>
      </w:r>
      <w:r>
        <w:rPr>
          <w:rFonts w:hint="eastAsia" w:ascii="仿宋" w:hAnsi="仿宋" w:eastAsia="仿宋" w:cs="仿宋"/>
          <w:color w:val="000000"/>
          <w:sz w:val="28"/>
          <w:lang w:eastAsia="zh-CN"/>
        </w:rPr>
        <w:t>；</w:t>
      </w:r>
      <w:r>
        <w:rPr>
          <w:rFonts w:hint="eastAsia" w:ascii="仿宋" w:hAnsi="仿宋" w:eastAsia="仿宋" w:cs="仿宋"/>
          <w:color w:val="000000"/>
          <w:sz w:val="28"/>
        </w:rPr>
        <w:t>项目</w:t>
      </w:r>
      <w:r>
        <w:rPr>
          <w:rFonts w:hint="eastAsia" w:ascii="仿宋" w:hAnsi="仿宋" w:eastAsia="仿宋" w:cs="仿宋"/>
          <w:color w:val="000000"/>
          <w:sz w:val="28"/>
          <w:lang w:eastAsia="zh-CN"/>
        </w:rPr>
        <w:t>支出8</w:t>
      </w:r>
      <w:r>
        <w:rPr>
          <w:rFonts w:hint="eastAsia" w:ascii="仿宋" w:hAnsi="仿宋" w:eastAsia="仿宋" w:cs="仿宋"/>
          <w:color w:val="000000"/>
          <w:sz w:val="28"/>
        </w:rPr>
        <w:t>万元</w:t>
      </w:r>
      <w:r>
        <w:rPr>
          <w:rFonts w:hint="eastAsia" w:ascii="仿宋" w:hAnsi="仿宋" w:eastAsia="仿宋" w:cs="仿宋"/>
          <w:color w:val="000000"/>
          <w:sz w:val="28"/>
          <w:lang w:eastAsia="zh-CN"/>
        </w:rPr>
        <w:t>，</w:t>
      </w:r>
      <w:r>
        <w:rPr>
          <w:rFonts w:hint="eastAsia" w:ascii="仿宋" w:hAnsi="仿宋" w:eastAsia="仿宋" w:cs="仿宋"/>
          <w:color w:val="auto"/>
          <w:sz w:val="28"/>
          <w:highlight w:val="none"/>
          <w:lang w:val="en-US" w:eastAsia="zh-CN"/>
        </w:rPr>
        <w:t>主要用于网络安全监测和网络舆情监测等项目；</w:t>
      </w:r>
      <w:r>
        <w:rPr>
          <w:rFonts w:hint="eastAsia" w:ascii="仿宋" w:hAnsi="仿宋" w:eastAsia="仿宋" w:cs="仿宋"/>
          <w:color w:val="000000"/>
          <w:sz w:val="28"/>
        </w:rPr>
        <w:t>政府基金支出</w:t>
      </w:r>
      <w:r>
        <w:rPr>
          <w:rFonts w:hint="eastAsia" w:ascii="仿宋" w:hAnsi="仿宋" w:eastAsia="仿宋" w:cs="仿宋"/>
          <w:color w:val="000000"/>
          <w:sz w:val="28"/>
          <w:lang w:eastAsia="zh-CN"/>
        </w:rPr>
        <w:t>0万元.</w:t>
      </w:r>
    </w:p>
    <w:p>
      <w:pPr>
        <w:spacing w:line="480" w:lineRule="exact"/>
        <w:ind w:firstLine="640" w:firstLineChars="200"/>
        <w:jc w:val="both"/>
        <w:rPr>
          <w:rFonts w:ascii="楷体" w:hAnsi="楷体" w:eastAsia="楷体" w:cs="楷体"/>
          <w:sz w:val="32"/>
          <w:szCs w:val="32"/>
          <w:lang w:eastAsia="zh-CN"/>
        </w:rPr>
      </w:pPr>
      <w:r>
        <w:rPr>
          <w:rFonts w:hint="eastAsia" w:ascii="楷体" w:hAnsi="楷体" w:eastAsia="楷体" w:cs="楷体"/>
          <w:sz w:val="32"/>
          <w:szCs w:val="32"/>
          <w:lang w:eastAsia="zh-CN"/>
        </w:rPr>
        <w:t>3.比上年增减情况</w:t>
      </w:r>
    </w:p>
    <w:p>
      <w:pPr>
        <w:tabs>
          <w:tab w:val="left" w:pos="916"/>
        </w:tabs>
        <w:spacing w:line="480" w:lineRule="exact"/>
        <w:ind w:firstLine="560" w:firstLineChars="200"/>
        <w:jc w:val="both"/>
        <w:rPr>
          <w:rFonts w:ascii="仿宋" w:hAnsi="仿宋" w:eastAsia="仿宋" w:cs="仿宋"/>
          <w:color w:val="000000"/>
          <w:sz w:val="28"/>
        </w:rPr>
      </w:pPr>
      <w:r>
        <w:rPr>
          <w:rFonts w:hint="eastAsia" w:ascii="仿宋" w:hAnsi="仿宋" w:eastAsia="仿宋" w:cs="仿宋"/>
          <w:color w:val="000000"/>
          <w:sz w:val="28"/>
        </w:rPr>
        <w:t>202</w:t>
      </w:r>
      <w:r>
        <w:rPr>
          <w:rFonts w:hint="eastAsia" w:ascii="仿宋" w:hAnsi="仿宋" w:eastAsia="仿宋" w:cs="仿宋"/>
          <w:color w:val="000000"/>
          <w:sz w:val="28"/>
          <w:lang w:eastAsia="zh-CN"/>
        </w:rPr>
        <w:t>3</w:t>
      </w:r>
      <w:r>
        <w:rPr>
          <w:rFonts w:hint="eastAsia" w:ascii="仿宋" w:hAnsi="仿宋" w:eastAsia="仿宋" w:cs="仿宋"/>
          <w:color w:val="000000"/>
          <w:sz w:val="28"/>
        </w:rPr>
        <w:t>年预算收支安排</w:t>
      </w:r>
      <w:r>
        <w:rPr>
          <w:rFonts w:hint="eastAsia" w:ascii="仿宋" w:hAnsi="仿宋" w:eastAsia="仿宋" w:cs="仿宋"/>
          <w:color w:val="000000"/>
          <w:sz w:val="28"/>
          <w:lang w:eastAsia="zh-CN"/>
        </w:rPr>
        <w:t>105.72</w:t>
      </w:r>
      <w:r>
        <w:rPr>
          <w:rFonts w:hint="eastAsia" w:ascii="仿宋" w:hAnsi="仿宋" w:eastAsia="仿宋" w:cs="仿宋"/>
          <w:color w:val="000000"/>
          <w:sz w:val="28"/>
        </w:rPr>
        <w:t>万元，较202</w:t>
      </w:r>
      <w:r>
        <w:rPr>
          <w:rFonts w:hint="eastAsia" w:ascii="仿宋" w:hAnsi="仿宋" w:eastAsia="仿宋" w:cs="仿宋"/>
          <w:color w:val="000000"/>
          <w:sz w:val="28"/>
          <w:lang w:eastAsia="zh-CN"/>
        </w:rPr>
        <w:t>2</w:t>
      </w:r>
      <w:r>
        <w:rPr>
          <w:rFonts w:hint="eastAsia" w:ascii="仿宋" w:hAnsi="仿宋" w:eastAsia="仿宋" w:cs="仿宋"/>
          <w:color w:val="000000"/>
          <w:sz w:val="28"/>
        </w:rPr>
        <w:t>年</w:t>
      </w:r>
      <w:r>
        <w:rPr>
          <w:rFonts w:hint="eastAsia" w:ascii="仿宋" w:hAnsi="仿宋" w:eastAsia="仿宋" w:cs="仿宋"/>
          <w:color w:val="000000"/>
          <w:sz w:val="28"/>
          <w:lang w:eastAsia="zh-CN"/>
        </w:rPr>
        <w:t>预算减少8.33</w:t>
      </w:r>
      <w:r>
        <w:rPr>
          <w:rFonts w:hint="eastAsia" w:ascii="仿宋" w:hAnsi="仿宋" w:eastAsia="仿宋" w:cs="仿宋"/>
          <w:color w:val="000000"/>
          <w:sz w:val="28"/>
        </w:rPr>
        <w:t>万元，其中</w:t>
      </w:r>
      <w:r>
        <w:rPr>
          <w:rFonts w:hint="eastAsia" w:ascii="仿宋" w:hAnsi="仿宋" w:eastAsia="仿宋" w:cs="仿宋"/>
          <w:color w:val="000000"/>
          <w:sz w:val="28"/>
          <w:lang w:eastAsia="zh-CN"/>
        </w:rPr>
        <w:t>基本支出增加24.67万元，主要是人员数量增加，各项工资和保险费用增加</w:t>
      </w:r>
      <w:r>
        <w:rPr>
          <w:rFonts w:hint="eastAsia" w:ascii="仿宋" w:hAnsi="仿宋" w:eastAsia="仿宋" w:cs="仿宋"/>
          <w:color w:val="000000"/>
          <w:sz w:val="28"/>
        </w:rPr>
        <w:t>；</w:t>
      </w:r>
      <w:r>
        <w:rPr>
          <w:rFonts w:hint="eastAsia" w:ascii="仿宋" w:hAnsi="仿宋" w:eastAsia="仿宋" w:cs="仿宋"/>
          <w:color w:val="000000"/>
          <w:sz w:val="28"/>
          <w:lang w:eastAsia="zh-CN"/>
        </w:rPr>
        <w:t>项目支出减少33</w:t>
      </w:r>
      <w:r>
        <w:rPr>
          <w:rFonts w:hint="eastAsia" w:ascii="仿宋" w:hAnsi="仿宋" w:eastAsia="仿宋" w:cs="仿宋"/>
          <w:color w:val="000000"/>
          <w:sz w:val="28"/>
        </w:rPr>
        <w:t>万元</w:t>
      </w:r>
      <w:r>
        <w:rPr>
          <w:rFonts w:hint="eastAsia" w:ascii="仿宋" w:hAnsi="仿宋" w:eastAsia="仿宋" w:cs="仿宋"/>
          <w:color w:val="000000"/>
          <w:sz w:val="28"/>
          <w:lang w:eastAsia="zh-CN"/>
        </w:rPr>
        <w:t>，主要是项目数量减少</w:t>
      </w:r>
      <w:r>
        <w:rPr>
          <w:rFonts w:hint="eastAsia" w:ascii="仿宋" w:hAnsi="仿宋" w:eastAsia="仿宋" w:cs="仿宋"/>
          <w:color w:val="000000"/>
          <w:sz w:val="28"/>
        </w:rPr>
        <w:t>。</w:t>
      </w:r>
    </w:p>
    <w:p>
      <w:pPr>
        <w:spacing w:line="500" w:lineRule="exact"/>
        <w:ind w:firstLine="560"/>
        <w:rPr>
          <w:rFonts w:eastAsia="方正仿宋_GBK"/>
          <w:color w:val="000000"/>
          <w:sz w:val="28"/>
        </w:rPr>
      </w:pPr>
    </w:p>
    <w:p>
      <w:pPr>
        <w:pStyle w:val="19"/>
      </w:pPr>
    </w:p>
    <w:p>
      <w:pPr>
        <w:spacing w:before="10" w:after="10" w:line="360" w:lineRule="auto"/>
        <w:ind w:firstLine="640"/>
        <w:outlineLvl w:val="2"/>
        <w:rPr>
          <w:rFonts w:ascii="黑体" w:hAnsi="黑体" w:eastAsia="黑体" w:cs="黑体"/>
          <w:color w:val="000000"/>
          <w:sz w:val="32"/>
          <w:lang w:eastAsia="zh-CN"/>
        </w:rPr>
      </w:pPr>
      <w:bookmarkStart w:id="11" w:name="_Toc_3_3_0000000012"/>
      <w:r>
        <w:rPr>
          <w:rFonts w:ascii="黑体" w:hAnsi="黑体" w:eastAsia="黑体" w:cs="黑体"/>
          <w:color w:val="000000"/>
          <w:sz w:val="32"/>
        </w:rPr>
        <w:t>三、机关运行经费安排情况</w:t>
      </w:r>
      <w:bookmarkEnd w:id="11"/>
    </w:p>
    <w:p>
      <w:pPr>
        <w:spacing w:line="480" w:lineRule="exact"/>
        <w:ind w:firstLine="560" w:firstLineChars="200"/>
        <w:jc w:val="both"/>
      </w:pPr>
      <w:r>
        <w:rPr>
          <w:rFonts w:hint="eastAsia" w:ascii="仿宋" w:hAnsi="仿宋" w:eastAsia="仿宋" w:cs="仿宋"/>
          <w:color w:val="000000"/>
          <w:sz w:val="28"/>
        </w:rPr>
        <w:t>202</w:t>
      </w:r>
      <w:r>
        <w:rPr>
          <w:rFonts w:hint="eastAsia" w:ascii="仿宋" w:hAnsi="仿宋" w:eastAsia="仿宋" w:cs="仿宋"/>
          <w:color w:val="000000"/>
          <w:sz w:val="28"/>
          <w:lang w:eastAsia="zh-CN"/>
        </w:rPr>
        <w:t>3</w:t>
      </w:r>
      <w:r>
        <w:rPr>
          <w:rFonts w:hint="eastAsia" w:ascii="仿宋" w:hAnsi="仿宋" w:eastAsia="仿宋" w:cs="仿宋"/>
          <w:color w:val="000000"/>
          <w:sz w:val="28"/>
        </w:rPr>
        <w:t>年，我部门运行经费共计安排</w:t>
      </w:r>
      <w:r>
        <w:rPr>
          <w:rFonts w:hint="eastAsia" w:ascii="仿宋" w:hAnsi="仿宋" w:eastAsia="仿宋" w:cs="仿宋"/>
          <w:color w:val="000000"/>
          <w:sz w:val="28"/>
          <w:lang w:eastAsia="zh-CN"/>
        </w:rPr>
        <w:t>10.81</w:t>
      </w:r>
      <w:r>
        <w:rPr>
          <w:rFonts w:hint="eastAsia" w:ascii="仿宋" w:hAnsi="仿宋" w:eastAsia="仿宋" w:cs="仿宋"/>
          <w:color w:val="000000"/>
          <w:sz w:val="28"/>
        </w:rPr>
        <w:t>万元，主要用于日常办公、</w:t>
      </w:r>
      <w:r>
        <w:rPr>
          <w:rFonts w:hint="eastAsia" w:ascii="仿宋" w:hAnsi="仿宋" w:eastAsia="仿宋" w:cs="仿宋"/>
          <w:color w:val="000000"/>
          <w:sz w:val="28"/>
          <w:lang w:eastAsia="zh-CN"/>
        </w:rPr>
        <w:t>公车运行</w:t>
      </w:r>
      <w:r>
        <w:rPr>
          <w:rFonts w:hint="eastAsia" w:ascii="仿宋" w:hAnsi="仿宋" w:eastAsia="仿宋" w:cs="仿宋"/>
          <w:color w:val="000000"/>
          <w:sz w:val="28"/>
        </w:rPr>
        <w:t>等日常运行支出。</w:t>
      </w:r>
    </w:p>
    <w:p>
      <w:pPr>
        <w:spacing w:before="10" w:after="10" w:line="360" w:lineRule="auto"/>
        <w:ind w:firstLine="640"/>
        <w:outlineLvl w:val="2"/>
        <w:rPr>
          <w:lang w:eastAsia="zh-CN"/>
        </w:rPr>
      </w:pPr>
    </w:p>
    <w:p>
      <w:pPr>
        <w:pStyle w:val="20"/>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
        <w:spacing w:line="480" w:lineRule="exact"/>
        <w:ind w:firstLine="560" w:firstLineChars="200"/>
        <w:jc w:val="both"/>
        <w:rPr>
          <w:rFonts w:hint="default" w:ascii="仿宋" w:hAnsi="仿宋" w:eastAsia="仿宋" w:cs="仿宋"/>
          <w:color w:val="000000"/>
          <w:sz w:val="28"/>
          <w:szCs w:val="24"/>
          <w:lang w:val="en-US" w:eastAsia="zh-CN"/>
        </w:rPr>
      </w:pPr>
      <w:r>
        <w:rPr>
          <w:rFonts w:hint="eastAsia" w:ascii="仿宋" w:hAnsi="仿宋" w:eastAsia="仿宋" w:cs="仿宋"/>
          <w:color w:val="000000"/>
          <w:sz w:val="28"/>
          <w:szCs w:val="24"/>
        </w:rPr>
        <w:t>202</w:t>
      </w:r>
      <w:r>
        <w:rPr>
          <w:rFonts w:hint="eastAsia" w:ascii="仿宋" w:hAnsi="仿宋" w:eastAsia="仿宋" w:cs="仿宋"/>
          <w:color w:val="000000"/>
          <w:sz w:val="28"/>
          <w:szCs w:val="24"/>
          <w:lang w:eastAsia="zh-CN"/>
        </w:rPr>
        <w:t>3</w:t>
      </w:r>
      <w:r>
        <w:rPr>
          <w:rFonts w:hint="eastAsia" w:ascii="仿宋" w:hAnsi="仿宋" w:eastAsia="仿宋" w:cs="仿宋"/>
          <w:color w:val="000000"/>
          <w:sz w:val="28"/>
          <w:szCs w:val="24"/>
        </w:rPr>
        <w:t xml:space="preserve"> 年，我部门财政拨款“三公”经费预算安排</w:t>
      </w:r>
      <w:r>
        <w:rPr>
          <w:rFonts w:hint="eastAsia" w:ascii="仿宋" w:hAnsi="仿宋" w:eastAsia="仿宋" w:cs="仿宋"/>
          <w:color w:val="000000"/>
          <w:sz w:val="28"/>
          <w:szCs w:val="24"/>
          <w:lang w:eastAsia="zh-CN"/>
        </w:rPr>
        <w:t>1.73</w:t>
      </w:r>
      <w:r>
        <w:rPr>
          <w:rFonts w:hint="eastAsia" w:ascii="仿宋" w:hAnsi="仿宋" w:eastAsia="仿宋" w:cs="仿宋"/>
          <w:color w:val="000000"/>
          <w:sz w:val="28"/>
          <w:szCs w:val="24"/>
        </w:rPr>
        <w:t>万元，其中因公出国（境）费0万元；公务用车购置及运维费</w:t>
      </w:r>
      <w:r>
        <w:rPr>
          <w:rFonts w:hint="eastAsia" w:ascii="仿宋" w:hAnsi="仿宋" w:eastAsia="仿宋" w:cs="仿宋"/>
          <w:color w:val="000000"/>
          <w:sz w:val="28"/>
          <w:szCs w:val="24"/>
          <w:lang w:eastAsia="zh-CN"/>
        </w:rPr>
        <w:t>1.5</w:t>
      </w:r>
      <w:r>
        <w:rPr>
          <w:rFonts w:hint="eastAsia" w:ascii="仿宋" w:hAnsi="仿宋" w:eastAsia="仿宋" w:cs="仿宋"/>
          <w:color w:val="000000"/>
          <w:sz w:val="28"/>
          <w:szCs w:val="24"/>
        </w:rPr>
        <w:t>万元（其中：公务用车购置费为0万元，公务用车运维费</w:t>
      </w:r>
      <w:r>
        <w:rPr>
          <w:rFonts w:hint="eastAsia" w:ascii="仿宋" w:hAnsi="仿宋" w:eastAsia="仿宋" w:cs="仿宋"/>
          <w:color w:val="000000"/>
          <w:sz w:val="28"/>
          <w:szCs w:val="24"/>
          <w:lang w:eastAsia="zh-CN"/>
        </w:rPr>
        <w:t>1.5</w:t>
      </w:r>
      <w:r>
        <w:rPr>
          <w:rFonts w:hint="eastAsia" w:ascii="仿宋" w:hAnsi="仿宋" w:eastAsia="仿宋" w:cs="仿宋"/>
          <w:color w:val="000000"/>
          <w:sz w:val="28"/>
          <w:szCs w:val="24"/>
        </w:rPr>
        <w:t>万元)；公务接待费0.</w:t>
      </w:r>
      <w:r>
        <w:rPr>
          <w:rFonts w:hint="eastAsia" w:ascii="仿宋" w:hAnsi="仿宋" w:eastAsia="仿宋" w:cs="仿宋"/>
          <w:color w:val="000000"/>
          <w:sz w:val="28"/>
          <w:szCs w:val="24"/>
          <w:lang w:eastAsia="zh-CN"/>
        </w:rPr>
        <w:t>23</w:t>
      </w:r>
      <w:r>
        <w:rPr>
          <w:rFonts w:hint="eastAsia" w:ascii="仿宋" w:hAnsi="仿宋" w:eastAsia="仿宋" w:cs="仿宋"/>
          <w:color w:val="000000"/>
          <w:sz w:val="28"/>
          <w:szCs w:val="24"/>
        </w:rPr>
        <w:t>万元</w:t>
      </w:r>
      <w:r>
        <w:rPr>
          <w:rFonts w:hint="eastAsia" w:ascii="仿宋" w:hAnsi="仿宋" w:eastAsia="仿宋" w:cs="仿宋"/>
          <w:color w:val="000000"/>
          <w:sz w:val="28"/>
          <w:szCs w:val="24"/>
          <w:lang w:eastAsia="zh-CN"/>
        </w:rPr>
        <w:t>,</w:t>
      </w:r>
      <w:r>
        <w:rPr>
          <w:rFonts w:hint="eastAsia" w:ascii="仿宋" w:hAnsi="仿宋" w:eastAsia="仿宋" w:cs="仿宋"/>
          <w:color w:val="000000"/>
          <w:sz w:val="28"/>
          <w:szCs w:val="24"/>
        </w:rPr>
        <w:t>与202</w:t>
      </w:r>
      <w:r>
        <w:rPr>
          <w:rFonts w:hint="eastAsia" w:ascii="仿宋" w:hAnsi="仿宋" w:eastAsia="仿宋" w:cs="仿宋"/>
          <w:color w:val="000000"/>
          <w:sz w:val="28"/>
          <w:szCs w:val="24"/>
          <w:lang w:eastAsia="zh-CN"/>
        </w:rPr>
        <w:t>2</w:t>
      </w:r>
      <w:r>
        <w:rPr>
          <w:rFonts w:hint="eastAsia" w:ascii="仿宋" w:hAnsi="仿宋" w:eastAsia="仿宋" w:cs="仿宋"/>
          <w:color w:val="000000"/>
          <w:sz w:val="28"/>
          <w:szCs w:val="24"/>
        </w:rPr>
        <w:t>年相比公务用车购置及运维费</w:t>
      </w:r>
      <w:r>
        <w:rPr>
          <w:rFonts w:hint="eastAsia" w:ascii="仿宋" w:hAnsi="仿宋" w:eastAsia="仿宋" w:cs="仿宋"/>
          <w:color w:val="000000"/>
          <w:sz w:val="28"/>
          <w:szCs w:val="24"/>
          <w:lang w:eastAsia="zh-CN"/>
        </w:rPr>
        <w:t>减少了0.5</w:t>
      </w:r>
      <w:r>
        <w:rPr>
          <w:rFonts w:hint="eastAsia" w:ascii="仿宋" w:hAnsi="仿宋" w:eastAsia="仿宋" w:cs="仿宋"/>
          <w:color w:val="000000"/>
          <w:sz w:val="28"/>
          <w:szCs w:val="24"/>
        </w:rPr>
        <w:t>万元，</w:t>
      </w:r>
      <w:r>
        <w:rPr>
          <w:rFonts w:hint="eastAsia" w:ascii="仿宋" w:hAnsi="仿宋" w:eastAsia="仿宋" w:cs="仿宋"/>
          <w:color w:val="000000"/>
          <w:sz w:val="28"/>
          <w:szCs w:val="24"/>
          <w:lang w:eastAsia="zh-CN"/>
        </w:rPr>
        <w:t>减少</w:t>
      </w:r>
      <w:r>
        <w:rPr>
          <w:rFonts w:hint="eastAsia" w:ascii="仿宋" w:hAnsi="仿宋" w:eastAsia="仿宋" w:cs="仿宋"/>
          <w:color w:val="000000"/>
          <w:sz w:val="28"/>
          <w:szCs w:val="24"/>
        </w:rPr>
        <w:t>的主要原因是：根据</w:t>
      </w:r>
      <w:r>
        <w:rPr>
          <w:rFonts w:hint="eastAsia" w:ascii="仿宋" w:hAnsi="仿宋" w:eastAsia="仿宋" w:cs="仿宋"/>
          <w:color w:val="000000"/>
          <w:sz w:val="28"/>
          <w:szCs w:val="24"/>
          <w:lang w:eastAsia="zh-CN"/>
        </w:rPr>
        <w:t>财政</w:t>
      </w:r>
      <w:r>
        <w:rPr>
          <w:rFonts w:hint="eastAsia" w:ascii="仿宋" w:hAnsi="仿宋" w:eastAsia="仿宋" w:cs="仿宋"/>
          <w:color w:val="000000"/>
          <w:sz w:val="28"/>
          <w:szCs w:val="24"/>
          <w:lang w:val="en-US" w:eastAsia="zh-CN"/>
        </w:rPr>
        <w:t>部门</w:t>
      </w:r>
      <w:r>
        <w:rPr>
          <w:rFonts w:hint="eastAsia" w:ascii="仿宋" w:hAnsi="仿宋" w:eastAsia="仿宋" w:cs="仿宋"/>
          <w:color w:val="000000"/>
          <w:sz w:val="28"/>
          <w:szCs w:val="24"/>
          <w:lang w:eastAsia="zh-CN"/>
        </w:rPr>
        <w:t>要求，调整部分公用经费保障标准，减少公务用车运行维护费</w:t>
      </w:r>
      <w:r>
        <w:rPr>
          <w:rFonts w:hint="eastAsia" w:ascii="仿宋" w:hAnsi="仿宋" w:eastAsia="仿宋" w:cs="仿宋"/>
          <w:color w:val="000000"/>
          <w:sz w:val="28"/>
          <w:szCs w:val="24"/>
        </w:rPr>
        <w:t>。公务接待费与202</w:t>
      </w:r>
      <w:r>
        <w:rPr>
          <w:rFonts w:hint="eastAsia" w:ascii="仿宋" w:hAnsi="仿宋" w:eastAsia="仿宋" w:cs="仿宋"/>
          <w:color w:val="000000"/>
          <w:sz w:val="28"/>
          <w:szCs w:val="24"/>
          <w:lang w:eastAsia="zh-CN"/>
        </w:rPr>
        <w:t>2</w:t>
      </w:r>
      <w:r>
        <w:rPr>
          <w:rFonts w:hint="eastAsia" w:ascii="仿宋" w:hAnsi="仿宋" w:eastAsia="仿宋" w:cs="仿宋"/>
          <w:color w:val="000000"/>
          <w:sz w:val="28"/>
          <w:szCs w:val="24"/>
        </w:rPr>
        <w:t>年相比</w:t>
      </w:r>
      <w:r>
        <w:rPr>
          <w:rFonts w:hint="eastAsia" w:ascii="仿宋" w:hAnsi="仿宋" w:eastAsia="仿宋" w:cs="仿宋"/>
          <w:color w:val="000000"/>
          <w:sz w:val="28"/>
          <w:szCs w:val="24"/>
          <w:lang w:val="en-US" w:eastAsia="zh-CN"/>
        </w:rPr>
        <w:t>增加了0.05万元，增加的主要原因是：</w:t>
      </w:r>
      <w:r>
        <w:rPr>
          <w:rFonts w:hint="eastAsia" w:ascii="仿宋" w:hAnsi="仿宋" w:eastAsia="仿宋" w:cs="仿宋"/>
          <w:color w:val="000000"/>
          <w:sz w:val="28"/>
          <w:szCs w:val="24"/>
        </w:rPr>
        <w:t>根据</w:t>
      </w:r>
      <w:r>
        <w:rPr>
          <w:rFonts w:hint="eastAsia" w:ascii="仿宋" w:hAnsi="仿宋" w:eastAsia="仿宋" w:cs="仿宋"/>
          <w:color w:val="000000"/>
          <w:sz w:val="28"/>
          <w:szCs w:val="24"/>
          <w:lang w:eastAsia="zh-CN"/>
        </w:rPr>
        <w:t>财政</w:t>
      </w:r>
      <w:r>
        <w:rPr>
          <w:rFonts w:hint="eastAsia" w:ascii="仿宋" w:hAnsi="仿宋" w:eastAsia="仿宋" w:cs="仿宋"/>
          <w:color w:val="000000"/>
          <w:sz w:val="28"/>
          <w:szCs w:val="24"/>
          <w:lang w:val="en-US" w:eastAsia="zh-CN"/>
        </w:rPr>
        <w:t>部门</w:t>
      </w:r>
      <w:r>
        <w:rPr>
          <w:rFonts w:hint="eastAsia" w:ascii="仿宋" w:hAnsi="仿宋" w:eastAsia="仿宋" w:cs="仿宋"/>
          <w:color w:val="000000"/>
          <w:sz w:val="28"/>
          <w:szCs w:val="24"/>
          <w:lang w:eastAsia="zh-CN"/>
        </w:rPr>
        <w:t>要求，调整</w:t>
      </w:r>
      <w:r>
        <w:rPr>
          <w:rFonts w:hint="eastAsia" w:ascii="仿宋" w:hAnsi="仿宋" w:eastAsia="仿宋" w:cs="仿宋"/>
          <w:color w:val="000000"/>
          <w:sz w:val="28"/>
          <w:szCs w:val="24"/>
          <w:lang w:val="en-US" w:eastAsia="zh-CN"/>
        </w:rPr>
        <w:t>公务接待</w:t>
      </w:r>
      <w:r>
        <w:rPr>
          <w:rFonts w:hint="eastAsia" w:ascii="仿宋" w:hAnsi="仿宋" w:eastAsia="仿宋" w:cs="仿宋"/>
          <w:color w:val="000000"/>
          <w:sz w:val="28"/>
          <w:szCs w:val="24"/>
          <w:lang w:eastAsia="zh-CN"/>
        </w:rPr>
        <w:t>费保障标准。</w:t>
      </w:r>
    </w:p>
    <w:p>
      <w:pPr>
        <w:pStyle w:val="21"/>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rPr>
          <w:rFonts w:eastAsiaTheme="minorEastAsia"/>
          <w:lang w:eastAsia="zh-CN"/>
        </w:rPr>
      </w:pPr>
      <w:r>
        <w:rPr>
          <w:rFonts w:hint="eastAsia" w:eastAsiaTheme="minorEastAsia"/>
          <w:color w:val="000000"/>
          <w:sz w:val="28"/>
          <w:lang w:eastAsia="zh-CN"/>
        </w:rPr>
        <w:t>一、</w:t>
      </w:r>
      <w:r>
        <w:rPr>
          <w:rFonts w:eastAsia="方正仿宋_GBK"/>
          <w:color w:val="000000"/>
          <w:sz w:val="28"/>
        </w:rPr>
        <w:t>总体绩效目标</w:t>
      </w:r>
    </w:p>
    <w:p>
      <w:pPr>
        <w:pStyle w:val="22"/>
        <w:rPr>
          <w:rFonts w:eastAsiaTheme="minorEastAsia"/>
          <w:lang w:eastAsia="zh-CN"/>
        </w:rPr>
      </w:pPr>
      <w:r>
        <w:t>落实互联网信息传播方针政策，推动互联网信息传播法治建设，指导、协调、督促有关部门加强互联网信息内容管理，依法查处违法违规网站等。</w:t>
      </w:r>
    </w:p>
    <w:p>
      <w:pPr>
        <w:spacing w:line="500" w:lineRule="exact"/>
        <w:ind w:firstLine="560"/>
      </w:pPr>
      <w:r>
        <w:rPr>
          <w:rFonts w:hint="eastAsia" w:eastAsiaTheme="minorEastAsia"/>
          <w:color w:val="000000"/>
          <w:sz w:val="28"/>
          <w:lang w:eastAsia="zh-CN"/>
        </w:rPr>
        <w:t>二、</w:t>
      </w:r>
      <w:r>
        <w:rPr>
          <w:rFonts w:eastAsia="方正仿宋_GBK"/>
          <w:color w:val="000000"/>
          <w:sz w:val="28"/>
        </w:rPr>
        <w:t>分项绩效目标</w:t>
      </w:r>
    </w:p>
    <w:p>
      <w:pPr>
        <w:pStyle w:val="23"/>
        <w:rPr>
          <w:rFonts w:eastAsiaTheme="minorEastAsia"/>
          <w:lang w:eastAsia="zh-CN"/>
        </w:rPr>
      </w:pPr>
      <w:r>
        <w:t>1、落实互联网信息传播方针政策，推动互联网信息传播法治建设。</w:t>
      </w:r>
    </w:p>
    <w:p>
      <w:pPr>
        <w:pStyle w:val="23"/>
        <w:rPr>
          <w:rFonts w:eastAsiaTheme="minorEastAsia"/>
          <w:lang w:eastAsia="zh-CN"/>
        </w:rPr>
      </w:pPr>
      <w:r>
        <w:t>2、指导、协调、督促有关部门加强互联网信息内容管理。</w:t>
      </w:r>
    </w:p>
    <w:p>
      <w:pPr>
        <w:pStyle w:val="23"/>
      </w:pPr>
      <w:r>
        <w:t>3、依法查处违法违规网站等。</w:t>
      </w:r>
    </w:p>
    <w:p>
      <w:pPr>
        <w:pStyle w:val="24"/>
        <w:rPr>
          <w:rFonts w:eastAsiaTheme="minorEastAsia"/>
          <w:lang w:eastAsia="zh-CN"/>
        </w:rPr>
      </w:pPr>
      <w:r>
        <w:t>三、工作保障措施</w:t>
      </w:r>
    </w:p>
    <w:p>
      <w:pPr>
        <w:pStyle w:val="24"/>
      </w:pPr>
      <w:r>
        <w:t>1、依据《中华人民共和国网络安全法》等法律法规，依法落实互.联网信息传播方针政策，推动互联网信息传播法制建设</w:t>
      </w:r>
    </w:p>
    <w:p>
      <w:pPr>
        <w:pStyle w:val="24"/>
      </w:pPr>
      <w:r>
        <w:t>2、依据《互联网用户公众账号信息服务管理规定》等法规，指导、协调、督促有关部门加强互联网信息内容管理。</w:t>
      </w:r>
    </w:p>
    <w:p>
      <w:pPr>
        <w:pStyle w:val="24"/>
      </w:pPr>
      <w:r>
        <w:t>3、依法查处违法违规网站等</w:t>
      </w: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bookmarkStart w:id="18" w:name="_GoBack"/>
      <w:bookmarkEnd w:id="18"/>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 xml:space="preserve">部分 </w:t>
      </w:r>
      <w:r>
        <w:rPr>
          <w:rFonts w:hint="eastAsia" w:ascii="方正楷体_GBK" w:hAnsi="方正楷体_GBK" w:eastAsia="方正楷体_GBK" w:cs="方正楷体_GBK"/>
          <w:b/>
          <w:color w:val="000000"/>
          <w:sz w:val="32"/>
          <w:lang w:val="en-US" w:eastAsia="zh-CN"/>
        </w:rPr>
        <w:t>专项资金</w:t>
      </w:r>
      <w:r>
        <w:rPr>
          <w:rFonts w:ascii="方正楷体_GBK" w:hAnsi="方正楷体_GBK" w:eastAsia="方正楷体_GBK" w:cs="方正楷体_GBK"/>
          <w:b/>
          <w:color w:val="000000"/>
          <w:sz w:val="32"/>
        </w:rPr>
        <w:t>绩效目标</w:t>
      </w:r>
    </w:p>
    <w:p>
      <w:pPr>
        <w:ind w:firstLine="1024" w:firstLineChars="366"/>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无</w:t>
      </w:r>
    </w:p>
    <w:p>
      <w:pPr>
        <w:ind w:firstLine="640"/>
        <w:rPr>
          <w:rFonts w:hint="eastAsia" w:ascii="方正楷体_GBK" w:hAnsi="方正楷体_GBK" w:cs="方正楷体_GBK" w:eastAsiaTheme="minorEastAsia"/>
          <w:b/>
          <w:color w:val="000000"/>
          <w:sz w:val="32"/>
          <w:lang w:eastAsia="zh-CN"/>
        </w:rPr>
      </w:pPr>
    </w:p>
    <w:p>
      <w:pPr>
        <w:ind w:firstLine="640"/>
        <w:rPr>
          <w:rFonts w:hint="eastAsia" w:ascii="方正楷体_GBK" w:hAnsi="方正楷体_GBK" w:cs="方正楷体_GBK" w:eastAsiaTheme="minorEastAsia"/>
          <w:b/>
          <w:color w:val="000000"/>
          <w:sz w:val="32"/>
          <w:lang w:eastAsia="zh-CN"/>
        </w:rPr>
      </w:pPr>
    </w:p>
    <w:p>
      <w:pPr>
        <w:ind w:firstLine="640"/>
        <w:rPr>
          <w:rFonts w:hint="eastAsia" w:ascii="方正楷体_GBK" w:hAnsi="方正楷体_GBK" w:cs="方正楷体_GBK" w:eastAsiaTheme="minorEastAsia"/>
          <w:b/>
          <w:color w:val="000000"/>
          <w:sz w:val="32"/>
          <w:lang w:eastAsia="zh-CN"/>
        </w:rPr>
      </w:pPr>
    </w:p>
    <w:p>
      <w:pPr>
        <w:ind w:firstLine="560"/>
        <w:rPr>
          <w:rFonts w:hint="eastAsia" w:ascii="方正楷体_GBK" w:hAnsi="方正楷体_GBK" w:cs="方正楷体_GBK" w:eastAsiaTheme="minorEastAsia"/>
          <w:b/>
          <w:color w:val="000000"/>
          <w:sz w:val="32"/>
          <w:lang w:eastAsia="zh-CN"/>
        </w:rPr>
      </w:pPr>
    </w:p>
    <w:p>
      <w:pPr>
        <w:ind w:firstLine="640"/>
        <w:rPr>
          <w:rFonts w:hint="eastAsia" w:ascii="方正楷体_GBK" w:hAnsi="方正楷体_GBK" w:eastAsia="方正楷体_GBK" w:cs="方正楷体_GBK"/>
          <w:b/>
          <w:color w:val="000000"/>
          <w:sz w:val="32"/>
        </w:rPr>
      </w:pPr>
    </w:p>
    <w:p>
      <w:pPr>
        <w:ind w:firstLine="640"/>
        <w:rPr>
          <w:rFonts w:hint="eastAsia"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三</w:t>
      </w:r>
      <w:r>
        <w:rPr>
          <w:rFonts w:hint="eastAsia" w:ascii="方正楷体_GBK" w:hAnsi="方正楷体_GBK" w:eastAsia="方正楷体_GBK" w:cs="方正楷体_GBK"/>
          <w:b/>
          <w:color w:val="000000"/>
          <w:sz w:val="32"/>
        </w:rPr>
        <w:t>部分   预算项目绩效目标</w:t>
      </w:r>
    </w:p>
    <w:p>
      <w:pPr>
        <w:ind w:firstLine="560"/>
        <w:rPr>
          <w:rFonts w:hint="eastAsia" w:ascii="方正仿宋_GBK" w:hAnsi="方正仿宋_GBK" w:cs="方正仿宋_GBK" w:eastAsiaTheme="minorEastAsia"/>
          <w:b/>
          <w:color w:val="000000"/>
          <w:sz w:val="28"/>
          <w:lang w:eastAsia="zh-CN"/>
        </w:rPr>
      </w:pPr>
    </w:p>
    <w:p>
      <w:pPr>
        <w:ind w:firstLine="560"/>
      </w:pPr>
      <w:r>
        <w:rPr>
          <w:rFonts w:ascii="方正仿宋_GBK" w:hAnsi="方正仿宋_GBK" w:eastAsia="方正仿宋_GBK" w:cs="方正仿宋_GBK"/>
          <w:b/>
          <w:color w:val="000000"/>
          <w:sz w:val="28"/>
        </w:rPr>
        <w:t>1、满城区网络安全监测维护绩效目标表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1.完成满城区网络安全监测维护</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网络漏洞监测数量</w:t>
            </w:r>
          </w:p>
        </w:tc>
        <w:tc>
          <w:tcPr>
            <w:tcW w:w="2835" w:type="dxa"/>
            <w:vAlign w:val="center"/>
          </w:tcPr>
          <w:p>
            <w:pPr>
              <w:pStyle w:val="13"/>
            </w:pPr>
            <w:r>
              <w:t>网络漏洞监测数量</w:t>
            </w:r>
          </w:p>
        </w:tc>
        <w:tc>
          <w:tcPr>
            <w:tcW w:w="2551" w:type="dxa"/>
            <w:vAlign w:val="center"/>
          </w:tcPr>
          <w:p>
            <w:pPr>
              <w:pStyle w:val="13"/>
            </w:pPr>
            <w:r>
              <w:t>≥2条</w:t>
            </w:r>
          </w:p>
        </w:tc>
        <w:tc>
          <w:tcPr>
            <w:tcW w:w="2268"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网络安全监测率</w:t>
            </w:r>
          </w:p>
        </w:tc>
        <w:tc>
          <w:tcPr>
            <w:tcW w:w="2835" w:type="dxa"/>
            <w:vAlign w:val="center"/>
          </w:tcPr>
          <w:p>
            <w:pPr>
              <w:pStyle w:val="13"/>
            </w:pPr>
            <w:r>
              <w:t>网络安全监测率</w:t>
            </w:r>
          </w:p>
        </w:tc>
        <w:tc>
          <w:tcPr>
            <w:tcW w:w="2551" w:type="dxa"/>
            <w:vAlign w:val="center"/>
          </w:tcPr>
          <w:p>
            <w:pPr>
              <w:pStyle w:val="13"/>
            </w:pPr>
            <w:r>
              <w:t>≥90%</w:t>
            </w:r>
          </w:p>
        </w:tc>
        <w:tc>
          <w:tcPr>
            <w:tcW w:w="2268"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网络安全监测及时率</w:t>
            </w:r>
          </w:p>
        </w:tc>
        <w:tc>
          <w:tcPr>
            <w:tcW w:w="2835" w:type="dxa"/>
            <w:vAlign w:val="center"/>
          </w:tcPr>
          <w:p>
            <w:pPr>
              <w:pStyle w:val="13"/>
            </w:pPr>
            <w:r>
              <w:t>网络安全监测及时率</w:t>
            </w:r>
          </w:p>
        </w:tc>
        <w:tc>
          <w:tcPr>
            <w:tcW w:w="2551" w:type="dxa"/>
            <w:vAlign w:val="center"/>
          </w:tcPr>
          <w:p>
            <w:pPr>
              <w:pStyle w:val="13"/>
            </w:pPr>
            <w:r>
              <w:t>≥100%</w:t>
            </w:r>
          </w:p>
        </w:tc>
        <w:tc>
          <w:tcPr>
            <w:tcW w:w="2268"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网络安全监测费用</w:t>
            </w:r>
          </w:p>
        </w:tc>
        <w:tc>
          <w:tcPr>
            <w:tcW w:w="2835" w:type="dxa"/>
            <w:vAlign w:val="center"/>
          </w:tcPr>
          <w:p>
            <w:pPr>
              <w:pStyle w:val="13"/>
            </w:pPr>
            <w:r>
              <w:t>网络安全监测费用</w:t>
            </w:r>
          </w:p>
        </w:tc>
        <w:tc>
          <w:tcPr>
            <w:tcW w:w="2551" w:type="dxa"/>
            <w:vAlign w:val="center"/>
          </w:tcPr>
          <w:p>
            <w:pPr>
              <w:pStyle w:val="13"/>
            </w:pPr>
            <w:r>
              <w:t>1万元/条</w:t>
            </w:r>
          </w:p>
        </w:tc>
        <w:tc>
          <w:tcPr>
            <w:tcW w:w="2268"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收益人口数量</w:t>
            </w:r>
          </w:p>
        </w:tc>
        <w:tc>
          <w:tcPr>
            <w:tcW w:w="2835" w:type="dxa"/>
            <w:vAlign w:val="center"/>
          </w:tcPr>
          <w:p>
            <w:pPr>
              <w:pStyle w:val="13"/>
            </w:pPr>
            <w:r>
              <w:t>收益人口数量</w:t>
            </w:r>
          </w:p>
        </w:tc>
        <w:tc>
          <w:tcPr>
            <w:tcW w:w="2551" w:type="dxa"/>
            <w:vAlign w:val="center"/>
          </w:tcPr>
          <w:p>
            <w:pPr>
              <w:pStyle w:val="13"/>
            </w:pPr>
            <w:r>
              <w:t>≥10.2万人</w:t>
            </w:r>
          </w:p>
        </w:tc>
        <w:tc>
          <w:tcPr>
            <w:tcW w:w="2268"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营造稳定社会氛围贡献程度</w:t>
            </w:r>
          </w:p>
        </w:tc>
        <w:tc>
          <w:tcPr>
            <w:tcW w:w="2835" w:type="dxa"/>
            <w:vAlign w:val="center"/>
          </w:tcPr>
          <w:p>
            <w:pPr>
              <w:pStyle w:val="13"/>
            </w:pPr>
            <w:r>
              <w:t>营造稳定社会氛围贡献程度</w:t>
            </w:r>
          </w:p>
        </w:tc>
        <w:tc>
          <w:tcPr>
            <w:tcW w:w="2551" w:type="dxa"/>
            <w:vAlign w:val="center"/>
          </w:tcPr>
          <w:p>
            <w:pPr>
              <w:pStyle w:val="13"/>
            </w:pPr>
            <w:r>
              <w:t>明显</w:t>
            </w:r>
          </w:p>
        </w:tc>
        <w:tc>
          <w:tcPr>
            <w:tcW w:w="2268"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项目可持续发挥作用年限</w:t>
            </w:r>
          </w:p>
        </w:tc>
        <w:tc>
          <w:tcPr>
            <w:tcW w:w="2835" w:type="dxa"/>
            <w:vAlign w:val="center"/>
          </w:tcPr>
          <w:p>
            <w:pPr>
              <w:pStyle w:val="13"/>
            </w:pPr>
            <w:r>
              <w:t>项目可持续发挥作用年限</w:t>
            </w:r>
          </w:p>
        </w:tc>
        <w:tc>
          <w:tcPr>
            <w:tcW w:w="2551" w:type="dxa"/>
            <w:vAlign w:val="center"/>
          </w:tcPr>
          <w:p>
            <w:pPr>
              <w:pStyle w:val="13"/>
            </w:pPr>
            <w:r>
              <w:t>1年</w:t>
            </w:r>
          </w:p>
        </w:tc>
        <w:tc>
          <w:tcPr>
            <w:tcW w:w="2268"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用户对网络安全监测的满意程度</w:t>
            </w:r>
          </w:p>
        </w:tc>
        <w:tc>
          <w:tcPr>
            <w:tcW w:w="2835" w:type="dxa"/>
            <w:vAlign w:val="center"/>
          </w:tcPr>
          <w:p>
            <w:pPr>
              <w:pStyle w:val="13"/>
            </w:pPr>
            <w:r>
              <w:t>用户对网络安全监测的满意程度</w:t>
            </w:r>
          </w:p>
        </w:tc>
        <w:tc>
          <w:tcPr>
            <w:tcW w:w="2551" w:type="dxa"/>
            <w:vAlign w:val="center"/>
          </w:tcPr>
          <w:p>
            <w:pPr>
              <w:pStyle w:val="13"/>
            </w:pPr>
            <w:r>
              <w:t>≥95%</w:t>
            </w:r>
          </w:p>
        </w:tc>
        <w:tc>
          <w:tcPr>
            <w:tcW w:w="2268"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2、满城区网络舆情监测绩效目标表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1.建立互联网信息内容监测指挥平台</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舆情信息抓取数量</w:t>
            </w:r>
          </w:p>
        </w:tc>
        <w:tc>
          <w:tcPr>
            <w:tcW w:w="2835" w:type="dxa"/>
            <w:vAlign w:val="center"/>
          </w:tcPr>
          <w:p>
            <w:pPr>
              <w:pStyle w:val="13"/>
            </w:pPr>
            <w:r>
              <w:t>舆情信息抓取数量</w:t>
            </w:r>
          </w:p>
        </w:tc>
        <w:tc>
          <w:tcPr>
            <w:tcW w:w="2551" w:type="dxa"/>
            <w:vAlign w:val="center"/>
          </w:tcPr>
          <w:p>
            <w:pPr>
              <w:pStyle w:val="13"/>
            </w:pPr>
            <w:r>
              <w:t>100条</w:t>
            </w:r>
          </w:p>
        </w:tc>
        <w:tc>
          <w:tcPr>
            <w:tcW w:w="2268"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舆情解决的完成度</w:t>
            </w:r>
          </w:p>
        </w:tc>
        <w:tc>
          <w:tcPr>
            <w:tcW w:w="2835" w:type="dxa"/>
            <w:vAlign w:val="center"/>
          </w:tcPr>
          <w:p>
            <w:pPr>
              <w:pStyle w:val="13"/>
            </w:pPr>
            <w:r>
              <w:t>舆情解决的完成度</w:t>
            </w:r>
          </w:p>
        </w:tc>
        <w:tc>
          <w:tcPr>
            <w:tcW w:w="2551" w:type="dxa"/>
            <w:vAlign w:val="center"/>
          </w:tcPr>
          <w:p>
            <w:pPr>
              <w:pStyle w:val="13"/>
            </w:pPr>
            <w:r>
              <w:t>≥90%</w:t>
            </w:r>
          </w:p>
        </w:tc>
        <w:tc>
          <w:tcPr>
            <w:tcW w:w="2268"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回复处置及时度</w:t>
            </w:r>
          </w:p>
        </w:tc>
        <w:tc>
          <w:tcPr>
            <w:tcW w:w="2835" w:type="dxa"/>
            <w:vAlign w:val="center"/>
          </w:tcPr>
          <w:p>
            <w:pPr>
              <w:pStyle w:val="13"/>
            </w:pPr>
            <w:r>
              <w:t>回复处置及时度</w:t>
            </w:r>
          </w:p>
        </w:tc>
        <w:tc>
          <w:tcPr>
            <w:tcW w:w="2551" w:type="dxa"/>
            <w:vAlign w:val="center"/>
          </w:tcPr>
          <w:p>
            <w:pPr>
              <w:pStyle w:val="13"/>
            </w:pPr>
            <w:r>
              <w:t>≥100%</w:t>
            </w:r>
          </w:p>
        </w:tc>
        <w:tc>
          <w:tcPr>
            <w:tcW w:w="2268"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舆情监测费用</w:t>
            </w:r>
          </w:p>
        </w:tc>
        <w:tc>
          <w:tcPr>
            <w:tcW w:w="2835" w:type="dxa"/>
            <w:vAlign w:val="center"/>
          </w:tcPr>
          <w:p>
            <w:pPr>
              <w:pStyle w:val="13"/>
            </w:pPr>
            <w:r>
              <w:t>舆情监测费用</w:t>
            </w:r>
          </w:p>
        </w:tc>
        <w:tc>
          <w:tcPr>
            <w:tcW w:w="2551" w:type="dxa"/>
            <w:vAlign w:val="center"/>
          </w:tcPr>
          <w:p>
            <w:pPr>
              <w:pStyle w:val="13"/>
            </w:pPr>
            <w:r>
              <w:t>600元/条</w:t>
            </w:r>
          </w:p>
        </w:tc>
        <w:tc>
          <w:tcPr>
            <w:tcW w:w="2268"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收益人口数量</w:t>
            </w:r>
          </w:p>
        </w:tc>
        <w:tc>
          <w:tcPr>
            <w:tcW w:w="2835" w:type="dxa"/>
            <w:vAlign w:val="center"/>
          </w:tcPr>
          <w:p>
            <w:pPr>
              <w:pStyle w:val="13"/>
            </w:pPr>
            <w:r>
              <w:t>收益人口数量</w:t>
            </w:r>
          </w:p>
        </w:tc>
        <w:tc>
          <w:tcPr>
            <w:tcW w:w="2551" w:type="dxa"/>
            <w:vAlign w:val="center"/>
          </w:tcPr>
          <w:p>
            <w:pPr>
              <w:pStyle w:val="13"/>
            </w:pPr>
            <w:r>
              <w:t>≥10.2万人</w:t>
            </w:r>
          </w:p>
        </w:tc>
        <w:tc>
          <w:tcPr>
            <w:tcW w:w="2268"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营造稳定社会氛围的贡献程度</w:t>
            </w:r>
          </w:p>
        </w:tc>
        <w:tc>
          <w:tcPr>
            <w:tcW w:w="2835" w:type="dxa"/>
            <w:vAlign w:val="center"/>
          </w:tcPr>
          <w:p>
            <w:pPr>
              <w:pStyle w:val="13"/>
            </w:pPr>
            <w:r>
              <w:t>营造稳定社会氛围的贡献程度</w:t>
            </w:r>
          </w:p>
        </w:tc>
        <w:tc>
          <w:tcPr>
            <w:tcW w:w="2551" w:type="dxa"/>
            <w:vAlign w:val="center"/>
          </w:tcPr>
          <w:p>
            <w:pPr>
              <w:pStyle w:val="13"/>
            </w:pPr>
            <w:r>
              <w:t>明显</w:t>
            </w:r>
          </w:p>
        </w:tc>
        <w:tc>
          <w:tcPr>
            <w:tcW w:w="2268"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项目持续发挥作用的年限</w:t>
            </w:r>
          </w:p>
        </w:tc>
        <w:tc>
          <w:tcPr>
            <w:tcW w:w="2835" w:type="dxa"/>
            <w:vAlign w:val="center"/>
          </w:tcPr>
          <w:p>
            <w:pPr>
              <w:pStyle w:val="13"/>
            </w:pPr>
            <w:r>
              <w:t>项目持续发挥作用的年限</w:t>
            </w:r>
          </w:p>
        </w:tc>
        <w:tc>
          <w:tcPr>
            <w:tcW w:w="2551" w:type="dxa"/>
            <w:vAlign w:val="center"/>
          </w:tcPr>
          <w:p>
            <w:pPr>
              <w:pStyle w:val="13"/>
            </w:pPr>
            <w:r>
              <w:t>1年</w:t>
            </w:r>
          </w:p>
        </w:tc>
        <w:tc>
          <w:tcPr>
            <w:tcW w:w="2268"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发帖群众的满意度</w:t>
            </w:r>
          </w:p>
        </w:tc>
        <w:tc>
          <w:tcPr>
            <w:tcW w:w="2835" w:type="dxa"/>
            <w:vAlign w:val="center"/>
          </w:tcPr>
          <w:p>
            <w:pPr>
              <w:pStyle w:val="13"/>
            </w:pPr>
            <w:r>
              <w:t>发帖群众的满意度</w:t>
            </w:r>
          </w:p>
        </w:tc>
        <w:tc>
          <w:tcPr>
            <w:tcW w:w="2551" w:type="dxa"/>
            <w:vAlign w:val="center"/>
          </w:tcPr>
          <w:p>
            <w:pPr>
              <w:pStyle w:val="13"/>
            </w:pPr>
            <w:r>
              <w:t>明显</w:t>
            </w:r>
          </w:p>
        </w:tc>
        <w:tc>
          <w:tcPr>
            <w:tcW w:w="2268"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rPr>
          <w:rFonts w:ascii="仿宋" w:hAnsi="仿宋" w:eastAsia="仿宋"/>
        </w:rPr>
      </w:pPr>
      <w:r>
        <w:rPr>
          <w:rFonts w:ascii="仿宋" w:hAnsi="仿宋" w:eastAsia="仿宋"/>
          <w:color w:val="000000"/>
          <w:sz w:val="28"/>
        </w:rPr>
        <w:t>2023年，中共保定市满城区委</w:t>
      </w:r>
      <w:r>
        <w:rPr>
          <w:rFonts w:hint="eastAsia" w:ascii="仿宋" w:hAnsi="仿宋" w:eastAsia="仿宋"/>
          <w:color w:val="000000"/>
          <w:sz w:val="28"/>
          <w:lang w:eastAsia="zh-CN"/>
        </w:rPr>
        <w:t>网络安全和信息化委员会办公室</w:t>
      </w:r>
      <w:r>
        <w:rPr>
          <w:rFonts w:ascii="仿宋" w:hAnsi="仿宋" w:eastAsia="仿宋"/>
          <w:color w:val="000000"/>
          <w:sz w:val="28"/>
        </w:rPr>
        <w:t>无政府采购预算，空表列示。</w:t>
      </w:r>
    </w:p>
    <w:p>
      <w:pPr>
        <w:rPr>
          <w:rFonts w:hint="eastAsia" w:ascii="方正小标宋_GBK" w:hAnsi="方正小标宋_GBK" w:cs="方正小标宋_GBK" w:eastAsiaTheme="minorEastAsia"/>
          <w:color w:val="000000"/>
          <w:sz w:val="36"/>
          <w:lang w:eastAsia="zh-CN"/>
        </w:rPr>
      </w:pPr>
    </w:p>
    <w:p>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224中共保定市满城区委网络安全和信息化委员会办公室</w:t>
            </w:r>
          </w:p>
        </w:tc>
        <w:tc>
          <w:tcPr>
            <w:tcW w:w="8674" w:type="dxa"/>
            <w:gridSpan w:val="9"/>
            <w:tcBorders>
              <w:top w:val="single" w:color="FFFFFF" w:sz="6" w:space="0"/>
              <w:left w:val="single" w:color="FFFFFF" w:sz="6" w:space="0"/>
              <w:right w:val="single" w:color="FFFFFF" w:sz="6" w:space="0"/>
            </w:tcBorders>
            <w:vAlign w:val="center"/>
          </w:tcPr>
          <w:p>
            <w:pPr>
              <w:pStyle w:val="25"/>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部门</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部门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rPr>
          <w:rFonts w:ascii="黑体" w:hAnsi="黑体" w:eastAsia="黑体" w:cs="黑体"/>
          <w:color w:val="000000"/>
          <w:sz w:val="32"/>
          <w:lang w:eastAsia="zh-CN"/>
        </w:rPr>
      </w:pPr>
      <w:bookmarkStart w:id="15" w:name="_Toc_3_3_0000000016"/>
    </w:p>
    <w:p>
      <w:pPr>
        <w:spacing w:before="10" w:after="10"/>
        <w:ind w:firstLine="640"/>
        <w:outlineLvl w:val="2"/>
        <w:rPr>
          <w:rFonts w:ascii="黑体" w:hAnsi="黑体" w:eastAsia="黑体" w:cs="黑体"/>
          <w:color w:val="000000"/>
          <w:sz w:val="32"/>
          <w:lang w:eastAsia="zh-CN"/>
        </w:rPr>
      </w:pPr>
    </w:p>
    <w:p>
      <w:pPr>
        <w:spacing w:before="10" w:after="10"/>
        <w:ind w:firstLine="640"/>
        <w:outlineLvl w:val="2"/>
        <w:rPr>
          <w:rFonts w:ascii="黑体" w:hAnsi="黑体" w:eastAsia="黑体" w:cs="黑体"/>
          <w:color w:val="000000"/>
          <w:sz w:val="32"/>
          <w:lang w:eastAsia="zh-CN"/>
        </w:rPr>
      </w:pPr>
    </w:p>
    <w:p>
      <w:pPr>
        <w:spacing w:before="10" w:after="10"/>
        <w:ind w:firstLine="640"/>
        <w:outlineLvl w:val="2"/>
        <w:rPr>
          <w:rFonts w:hint="eastAsia" w:ascii="黑体" w:hAnsi="黑体" w:eastAsia="黑体" w:cs="黑体"/>
          <w:color w:val="000000"/>
          <w:sz w:val="32"/>
          <w:lang w:eastAsia="zh-CN"/>
        </w:rPr>
      </w:pPr>
    </w:p>
    <w:p>
      <w:pPr>
        <w:spacing w:before="10" w:after="10"/>
        <w:ind w:firstLine="640"/>
        <w:outlineLvl w:val="2"/>
        <w:rPr>
          <w:rFonts w:hint="eastAsia" w:ascii="黑体" w:hAnsi="黑体" w:eastAsia="黑体" w:cs="黑体"/>
          <w:color w:val="000000"/>
          <w:sz w:val="32"/>
          <w:lang w:eastAsia="zh-CN"/>
        </w:rPr>
      </w:pPr>
    </w:p>
    <w:p>
      <w:pPr>
        <w:spacing w:before="10" w:after="10"/>
        <w:ind w:firstLine="640"/>
        <w:outlineLvl w:val="2"/>
        <w:rPr>
          <w:rFonts w:hint="eastAsia" w:ascii="黑体" w:hAnsi="黑体" w:eastAsia="黑体" w:cs="黑体"/>
          <w:color w:val="000000"/>
          <w:sz w:val="32"/>
          <w:lang w:eastAsia="zh-CN"/>
        </w:rPr>
      </w:pPr>
    </w:p>
    <w:p>
      <w:pPr>
        <w:spacing w:before="10" w:after="10"/>
        <w:ind w:firstLine="640"/>
        <w:outlineLvl w:val="2"/>
        <w:rPr>
          <w:rFonts w:hint="eastAsia" w:ascii="黑体" w:hAnsi="黑体" w:eastAsia="黑体" w:cs="黑体"/>
          <w:color w:val="000000"/>
          <w:sz w:val="32"/>
          <w:lang w:eastAsia="zh-CN"/>
        </w:rPr>
      </w:pPr>
    </w:p>
    <w:p>
      <w:pPr>
        <w:spacing w:before="10" w:after="10"/>
        <w:ind w:firstLine="640"/>
        <w:outlineLvl w:val="2"/>
        <w:rPr>
          <w:rFonts w:hint="eastAsia" w:ascii="黑体" w:hAnsi="黑体" w:eastAsia="黑体" w:cs="黑体"/>
          <w:color w:val="000000"/>
          <w:sz w:val="32"/>
          <w:lang w:eastAsia="zh-CN"/>
        </w:rPr>
      </w:pPr>
    </w:p>
    <w:p>
      <w:pPr>
        <w:spacing w:before="10" w:after="10"/>
        <w:ind w:firstLine="640"/>
        <w:outlineLvl w:val="2"/>
        <w:rPr>
          <w:rFonts w:hint="eastAsia" w:ascii="黑体" w:hAnsi="黑体" w:eastAsia="黑体" w:cs="黑体"/>
          <w:color w:val="000000"/>
          <w:sz w:val="32"/>
          <w:lang w:eastAsia="zh-CN"/>
        </w:rPr>
      </w:pPr>
    </w:p>
    <w:p>
      <w:pPr>
        <w:spacing w:before="10" w:after="10"/>
        <w:ind w:firstLine="640"/>
        <w:outlineLvl w:val="2"/>
        <w:rPr>
          <w:rFonts w:hint="eastAsia" w:ascii="黑体" w:hAnsi="黑体" w:eastAsia="黑体" w:cs="黑体"/>
          <w:color w:val="000000"/>
          <w:sz w:val="32"/>
          <w:lang w:eastAsia="zh-CN"/>
        </w:rPr>
      </w:pPr>
    </w:p>
    <w:p>
      <w:pPr>
        <w:spacing w:before="10" w:after="10"/>
        <w:ind w:firstLine="640"/>
        <w:outlineLvl w:val="2"/>
      </w:pPr>
      <w:r>
        <w:rPr>
          <w:rFonts w:ascii="黑体" w:hAnsi="黑体" w:eastAsia="黑体" w:cs="黑体"/>
          <w:color w:val="000000"/>
          <w:sz w:val="32"/>
        </w:rPr>
        <w:t>七、国有资产信息</w:t>
      </w:r>
      <w:bookmarkEnd w:id="15"/>
    </w:p>
    <w:p>
      <w:pPr>
        <w:spacing w:line="500" w:lineRule="exact"/>
        <w:ind w:firstLine="560"/>
        <w:rPr>
          <w:rFonts w:ascii="仿宋_GB2312" w:hAnsi="仿宋_GB2312" w:eastAsia="仿宋_GB2312" w:cs="仿宋_GB2312"/>
          <w:color w:val="000000"/>
          <w:sz w:val="28"/>
          <w:szCs w:val="28"/>
        </w:rPr>
      </w:pPr>
      <w:r>
        <w:rPr>
          <w:rFonts w:eastAsia="方正仿宋_GBK"/>
          <w:color w:val="000000"/>
          <w:sz w:val="28"/>
        </w:rPr>
        <w:t>中共保定市满城区委网络安全和信息化委员会办公室上年末固定资产金额为</w:t>
      </w:r>
      <w:r>
        <w:rPr>
          <w:rFonts w:hint="eastAsia" w:eastAsiaTheme="minorEastAsia"/>
          <w:color w:val="000000"/>
          <w:sz w:val="28"/>
          <w:lang w:eastAsia="zh-CN"/>
        </w:rPr>
        <w:t>33.00</w:t>
      </w:r>
      <w:r>
        <w:rPr>
          <w:rFonts w:eastAsia="方正仿宋_GBK"/>
          <w:color w:val="000000"/>
          <w:sz w:val="28"/>
        </w:rPr>
        <w:t>万元（详见下表）。</w:t>
      </w:r>
      <w:r>
        <w:rPr>
          <w:rFonts w:hint="eastAsia" w:eastAsia="方正仿宋_GBK"/>
          <w:color w:val="000000"/>
          <w:sz w:val="28"/>
        </w:rPr>
        <w:t>本年度无拟购置固定资产计划。</w:t>
      </w:r>
    </w:p>
    <w:p>
      <w:pPr>
        <w:jc w:val="center"/>
        <w:rPr>
          <w:rFonts w:hint="eastAsia" w:ascii="方正小标宋_GBK" w:hAnsi="方正小标宋_GBK" w:cs="方正小标宋_GBK" w:eastAsiaTheme="minorEastAsia"/>
          <w:color w:val="000000"/>
          <w:sz w:val="36"/>
          <w:lang w:eastAsia="zh-CN"/>
        </w:rPr>
      </w:pPr>
    </w:p>
    <w:p>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545"/>
        <w:gridCol w:w="4953"/>
        <w:gridCol w:w="29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5" w:hRule="atLeast"/>
          <w:tblHeader/>
          <w:jc w:val="center"/>
        </w:trPr>
        <w:tc>
          <w:tcPr>
            <w:tcW w:w="5545" w:type="dxa"/>
            <w:tcBorders>
              <w:top w:val="single" w:color="FFFFFF" w:sz="6" w:space="0"/>
              <w:left w:val="single" w:color="FFFFFF" w:sz="6" w:space="0"/>
              <w:right w:val="single" w:color="FFFFFF" w:sz="6" w:space="0"/>
            </w:tcBorders>
            <w:vAlign w:val="center"/>
          </w:tcPr>
          <w:p>
            <w:pPr>
              <w:pStyle w:val="10"/>
            </w:pPr>
            <w:r>
              <w:t>224中共保定市满城区委网络安全和信息化委员会办公室</w:t>
            </w:r>
          </w:p>
        </w:tc>
        <w:tc>
          <w:tcPr>
            <w:tcW w:w="7870" w:type="dxa"/>
            <w:gridSpan w:val="2"/>
            <w:tcBorders>
              <w:top w:val="single" w:color="FFFFFF" w:sz="6" w:space="0"/>
              <w:left w:val="single" w:color="FFFFFF" w:sz="6" w:space="0"/>
              <w:right w:val="single" w:color="FFFFFF" w:sz="6" w:space="0"/>
            </w:tcBorders>
            <w:vAlign w:val="center"/>
          </w:tcPr>
          <w:p>
            <w:pPr>
              <w:pStyle w:val="8"/>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2" w:hRule="atLeast"/>
          <w:tblHeader/>
          <w:jc w:val="center"/>
        </w:trPr>
        <w:tc>
          <w:tcPr>
            <w:tcW w:w="5545" w:type="dxa"/>
            <w:vAlign w:val="center"/>
          </w:tcPr>
          <w:p>
            <w:pPr>
              <w:pStyle w:val="11"/>
            </w:pPr>
            <w:r>
              <w:t>项   目</w:t>
            </w:r>
          </w:p>
        </w:tc>
        <w:tc>
          <w:tcPr>
            <w:tcW w:w="4953" w:type="dxa"/>
            <w:vAlign w:val="center"/>
          </w:tcPr>
          <w:p>
            <w:pPr>
              <w:pStyle w:val="11"/>
            </w:pPr>
            <w:r>
              <w:t>数量</w:t>
            </w:r>
          </w:p>
        </w:tc>
        <w:tc>
          <w:tcPr>
            <w:tcW w:w="2917" w:type="dxa"/>
            <w:vAlign w:val="center"/>
          </w:tcPr>
          <w:p>
            <w:pPr>
              <w:pStyle w:val="11"/>
            </w:pPr>
            <w:r>
              <w:t>价值（金额</w:t>
            </w: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4" w:hRule="atLeast"/>
          <w:jc w:val="center"/>
        </w:trPr>
        <w:tc>
          <w:tcPr>
            <w:tcW w:w="5545" w:type="dxa"/>
            <w:vAlign w:val="center"/>
          </w:tcPr>
          <w:p>
            <w:pPr>
              <w:pStyle w:val="13"/>
            </w:pPr>
            <w:r>
              <w:rPr>
                <w:rFonts w:hint="eastAsia" w:ascii="仿宋" w:hAnsi="仿宋" w:eastAsia="仿宋" w:cs="仿宋"/>
                <w:color w:val="000000"/>
                <w:sz w:val="28"/>
                <w:szCs w:val="28"/>
                <w:lang w:eastAsia="zh-CN"/>
              </w:rPr>
              <w:t>固定</w:t>
            </w:r>
            <w:r>
              <w:rPr>
                <w:rFonts w:hint="eastAsia" w:ascii="仿宋" w:hAnsi="仿宋" w:eastAsia="仿宋" w:cs="仿宋"/>
                <w:color w:val="000000"/>
                <w:sz w:val="28"/>
                <w:szCs w:val="28"/>
              </w:rPr>
              <w:t>资产总额</w:t>
            </w:r>
          </w:p>
        </w:tc>
        <w:tc>
          <w:tcPr>
            <w:tcW w:w="4953" w:type="dxa"/>
            <w:vAlign w:val="center"/>
          </w:tcPr>
          <w:p>
            <w:pPr>
              <w:pStyle w:val="14"/>
              <w:rPr>
                <w:rFonts w:hint="default"/>
                <w:lang w:val="en-US" w:eastAsia="zh-CN"/>
              </w:rPr>
            </w:pPr>
            <w:r>
              <w:rPr>
                <w:rFonts w:hint="eastAsia"/>
                <w:lang w:val="en-US" w:eastAsia="zh-CN"/>
              </w:rPr>
              <w:t>58</w:t>
            </w:r>
          </w:p>
        </w:tc>
        <w:tc>
          <w:tcPr>
            <w:tcW w:w="2917" w:type="dxa"/>
            <w:vAlign w:val="center"/>
          </w:tcPr>
          <w:p>
            <w:pPr>
              <w:pStyle w:val="12"/>
              <w:jc w:val="center"/>
              <w:rPr>
                <w:rFonts w:hint="eastAsia"/>
                <w:lang w:eastAsia="zh-CN"/>
              </w:rPr>
            </w:pPr>
            <w:r>
              <w:rPr>
                <w:rFonts w:hint="eastAsia"/>
                <w:lang w:eastAsia="zh-CN"/>
              </w:rPr>
              <w:t>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4" w:hRule="atLeast"/>
          <w:jc w:val="center"/>
        </w:trPr>
        <w:tc>
          <w:tcPr>
            <w:tcW w:w="5545" w:type="dxa"/>
            <w:vAlign w:val="center"/>
          </w:tcPr>
          <w:p>
            <w:pPr>
              <w:pStyle w:val="13"/>
              <w:rPr>
                <w:sz w:val="28"/>
                <w:szCs w:val="28"/>
              </w:rPr>
            </w:pPr>
            <w:r>
              <w:rPr>
                <w:rFonts w:hint="eastAsia" w:ascii="仿宋" w:hAnsi="仿宋" w:eastAsia="仿宋" w:cs="仿宋"/>
                <w:color w:val="000000"/>
                <w:sz w:val="28"/>
                <w:szCs w:val="28"/>
                <w:lang w:eastAsia="zh-CN"/>
              </w:rPr>
              <w:t>1.房屋（平方米）</w:t>
            </w:r>
          </w:p>
        </w:tc>
        <w:tc>
          <w:tcPr>
            <w:tcW w:w="4953" w:type="dxa"/>
            <w:vAlign w:val="center"/>
          </w:tcPr>
          <w:p>
            <w:pPr>
              <w:pStyle w:val="14"/>
              <w:rPr>
                <w:rFonts w:hint="eastAsia"/>
                <w:lang w:eastAsia="zh-CN"/>
              </w:rPr>
            </w:pPr>
            <w:r>
              <w:rPr>
                <w:rFonts w:hint="eastAsia"/>
                <w:lang w:eastAsia="zh-CN"/>
              </w:rPr>
              <w:t>-</w:t>
            </w:r>
          </w:p>
        </w:tc>
        <w:tc>
          <w:tcPr>
            <w:tcW w:w="2917"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4" w:hRule="atLeast"/>
          <w:jc w:val="center"/>
        </w:trPr>
        <w:tc>
          <w:tcPr>
            <w:tcW w:w="5545" w:type="dxa"/>
            <w:vAlign w:val="center"/>
          </w:tcPr>
          <w:p>
            <w:pPr>
              <w:pStyle w:val="13"/>
              <w:rPr>
                <w:sz w:val="28"/>
                <w:szCs w:val="28"/>
              </w:rPr>
            </w:pPr>
            <w:r>
              <w:rPr>
                <w:rFonts w:hint="eastAsia" w:ascii="仿宋" w:hAnsi="仿宋" w:eastAsia="仿宋" w:cs="仿宋"/>
                <w:color w:val="000000"/>
                <w:sz w:val="28"/>
                <w:szCs w:val="28"/>
                <w:lang w:eastAsia="zh-CN"/>
              </w:rPr>
              <w:t>其中：办公用房（平方米）</w:t>
            </w:r>
          </w:p>
        </w:tc>
        <w:tc>
          <w:tcPr>
            <w:tcW w:w="4953" w:type="dxa"/>
            <w:vAlign w:val="center"/>
          </w:tcPr>
          <w:p>
            <w:pPr>
              <w:pStyle w:val="14"/>
              <w:rPr>
                <w:rFonts w:hint="eastAsia"/>
                <w:lang w:eastAsia="zh-CN"/>
              </w:rPr>
            </w:pPr>
            <w:r>
              <w:rPr>
                <w:rFonts w:hint="eastAsia"/>
                <w:lang w:eastAsia="zh-CN"/>
              </w:rPr>
              <w:t>-</w:t>
            </w:r>
          </w:p>
        </w:tc>
        <w:tc>
          <w:tcPr>
            <w:tcW w:w="2917"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2" w:hRule="atLeast"/>
          <w:jc w:val="center"/>
        </w:trPr>
        <w:tc>
          <w:tcPr>
            <w:tcW w:w="5545" w:type="dxa"/>
            <w:vAlign w:val="center"/>
          </w:tcPr>
          <w:p>
            <w:pPr>
              <w:pStyle w:val="13"/>
              <w:rPr>
                <w:sz w:val="28"/>
                <w:szCs w:val="28"/>
              </w:rPr>
            </w:pPr>
            <w:r>
              <w:rPr>
                <w:rFonts w:hint="eastAsia" w:ascii="仿宋" w:hAnsi="仿宋" w:eastAsia="仿宋" w:cs="仿宋"/>
                <w:color w:val="000000"/>
                <w:sz w:val="28"/>
                <w:szCs w:val="28"/>
                <w:lang w:eastAsia="zh-CN"/>
              </w:rPr>
              <w:t>2</w:t>
            </w:r>
            <w:r>
              <w:rPr>
                <w:rFonts w:hint="eastAsia" w:ascii="仿宋" w:hAnsi="仿宋" w:eastAsia="仿宋" w:cs="仿宋"/>
                <w:color w:val="000000"/>
                <w:sz w:val="28"/>
                <w:szCs w:val="28"/>
              </w:rPr>
              <w:t>、车辆（台、辆）</w:t>
            </w:r>
          </w:p>
        </w:tc>
        <w:tc>
          <w:tcPr>
            <w:tcW w:w="4953" w:type="dxa"/>
            <w:vAlign w:val="center"/>
          </w:tcPr>
          <w:p>
            <w:pPr>
              <w:pStyle w:val="14"/>
              <w:rPr>
                <w:rFonts w:hint="eastAsia"/>
                <w:lang w:eastAsia="zh-CN"/>
              </w:rPr>
            </w:pPr>
            <w:r>
              <w:rPr>
                <w:rFonts w:hint="eastAsia"/>
                <w:lang w:eastAsia="zh-CN"/>
              </w:rPr>
              <w:t>1</w:t>
            </w:r>
          </w:p>
        </w:tc>
        <w:tc>
          <w:tcPr>
            <w:tcW w:w="2917" w:type="dxa"/>
            <w:vAlign w:val="center"/>
          </w:tcPr>
          <w:p>
            <w:pPr>
              <w:pStyle w:val="12"/>
              <w:jc w:val="center"/>
              <w:rPr>
                <w:rFonts w:hint="eastAsia"/>
                <w:lang w:eastAsia="zh-CN"/>
              </w:rPr>
            </w:pPr>
            <w:r>
              <w:rPr>
                <w:rFonts w:hint="eastAsia"/>
                <w:lang w:eastAsia="zh-CN"/>
              </w:rPr>
              <w:t>17.98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2" w:hRule="atLeast"/>
          <w:jc w:val="center"/>
        </w:trPr>
        <w:tc>
          <w:tcPr>
            <w:tcW w:w="5545" w:type="dxa"/>
            <w:vAlign w:val="center"/>
          </w:tcPr>
          <w:p>
            <w:pPr>
              <w:pStyle w:val="13"/>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3</w:t>
            </w:r>
            <w:r>
              <w:rPr>
                <w:rFonts w:hint="eastAsia" w:ascii="仿宋" w:hAnsi="仿宋" w:eastAsia="仿宋" w:cs="仿宋"/>
                <w:color w:val="000000"/>
                <w:sz w:val="28"/>
                <w:szCs w:val="28"/>
              </w:rPr>
              <w:t>、单价在20万元以上的设备</w:t>
            </w:r>
          </w:p>
        </w:tc>
        <w:tc>
          <w:tcPr>
            <w:tcW w:w="4953" w:type="dxa"/>
            <w:vAlign w:val="center"/>
          </w:tcPr>
          <w:p>
            <w:pPr>
              <w:pStyle w:val="14"/>
              <w:rPr>
                <w:rFonts w:hint="eastAsia"/>
                <w:lang w:eastAsia="zh-CN"/>
              </w:rPr>
            </w:pPr>
            <w:r>
              <w:rPr>
                <w:rFonts w:hint="eastAsia"/>
                <w:lang w:eastAsia="zh-CN"/>
              </w:rPr>
              <w:t>-</w:t>
            </w:r>
          </w:p>
        </w:tc>
        <w:tc>
          <w:tcPr>
            <w:tcW w:w="2917"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2" w:hRule="atLeast"/>
          <w:jc w:val="center"/>
        </w:trPr>
        <w:tc>
          <w:tcPr>
            <w:tcW w:w="5545" w:type="dxa"/>
            <w:vAlign w:val="center"/>
          </w:tcPr>
          <w:p>
            <w:pPr>
              <w:pStyle w:val="13"/>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4</w:t>
            </w:r>
            <w:r>
              <w:rPr>
                <w:rFonts w:hint="eastAsia" w:ascii="仿宋" w:hAnsi="仿宋" w:eastAsia="仿宋" w:cs="仿宋"/>
                <w:color w:val="000000"/>
                <w:sz w:val="28"/>
                <w:szCs w:val="28"/>
              </w:rPr>
              <w:t>、其他固定资产</w:t>
            </w:r>
          </w:p>
        </w:tc>
        <w:tc>
          <w:tcPr>
            <w:tcW w:w="4953" w:type="dxa"/>
            <w:vAlign w:val="center"/>
          </w:tcPr>
          <w:p>
            <w:pPr>
              <w:pStyle w:val="14"/>
              <w:rPr>
                <w:rFonts w:hint="default" w:eastAsia="方正书宋_GBK"/>
                <w:lang w:val="en-US" w:eastAsia="zh-CN"/>
              </w:rPr>
            </w:pPr>
            <w:r>
              <w:rPr>
                <w:rFonts w:hint="eastAsia"/>
                <w:lang w:val="en-US" w:eastAsia="zh-CN"/>
              </w:rPr>
              <w:t>57</w:t>
            </w:r>
          </w:p>
        </w:tc>
        <w:tc>
          <w:tcPr>
            <w:tcW w:w="2917" w:type="dxa"/>
            <w:vAlign w:val="center"/>
          </w:tcPr>
          <w:p>
            <w:pPr>
              <w:pStyle w:val="12"/>
              <w:jc w:val="center"/>
              <w:rPr>
                <w:rFonts w:hint="eastAsia"/>
                <w:lang w:eastAsia="zh-CN"/>
              </w:rPr>
            </w:pPr>
            <w:r>
              <w:rPr>
                <w:rFonts w:hint="eastAsia"/>
                <w:lang w:eastAsia="zh-CN"/>
              </w:rPr>
              <w:t>15.02</w:t>
            </w:r>
          </w:p>
        </w:tc>
      </w:tr>
    </w:tbl>
    <w:p>
      <w:pPr>
        <w:ind w:firstLine="420"/>
        <w:rPr>
          <w:rFonts w:eastAsiaTheme="minorEastAsia"/>
          <w:lang w:eastAsia="zh-CN"/>
        </w:rPr>
      </w:pPr>
    </w:p>
    <w:p>
      <w:pPr>
        <w:spacing w:before="10" w:after="10"/>
        <w:ind w:firstLine="640"/>
        <w:outlineLvl w:val="2"/>
        <w:rPr>
          <w:rFonts w:hint="eastAsia" w:ascii="黑体" w:hAnsi="黑体" w:eastAsia="黑体" w:cs="黑体"/>
          <w:color w:val="000000"/>
          <w:sz w:val="32"/>
          <w:lang w:eastAsia="zh-CN"/>
        </w:rPr>
      </w:pPr>
      <w:bookmarkStart w:id="16" w:name="_Toc_3_3_0000000017"/>
    </w:p>
    <w:p>
      <w:pPr>
        <w:spacing w:before="10" w:after="10"/>
        <w:ind w:firstLine="640"/>
        <w:outlineLvl w:val="2"/>
        <w:rPr>
          <w:rFonts w:hint="eastAsia" w:ascii="黑体" w:hAnsi="黑体" w:eastAsia="黑体" w:cs="黑体"/>
          <w:color w:val="000000"/>
          <w:sz w:val="32"/>
          <w:lang w:eastAsia="zh-CN"/>
        </w:rPr>
      </w:pPr>
    </w:p>
    <w:p>
      <w:pPr>
        <w:spacing w:before="10" w:after="10"/>
        <w:ind w:firstLine="640"/>
        <w:outlineLvl w:val="2"/>
      </w:pPr>
      <w:r>
        <w:rPr>
          <w:rFonts w:ascii="黑体" w:hAnsi="黑体" w:eastAsia="黑体" w:cs="黑体"/>
          <w:color w:val="000000"/>
          <w:sz w:val="32"/>
        </w:rPr>
        <w:t>八、名词解释</w:t>
      </w:r>
      <w:bookmarkEnd w:id="16"/>
    </w:p>
    <w:p>
      <w:pPr>
        <w:spacing w:line="240" w:lineRule="atLeast"/>
        <w:ind w:firstLine="561"/>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240" w:lineRule="atLeast"/>
        <w:ind w:firstLine="561"/>
      </w:pPr>
      <w:r>
        <w:rPr>
          <w:rFonts w:eastAsia="方正仿宋_GBK"/>
          <w:color w:val="000000"/>
          <w:sz w:val="28"/>
        </w:rPr>
        <w:t>2、</w:t>
      </w:r>
      <w:r>
        <w:rPr>
          <w:rFonts w:eastAsia="方正仿宋_GBK"/>
          <w:b/>
          <w:color w:val="000000"/>
          <w:sz w:val="28"/>
        </w:rPr>
        <w:t>事业收入：</w:t>
      </w:r>
      <w:r>
        <w:rPr>
          <w:rFonts w:eastAsia="方正仿宋_GBK"/>
          <w:color w:val="000000"/>
          <w:sz w:val="28"/>
        </w:rPr>
        <w:t>指事业部门开展专业业务活动及辅助活动所取得的收入。</w:t>
      </w:r>
    </w:p>
    <w:p>
      <w:pPr>
        <w:spacing w:line="240" w:lineRule="atLeast"/>
        <w:ind w:firstLine="561"/>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240" w:lineRule="atLeast"/>
        <w:ind w:firstLine="561"/>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240" w:lineRule="atLeast"/>
        <w:ind w:firstLine="561"/>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240" w:lineRule="atLeast"/>
        <w:ind w:firstLine="561"/>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指下级部门上缴上级的支出。</w:t>
      </w:r>
    </w:p>
    <w:p>
      <w:pPr>
        <w:spacing w:line="240" w:lineRule="atLeast"/>
        <w:ind w:firstLine="561"/>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w:t>
      </w:r>
      <w:r>
        <w:rPr>
          <w:rFonts w:hint="eastAsia" w:eastAsia="方正仿宋_GBK"/>
          <w:color w:val="000000"/>
          <w:sz w:val="28"/>
          <w:lang w:eastAsia="zh-CN"/>
        </w:rPr>
        <w:t>区级部门</w:t>
      </w:r>
      <w:r>
        <w:rPr>
          <w:rFonts w:eastAsia="方正仿宋_GBK"/>
          <w:color w:val="000000"/>
          <w:sz w:val="28"/>
        </w:rPr>
        <w:t>用财政拨款安排的因公出国（境）费、公务用车购置及运维费和公务接待费。其中，因公出国（境）费反映</w:t>
      </w:r>
      <w:r>
        <w:rPr>
          <w:rFonts w:hint="eastAsia" w:eastAsia="方正仿宋_GBK"/>
          <w:color w:val="000000"/>
          <w:sz w:val="28"/>
          <w:lang w:eastAsia="zh-CN"/>
        </w:rPr>
        <w:t>部门</w:t>
      </w:r>
      <w:r>
        <w:rPr>
          <w:rFonts w:eastAsia="方正仿宋_GBK"/>
          <w:color w:val="000000"/>
          <w:sz w:val="28"/>
        </w:rPr>
        <w:t>公务出国（境）的住宿费、旅费、伙食补助费、杂费、培训费等支出；公务用车购置及运维费反映</w:t>
      </w:r>
      <w:r>
        <w:rPr>
          <w:rFonts w:hint="eastAsia" w:eastAsia="方正仿宋_GBK"/>
          <w:color w:val="000000"/>
          <w:sz w:val="28"/>
          <w:lang w:eastAsia="zh-CN"/>
        </w:rPr>
        <w:t>部门</w:t>
      </w:r>
      <w:r>
        <w:rPr>
          <w:rFonts w:eastAsia="方正仿宋_GBK"/>
          <w:color w:val="000000"/>
          <w:sz w:val="28"/>
        </w:rPr>
        <w:t>公务用车购置费及租用费、燃料费、维修费、过路过桥费、保险费、安全奖励费用等支出；公务接待费反映</w:t>
      </w:r>
      <w:r>
        <w:rPr>
          <w:rFonts w:hint="eastAsia" w:eastAsia="方正仿宋_GBK"/>
          <w:color w:val="000000"/>
          <w:sz w:val="28"/>
          <w:lang w:eastAsia="zh-CN"/>
        </w:rPr>
        <w:t>部门</w:t>
      </w:r>
      <w:r>
        <w:rPr>
          <w:rFonts w:eastAsia="方正仿宋_GBK"/>
          <w:color w:val="000000"/>
          <w:sz w:val="28"/>
        </w:rPr>
        <w:t>按规定开支的各类公务接待（含外宾接待）支出。</w:t>
      </w:r>
    </w:p>
    <w:p>
      <w:pPr>
        <w:spacing w:line="240" w:lineRule="atLeast"/>
        <w:ind w:firstLine="561"/>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240" w:lineRule="atLeast"/>
        <w:ind w:firstLine="561"/>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240" w:lineRule="atLeast"/>
        <w:ind w:firstLine="561"/>
      </w:pPr>
      <w:r>
        <w:rPr>
          <w:rFonts w:eastAsia="方正仿宋_GBK"/>
          <w:color w:val="000000"/>
          <w:sz w:val="28"/>
        </w:rPr>
        <w:t>10、</w:t>
      </w:r>
      <w:r>
        <w:rPr>
          <w:rFonts w:eastAsia="方正仿宋_GBK"/>
          <w:b/>
          <w:color w:val="000000"/>
          <w:sz w:val="28"/>
        </w:rPr>
        <w:t>事业部门经营支出：</w:t>
      </w:r>
      <w:r>
        <w:rPr>
          <w:rFonts w:eastAsia="方正仿宋_GBK"/>
          <w:color w:val="000000"/>
          <w:sz w:val="28"/>
        </w:rPr>
        <w:t>指事业部门在专业业务活动及其辅助活动之外开展非独立核算经营活动发生的支出。</w:t>
      </w:r>
    </w:p>
    <w:p>
      <w:pPr>
        <w:spacing w:line="500" w:lineRule="exact"/>
        <w:ind w:firstLine="560"/>
        <w:rPr>
          <w:rFonts w:hint="eastAsia" w:ascii="黑体" w:hAnsi="黑体" w:eastAsia="黑体" w:cs="黑体"/>
          <w:color w:val="000000"/>
          <w:sz w:val="32"/>
          <w:lang w:eastAsia="zh-CN"/>
        </w:rPr>
      </w:pPr>
      <w:bookmarkStart w:id="17" w:name="_Toc_3_3_0000000018"/>
    </w:p>
    <w:p>
      <w:pPr>
        <w:spacing w:line="500" w:lineRule="exact"/>
        <w:ind w:firstLine="560"/>
        <w:rPr>
          <w:rFonts w:hint="eastAsia" w:ascii="黑体" w:hAnsi="黑体" w:eastAsia="黑体" w:cs="黑体"/>
          <w:color w:val="000000"/>
          <w:sz w:val="32"/>
          <w:lang w:eastAsia="zh-CN"/>
        </w:rPr>
      </w:pPr>
    </w:p>
    <w:p>
      <w:pPr>
        <w:spacing w:line="500" w:lineRule="exact"/>
        <w:ind w:firstLine="560"/>
        <w:rPr>
          <w:rFonts w:hint="eastAsia" w:ascii="黑体" w:hAnsi="黑体" w:eastAsia="黑体" w:cs="黑体"/>
          <w:color w:val="000000"/>
          <w:sz w:val="32"/>
          <w:lang w:eastAsia="zh-CN"/>
        </w:rPr>
      </w:pPr>
      <w:r>
        <w:rPr>
          <w:rFonts w:ascii="黑体" w:hAnsi="黑体" w:eastAsia="黑体" w:cs="黑体"/>
          <w:color w:val="000000"/>
          <w:sz w:val="32"/>
        </w:rPr>
        <w:t>九、其他需要说明的事项</w:t>
      </w:r>
      <w:bookmarkEnd w:id="17"/>
    </w:p>
    <w:p>
      <w:pPr>
        <w:spacing w:line="500" w:lineRule="exact"/>
        <w:ind w:firstLine="560"/>
        <w:rPr>
          <w:lang w:eastAsia="zh-CN"/>
        </w:rPr>
      </w:pPr>
      <w:r>
        <w:rPr>
          <w:rFonts w:eastAsia="方正仿宋_GBK"/>
          <w:color w:val="000000"/>
          <w:sz w:val="28"/>
        </w:rPr>
        <w:t>我部门无其他需要说明的事项</w:t>
      </w:r>
    </w:p>
    <w:p>
      <w:pPr>
        <w:rPr>
          <w:rFonts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2ZmNlYjU1NDZiODU2MzI3NzYxYjg0OWMxNjYzNjIifQ=="/>
    <w:docVar w:name="KSO_WPS_MARK_KEY" w:val="6642ac56-15cb-481f-8e00-119d5f6b1f7a"/>
  </w:docVars>
  <w:rsids>
    <w:rsidRoot w:val="00A83C60"/>
    <w:rsid w:val="00095EF4"/>
    <w:rsid w:val="000F6C47"/>
    <w:rsid w:val="001978B5"/>
    <w:rsid w:val="0026432E"/>
    <w:rsid w:val="0040320B"/>
    <w:rsid w:val="00445423"/>
    <w:rsid w:val="00471ECB"/>
    <w:rsid w:val="004B3B8C"/>
    <w:rsid w:val="00580D85"/>
    <w:rsid w:val="006622C0"/>
    <w:rsid w:val="007738D9"/>
    <w:rsid w:val="007B14AC"/>
    <w:rsid w:val="00885051"/>
    <w:rsid w:val="00984385"/>
    <w:rsid w:val="009C7B64"/>
    <w:rsid w:val="00A83C60"/>
    <w:rsid w:val="00AD18A6"/>
    <w:rsid w:val="00AE0894"/>
    <w:rsid w:val="00BA6F6E"/>
    <w:rsid w:val="00D97B3F"/>
    <w:rsid w:val="00DF7891"/>
    <w:rsid w:val="00E379E2"/>
    <w:rsid w:val="00FB046D"/>
    <w:rsid w:val="0B265CDD"/>
    <w:rsid w:val="30153EB7"/>
    <w:rsid w:val="35745B50"/>
    <w:rsid w:val="584313B4"/>
    <w:rsid w:val="5DDE597F"/>
    <w:rsid w:val="5E5F48BF"/>
    <w:rsid w:val="69586B5E"/>
    <w:rsid w:val="6E646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4"/>
    <w:qFormat/>
    <w:uiPriority w:val="1"/>
    <w:rPr>
      <w:rFonts w:ascii="宋体" w:hAnsi="宋体" w:eastAsia="宋体" w:cs="宋体"/>
      <w:sz w:val="32"/>
      <w:szCs w:val="32"/>
    </w:rPr>
  </w:style>
  <w:style w:type="paragraph" w:styleId="3">
    <w:name w:val="footer"/>
    <w:basedOn w:val="1"/>
    <w:link w:val="36"/>
    <w:semiHidden/>
    <w:unhideWhenUsed/>
    <w:qFormat/>
    <w:uiPriority w:val="99"/>
    <w:pPr>
      <w:tabs>
        <w:tab w:val="center" w:pos="4153"/>
        <w:tab w:val="right" w:pos="8306"/>
      </w:tabs>
      <w:snapToGrid w:val="0"/>
    </w:pPr>
    <w:rPr>
      <w:sz w:val="18"/>
      <w:szCs w:val="18"/>
    </w:rPr>
  </w:style>
  <w:style w:type="paragraph" w:styleId="4">
    <w:name w:val="header"/>
    <w:basedOn w:val="1"/>
    <w:link w:val="35"/>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插入文本样式-插入单位职责文件"/>
    <w:basedOn w:val="1"/>
    <w:qFormat/>
    <w:uiPriority w:val="0"/>
    <w:pPr>
      <w:spacing w:line="500" w:lineRule="exact"/>
      <w:ind w:firstLine="560"/>
    </w:pPr>
    <w:rPr>
      <w:rFonts w:eastAsia="方正仿宋_GBK"/>
      <w:sz w:val="28"/>
    </w:rPr>
  </w:style>
  <w:style w:type="paragraph" w:customStyle="1" w:styleId="2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0">
    <w:name w:val="TOC 2"/>
    <w:basedOn w:val="1"/>
    <w:qFormat/>
    <w:uiPriority w:val="0"/>
    <w:pPr>
      <w:ind w:left="240"/>
    </w:pPr>
  </w:style>
  <w:style w:type="paragraph" w:customStyle="1" w:styleId="31">
    <w:name w:val="TOC 3"/>
    <w:basedOn w:val="1"/>
    <w:qFormat/>
    <w:uiPriority w:val="0"/>
    <w:pPr>
      <w:ind w:left="480"/>
    </w:pPr>
  </w:style>
  <w:style w:type="paragraph" w:customStyle="1" w:styleId="32">
    <w:name w:val="TOC 4"/>
    <w:basedOn w:val="1"/>
    <w:qFormat/>
    <w:uiPriority w:val="0"/>
    <w:pPr>
      <w:ind w:left="720"/>
    </w:pPr>
  </w:style>
  <w:style w:type="paragraph" w:customStyle="1" w:styleId="33">
    <w:name w:val="TOC 1"/>
    <w:basedOn w:val="1"/>
    <w:qFormat/>
    <w:uiPriority w:val="0"/>
    <w:pPr>
      <w:spacing w:before="120"/>
      <w:ind w:firstLine="560"/>
    </w:pPr>
    <w:rPr>
      <w:rFonts w:eastAsia="方正仿宋_GBK"/>
      <w:color w:val="000000"/>
      <w:sz w:val="28"/>
    </w:rPr>
  </w:style>
  <w:style w:type="character" w:customStyle="1" w:styleId="34">
    <w:name w:val="正文文本 Char"/>
    <w:basedOn w:val="7"/>
    <w:link w:val="2"/>
    <w:qFormat/>
    <w:uiPriority w:val="1"/>
    <w:rPr>
      <w:rFonts w:ascii="宋体" w:hAnsi="宋体" w:eastAsia="宋体" w:cs="宋体"/>
      <w:sz w:val="32"/>
      <w:szCs w:val="32"/>
      <w:lang w:eastAsia="uk-UA"/>
    </w:rPr>
  </w:style>
  <w:style w:type="character" w:customStyle="1" w:styleId="35">
    <w:name w:val="页眉 Char"/>
    <w:basedOn w:val="7"/>
    <w:link w:val="4"/>
    <w:semiHidden/>
    <w:qFormat/>
    <w:uiPriority w:val="99"/>
    <w:rPr>
      <w:rFonts w:eastAsia="Times New Roman"/>
      <w:sz w:val="18"/>
      <w:szCs w:val="18"/>
      <w:lang w:eastAsia="uk-UA"/>
    </w:rPr>
  </w:style>
  <w:style w:type="character" w:customStyle="1" w:styleId="36">
    <w:name w:val="页脚 Char"/>
    <w:basedOn w:val="7"/>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2023-03-10T14:00:25Z</dcterms:created>
  <dcterms:modified xsi:type="dcterms:W3CDTF">2023-03-10T06:00:25Z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2023-03-10T14:00:21Z</dcterms:created>
  <dcterms:modified xsi:type="dcterms:W3CDTF">2023-03-10T06:00:21Z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2023-03-10T14:00:17Z</dcterms:created>
  <dcterms:modified xsi:type="dcterms:W3CDTF">2023-03-10T06:00:17Z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2023-03-10T14:00:18Z</dcterms:created>
  <dcterms:modified xsi:type="dcterms:W3CDTF">2023-03-10T06:00:18Z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2023-03-10T14:00:18Z</dcterms:created>
  <dcterms:modified xsi:type="dcterms:W3CDTF">2023-03-10T06:00:18Z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2023-03-10T14:00:17Z</dcterms:created>
  <dcterms:modified xsi:type="dcterms:W3CDTF">2023-03-10T06:00:16Z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2023-03-10T14:00:25Z</dcterms:created>
  <dcterms:modified xsi:type="dcterms:W3CDTF">2023-03-10T06:00:25Z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2023-03-10T14:00:18Z</dcterms:created>
  <dcterms:modified xsi:type="dcterms:W3CDTF">2023-03-10T06:00:18Z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2023-03-10T14:00:25Z</dcterms:created>
  <dcterms:modified xsi:type="dcterms:W3CDTF">2023-03-10T06:00:25Z</dcterms:modified>
</cp:coreProperties>
</file>

<file path=customXml/itemProps1.xml><?xml version="1.0" encoding="utf-8"?>
<ds:datastoreItem xmlns:ds="http://schemas.openxmlformats.org/officeDocument/2006/customXml" ds:itemID="{41AD5758-D00A-49CF-9DD7-2405940C0AAB}">
  <ds:schemaRefs/>
</ds:datastoreItem>
</file>

<file path=customXml/itemProps10.xml><?xml version="1.0" encoding="utf-8"?>
<ds:datastoreItem xmlns:ds="http://schemas.openxmlformats.org/officeDocument/2006/customXml" ds:itemID="{5178E5C3-103A-4462-AEBA-688A50E4F6AE}">
  <ds:schemaRefs/>
</ds:datastoreItem>
</file>

<file path=customXml/itemProps11.xml><?xml version="1.0" encoding="utf-8"?>
<ds:datastoreItem xmlns:ds="http://schemas.openxmlformats.org/officeDocument/2006/customXml" ds:itemID="{86785D17-F017-4019-9B0F-CAEA78DB7503}">
  <ds:schemaRefs/>
</ds:datastoreItem>
</file>

<file path=customXml/itemProps12.xml><?xml version="1.0" encoding="utf-8"?>
<ds:datastoreItem xmlns:ds="http://schemas.openxmlformats.org/officeDocument/2006/customXml" ds:itemID="{762903BF-F824-4FCE-8E32-BCEFC592AE5E}">
  <ds:schemaRefs/>
</ds:datastoreItem>
</file>

<file path=customXml/itemProps13.xml><?xml version="1.0" encoding="utf-8"?>
<ds:datastoreItem xmlns:ds="http://schemas.openxmlformats.org/officeDocument/2006/customXml" ds:itemID="{4E74C3CF-C33C-4DE0-A8D3-9A3B49E184F0}">
  <ds:schemaRefs/>
</ds:datastoreItem>
</file>

<file path=customXml/itemProps14.xml><?xml version="1.0" encoding="utf-8"?>
<ds:datastoreItem xmlns:ds="http://schemas.openxmlformats.org/officeDocument/2006/customXml" ds:itemID="{86D129B8-EB64-4892-BE59-D958B2A1C4EC}">
  <ds:schemaRefs/>
</ds:datastoreItem>
</file>

<file path=customXml/itemProps15.xml><?xml version="1.0" encoding="utf-8"?>
<ds:datastoreItem xmlns:ds="http://schemas.openxmlformats.org/officeDocument/2006/customXml" ds:itemID="{CB49FCCA-4FE3-4050-96F5-FAAE93128B84}">
  <ds:schemaRefs/>
</ds:datastoreItem>
</file>

<file path=customXml/itemProps16.xml><?xml version="1.0" encoding="utf-8"?>
<ds:datastoreItem xmlns:ds="http://schemas.openxmlformats.org/officeDocument/2006/customXml" ds:itemID="{310DDC2E-E9D7-40A4-95D9-5E2905F2F84E}">
  <ds:schemaRefs/>
</ds:datastoreItem>
</file>

<file path=customXml/itemProps17.xml><?xml version="1.0" encoding="utf-8"?>
<ds:datastoreItem xmlns:ds="http://schemas.openxmlformats.org/officeDocument/2006/customXml" ds:itemID="{A0A7A94E-FC17-474D-A18B-D1BFD989E4E4}">
  <ds:schemaRefs/>
</ds:datastoreItem>
</file>

<file path=customXml/itemProps18.xml><?xml version="1.0" encoding="utf-8"?>
<ds:datastoreItem xmlns:ds="http://schemas.openxmlformats.org/officeDocument/2006/customXml" ds:itemID="{095DE8EF-7337-4CBD-8E84-21CBD448492D}">
  <ds:schemaRefs/>
</ds:datastoreItem>
</file>

<file path=customXml/itemProps2.xml><?xml version="1.0" encoding="utf-8"?>
<ds:datastoreItem xmlns:ds="http://schemas.openxmlformats.org/officeDocument/2006/customXml" ds:itemID="{C5C4F4E8-5C45-42B3-ABB7-4FE222B7D40B}">
  <ds:schemaRefs/>
</ds:datastoreItem>
</file>

<file path=customXml/itemProps3.xml><?xml version="1.0" encoding="utf-8"?>
<ds:datastoreItem xmlns:ds="http://schemas.openxmlformats.org/officeDocument/2006/customXml" ds:itemID="{52843732-6C11-4699-8F37-74BBFF9130A7}">
  <ds:schemaRefs/>
</ds:datastoreItem>
</file>

<file path=customXml/itemProps4.xml><?xml version="1.0" encoding="utf-8"?>
<ds:datastoreItem xmlns:ds="http://schemas.openxmlformats.org/officeDocument/2006/customXml" ds:itemID="{0CCA88FB-415C-4564-9BEE-0627225E3F7F}">
  <ds:schemaRefs/>
</ds:datastoreItem>
</file>

<file path=customXml/itemProps5.xml><?xml version="1.0" encoding="utf-8"?>
<ds:datastoreItem xmlns:ds="http://schemas.openxmlformats.org/officeDocument/2006/customXml" ds:itemID="{FADDEE33-F207-4105-82EA-3EBA1554E34F}">
  <ds:schemaRefs/>
</ds:datastoreItem>
</file>

<file path=customXml/itemProps6.xml><?xml version="1.0" encoding="utf-8"?>
<ds:datastoreItem xmlns:ds="http://schemas.openxmlformats.org/officeDocument/2006/customXml" ds:itemID="{E80EFF3E-0696-478C-BBAF-A9F143484E9D}">
  <ds:schemaRefs/>
</ds:datastoreItem>
</file>

<file path=customXml/itemProps7.xml><?xml version="1.0" encoding="utf-8"?>
<ds:datastoreItem xmlns:ds="http://schemas.openxmlformats.org/officeDocument/2006/customXml" ds:itemID="{D0640B53-CD1D-4E78-9266-AB4E39E8A873}">
  <ds:schemaRefs/>
</ds:datastoreItem>
</file>

<file path=customXml/itemProps8.xml><?xml version="1.0" encoding="utf-8"?>
<ds:datastoreItem xmlns:ds="http://schemas.openxmlformats.org/officeDocument/2006/customXml" ds:itemID="{76231B72-52BC-45B5-94F6-F254EC47A94B}">
  <ds:schemaRefs/>
</ds:datastoreItem>
</file>

<file path=customXml/itemProps9.xml><?xml version="1.0" encoding="utf-8"?>
<ds:datastoreItem xmlns:ds="http://schemas.openxmlformats.org/officeDocument/2006/customXml" ds:itemID="{823B5398-8190-4320-ACBA-0D1B0DCC2ACB}">
  <ds:schemaRefs/>
</ds:datastoreItem>
</file>

<file path=docProps/app.xml><?xml version="1.0" encoding="utf-8"?>
<Properties xmlns="http://schemas.openxmlformats.org/officeDocument/2006/extended-properties" xmlns:vt="http://schemas.openxmlformats.org/officeDocument/2006/docPropsVTypes">
  <Template>Normal</Template>
  <Pages>28</Pages>
  <Words>7142</Words>
  <Characters>8314</Characters>
  <Lines>80</Lines>
  <Paragraphs>22</Paragraphs>
  <TotalTime>7</TotalTime>
  <ScaleCrop>false</ScaleCrop>
  <LinksUpToDate>false</LinksUpToDate>
  <CharactersWithSpaces>8453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2023-03-10T06:07:00Z</dcterms:created>
  <dc:creator>Administrator</dc:creator>
  <cp:lastModifiedBy>Administrator</cp:lastModifiedBy>
  <dcterms:modified xsi:type="dcterms:W3CDTF">2024-09-11T07:56:09Z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C73DBAFCA0484D918A8F673FB96A0AB1</vt:lpwstr>
  </property>
</Properties>
</file>